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4"/>
          <w:szCs w:val="24"/>
          <w:color w:val="auto"/>
        </w:rPr>
      </w:pPr>
    </w:p>
    <w:p>
      <w:pPr>
        <w:jc w:val="center"/>
        <w:ind w:right="-64"/>
        <w:spacing w:after="0"/>
        <w:rPr>
          <w:sz w:val="20"/>
          <w:szCs w:val="20"/>
          <w:color w:val="auto"/>
        </w:rPr>
      </w:pPr>
      <w:r>
        <w:rPr>
          <w:rFonts w:ascii="Arial" w:cs="Arial" w:eastAsia="Arial" w:hAnsi="Arial"/>
          <w:sz w:val="15"/>
          <w:szCs w:val="15"/>
          <w:color w:val="auto"/>
        </w:rPr>
        <w:t>UNITED STATES</w:t>
      </w:r>
    </w:p>
    <w:p>
      <w:pPr>
        <w:spacing w:after="0" w:line="5" w:lineRule="exact"/>
        <w:rPr>
          <w:sz w:val="24"/>
          <w:szCs w:val="24"/>
          <w:color w:val="auto"/>
        </w:rPr>
      </w:pPr>
    </w:p>
    <w:p>
      <w:pPr>
        <w:jc w:val="center"/>
        <w:ind w:right="-64"/>
        <w:spacing w:after="0"/>
        <w:rPr>
          <w:sz w:val="20"/>
          <w:szCs w:val="20"/>
          <w:color w:val="auto"/>
        </w:rPr>
      </w:pPr>
      <w:r>
        <w:rPr>
          <w:rFonts w:ascii="Arial" w:cs="Arial" w:eastAsia="Arial" w:hAnsi="Arial"/>
          <w:sz w:val="15"/>
          <w:szCs w:val="15"/>
          <w:color w:val="auto"/>
        </w:rPr>
        <w:t>SECURITIES AND EXCHANGE COMMISSION</w:t>
      </w:r>
    </w:p>
    <w:p>
      <w:pPr>
        <w:spacing w:after="0" w:line="5" w:lineRule="exact"/>
        <w:rPr>
          <w:sz w:val="24"/>
          <w:szCs w:val="24"/>
          <w:color w:val="auto"/>
        </w:rPr>
      </w:pPr>
    </w:p>
    <w:p>
      <w:pPr>
        <w:jc w:val="center"/>
        <w:ind w:right="-64"/>
        <w:spacing w:after="0"/>
        <w:rPr>
          <w:sz w:val="20"/>
          <w:szCs w:val="20"/>
          <w:color w:val="auto"/>
        </w:rPr>
      </w:pPr>
      <w:r>
        <w:rPr>
          <w:rFonts w:ascii="Arial" w:cs="Arial" w:eastAsia="Arial" w:hAnsi="Arial"/>
          <w:sz w:val="15"/>
          <w:szCs w:val="15"/>
          <w:color w:val="auto"/>
        </w:rPr>
        <w:t>Washington, D.C. 20549</w:t>
      </w:r>
    </w:p>
    <w:p>
      <w:pPr>
        <w:spacing w:after="0" w:line="195" w:lineRule="exact"/>
        <w:rPr>
          <w:sz w:val="24"/>
          <w:szCs w:val="24"/>
          <w:color w:val="auto"/>
        </w:rPr>
      </w:pPr>
    </w:p>
    <w:p>
      <w:pPr>
        <w:jc w:val="center"/>
        <w:ind w:right="-64"/>
        <w:spacing w:after="0"/>
        <w:rPr>
          <w:sz w:val="20"/>
          <w:szCs w:val="20"/>
          <w:color w:val="auto"/>
        </w:rPr>
      </w:pPr>
      <w:r>
        <w:rPr>
          <w:rFonts w:ascii="Arial" w:cs="Arial" w:eastAsia="Arial" w:hAnsi="Arial"/>
          <w:sz w:val="15"/>
          <w:szCs w:val="15"/>
          <w:color w:val="auto"/>
        </w:rPr>
        <w:t>SCHEDULE 14A</w:t>
      </w:r>
    </w:p>
    <w:p>
      <w:pPr>
        <w:spacing w:after="0" w:line="195" w:lineRule="exact"/>
        <w:rPr>
          <w:sz w:val="24"/>
          <w:szCs w:val="24"/>
          <w:color w:val="auto"/>
        </w:rPr>
      </w:pPr>
    </w:p>
    <w:p>
      <w:pPr>
        <w:ind w:left="4025"/>
        <w:spacing w:after="0"/>
        <w:rPr>
          <w:sz w:val="20"/>
          <w:szCs w:val="20"/>
          <w:color w:val="auto"/>
        </w:rPr>
      </w:pPr>
      <w:r>
        <w:rPr>
          <w:rFonts w:ascii="Arial" w:cs="Arial" w:eastAsia="Arial" w:hAnsi="Arial"/>
          <w:sz w:val="15"/>
          <w:szCs w:val="15"/>
          <w:color w:val="auto"/>
        </w:rPr>
        <w:t>Proxy Statement Pursuant to Section 14(a) of the</w:t>
      </w:r>
    </w:p>
    <w:p>
      <w:pPr>
        <w:spacing w:after="0" w:line="5" w:lineRule="exact"/>
        <w:rPr>
          <w:sz w:val="24"/>
          <w:szCs w:val="24"/>
          <w:color w:val="auto"/>
        </w:rPr>
      </w:pPr>
    </w:p>
    <w:p>
      <w:pPr>
        <w:ind w:left="3945"/>
        <w:spacing w:after="0"/>
        <w:rPr>
          <w:sz w:val="20"/>
          <w:szCs w:val="20"/>
          <w:color w:val="auto"/>
        </w:rPr>
      </w:pPr>
      <w:r>
        <w:rPr>
          <w:rFonts w:ascii="Arial" w:cs="Arial" w:eastAsia="Arial" w:hAnsi="Arial"/>
          <w:sz w:val="15"/>
          <w:szCs w:val="15"/>
          <w:color w:val="auto"/>
        </w:rPr>
        <w:t>Securities Exchange Act of 1934 (Amendment No. )</w:t>
      </w:r>
    </w:p>
    <w:p>
      <w:pPr>
        <w:sectPr>
          <w:pgSz w:w="11900" w:h="16838" w:orient="portrait"/>
          <w:cols w:equalWidth="0" w:num="1">
            <w:col w:w="11365"/>
          </w:cols>
          <w:pgMar w:left="235" w:top="623" w:right="299" w:bottom="1440" w:gutter="0" w:footer="0" w:header="0"/>
        </w:sectPr>
      </w:pPr>
    </w:p>
    <w:p>
      <w:pPr>
        <w:spacing w:after="0" w:line="138" w:lineRule="exact"/>
        <w:rPr>
          <w:sz w:val="24"/>
          <w:szCs w:val="24"/>
          <w:color w:val="auto"/>
        </w:rPr>
      </w:pPr>
    </w:p>
    <w:p>
      <w:pPr>
        <w:ind w:left="5"/>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5"/>
          <w:szCs w:val="15"/>
          <w:color w:val="auto"/>
        </w:rPr>
        <w:t>Filed by the Registrant</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5"/>
          <w:szCs w:val="15"/>
          <w:color w:val="auto"/>
        </w:rPr>
        <w:t>Filed by a Party other than the Registrant</w:t>
      </w:r>
    </w:p>
    <w:p>
      <w:pPr>
        <w:spacing w:after="0" w:line="200" w:lineRule="exact"/>
        <w:rPr>
          <w:sz w:val="24"/>
          <w:szCs w:val="24"/>
          <w:color w:val="auto"/>
        </w:rPr>
      </w:pPr>
    </w:p>
    <w:p>
      <w:pPr>
        <w:sectPr>
          <w:pgSz w:w="11900" w:h="16838" w:orient="portrait"/>
          <w:cols w:equalWidth="0" w:num="2">
            <w:col w:w="7485" w:space="720"/>
            <w:col w:w="3160"/>
          </w:cols>
          <w:pgMar w:left="235" w:top="623" w:right="299" w:bottom="1440" w:gutter="0" w:footer="0" w:header="0"/>
          <w:type w:val="continuous"/>
        </w:sectPr>
      </w:pPr>
    </w:p>
    <w:p>
      <w:pPr>
        <w:spacing w:after="0" w:line="89" w:lineRule="exact"/>
        <w:rPr>
          <w:sz w:val="24"/>
          <w:szCs w:val="24"/>
          <w:color w:val="auto"/>
        </w:rPr>
      </w:pPr>
    </w:p>
    <w:p>
      <w:pPr>
        <w:ind w:left="5"/>
        <w:spacing w:after="0"/>
        <w:rPr>
          <w:sz w:val="20"/>
          <w:szCs w:val="20"/>
          <w:color w:val="auto"/>
        </w:rPr>
      </w:pPr>
      <w:r>
        <w:rPr>
          <w:rFonts w:ascii="Arial" w:cs="Arial" w:eastAsia="Arial" w:hAnsi="Arial"/>
          <w:sz w:val="15"/>
          <w:szCs w:val="15"/>
          <w:color w:val="auto"/>
        </w:rPr>
        <w:t>CHECK THE APPROPRIATE BOX:</w:t>
      </w:r>
    </w:p>
    <w:p>
      <w:pPr>
        <w:spacing w:after="0" w:line="43" w:lineRule="exact"/>
        <w:rPr>
          <w:sz w:val="24"/>
          <w:szCs w:val="24"/>
          <w:color w:val="auto"/>
        </w:rPr>
      </w:pPr>
    </w:p>
    <w:p>
      <w:pPr>
        <w:ind w:left="265" w:hanging="265"/>
        <w:spacing w:after="0"/>
        <w:tabs>
          <w:tab w:leader="none" w:pos="265" w:val="left"/>
        </w:tabs>
        <w:numPr>
          <w:ilvl w:val="0"/>
          <w:numId w:val="1"/>
        </w:numPr>
        <w:rPr>
          <w:rFonts w:ascii="MS PGothic" w:cs="MS PGothic" w:eastAsia="MS PGothic" w:hAnsi="MS PGothic"/>
          <w:sz w:val="19"/>
          <w:szCs w:val="19"/>
          <w:color w:val="auto"/>
        </w:rPr>
      </w:pPr>
      <w:r>
        <w:rPr>
          <w:rFonts w:ascii="Arial" w:cs="Arial" w:eastAsia="Arial" w:hAnsi="Arial"/>
          <w:sz w:val="15"/>
          <w:szCs w:val="15"/>
          <w:color w:val="auto"/>
        </w:rPr>
        <w:t>Preliminary Proxy Statement</w:t>
      </w:r>
    </w:p>
    <w:p>
      <w:pPr>
        <w:spacing w:after="0" w:line="39" w:lineRule="exact"/>
        <w:rPr>
          <w:rFonts w:ascii="MS PGothic" w:cs="MS PGothic" w:eastAsia="MS PGothic" w:hAnsi="MS PGothic"/>
          <w:sz w:val="19"/>
          <w:szCs w:val="19"/>
          <w:color w:val="auto"/>
        </w:rPr>
      </w:pPr>
    </w:p>
    <w:p>
      <w:pPr>
        <w:ind w:left="5" w:right="5580" w:hanging="5"/>
        <w:spacing w:after="0" w:line="226" w:lineRule="exact"/>
        <w:tabs>
          <w:tab w:leader="none" w:pos="278" w:val="left"/>
        </w:tabs>
        <w:numPr>
          <w:ilvl w:val="0"/>
          <w:numId w:val="1"/>
        </w:numPr>
        <w:rPr>
          <w:rFonts w:ascii="MS PGothic" w:cs="MS PGothic" w:eastAsia="MS PGothic" w:hAnsi="MS PGothic"/>
          <w:sz w:val="19"/>
          <w:szCs w:val="19"/>
          <w:color w:val="auto"/>
        </w:rPr>
      </w:pPr>
      <w:r>
        <w:rPr>
          <w:rFonts w:ascii="Arial" w:cs="Arial" w:eastAsia="Arial" w:hAnsi="Arial"/>
          <w:sz w:val="15"/>
          <w:szCs w:val="15"/>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5"/>
          <w:szCs w:val="15"/>
          <w:color w:val="auto"/>
        </w:rPr>
        <w:t xml:space="preserve"> Definitive Proxy Statement</w:t>
      </w:r>
    </w:p>
    <w:p>
      <w:pPr>
        <w:ind w:left="265" w:hanging="265"/>
        <w:spacing w:after="0" w:line="228" w:lineRule="auto"/>
        <w:tabs>
          <w:tab w:leader="none" w:pos="265" w:val="left"/>
        </w:tabs>
        <w:numPr>
          <w:ilvl w:val="0"/>
          <w:numId w:val="1"/>
        </w:numPr>
        <w:rPr>
          <w:rFonts w:ascii="MS PGothic" w:cs="MS PGothic" w:eastAsia="MS PGothic" w:hAnsi="MS PGothic"/>
          <w:sz w:val="19"/>
          <w:szCs w:val="19"/>
          <w:color w:val="auto"/>
        </w:rPr>
      </w:pPr>
      <w:r>
        <w:rPr>
          <w:rFonts w:ascii="Arial" w:cs="Arial" w:eastAsia="Arial" w:hAnsi="Arial"/>
          <w:sz w:val="15"/>
          <w:szCs w:val="15"/>
          <w:color w:val="auto"/>
        </w:rPr>
        <w:t>Definitive Additional Materials</w:t>
      </w:r>
    </w:p>
    <w:p>
      <w:pPr>
        <w:spacing w:after="0" w:line="40" w:lineRule="exact"/>
        <w:rPr>
          <w:rFonts w:ascii="MS PGothic" w:cs="MS PGothic" w:eastAsia="MS PGothic" w:hAnsi="MS PGothic"/>
          <w:sz w:val="19"/>
          <w:szCs w:val="19"/>
          <w:color w:val="auto"/>
        </w:rPr>
      </w:pPr>
    </w:p>
    <w:p>
      <w:pPr>
        <w:ind w:left="265" w:hanging="265"/>
        <w:spacing w:after="0" w:line="228" w:lineRule="auto"/>
        <w:tabs>
          <w:tab w:leader="none" w:pos="265" w:val="left"/>
        </w:tabs>
        <w:numPr>
          <w:ilvl w:val="0"/>
          <w:numId w:val="1"/>
        </w:numPr>
        <w:rPr>
          <w:rFonts w:ascii="MS PGothic" w:cs="MS PGothic" w:eastAsia="MS PGothic" w:hAnsi="MS PGothic"/>
          <w:sz w:val="19"/>
          <w:szCs w:val="19"/>
          <w:color w:val="auto"/>
        </w:rPr>
      </w:pPr>
      <w:r>
        <w:rPr>
          <w:rFonts w:ascii="Arial" w:cs="Arial" w:eastAsia="Arial" w:hAnsi="Arial"/>
          <w:sz w:val="15"/>
          <w:szCs w:val="15"/>
          <w:color w:val="auto"/>
        </w:rPr>
        <w:t>Soliciting Material Under Rule 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-706755</wp:posOffset>
            </wp:positionV>
            <wp:extent cx="7263130" cy="7232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130" cy="723265"/>
                    </a:xfrm>
                    <a:prstGeom prst="rect">
                      <a:avLst/>
                    </a:prstGeom>
                    <a:noFill/>
                  </pic:spPr>
                </pic:pic>
              </a:graphicData>
            </a:graphic>
          </wp:anchor>
        </w:drawing>
        <w:drawing>
          <wp:anchor simplePos="0" relativeHeight="251657728" behindDoc="1" locked="0" layoutInCell="0" allowOverlap="1">
            <wp:simplePos x="0" y="0"/>
            <wp:positionH relativeFrom="column">
              <wp:posOffset>2968625</wp:posOffset>
            </wp:positionH>
            <wp:positionV relativeFrom="paragraph">
              <wp:posOffset>136525</wp:posOffset>
            </wp:positionV>
            <wp:extent cx="1333500" cy="421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33500" cy="421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ind w:right="-84"/>
        <w:spacing w:after="0"/>
        <w:rPr>
          <w:sz w:val="20"/>
          <w:szCs w:val="20"/>
          <w:color w:val="auto"/>
        </w:rPr>
      </w:pPr>
      <w:r>
        <w:rPr>
          <w:rFonts w:ascii="Arial" w:cs="Arial" w:eastAsia="Arial" w:hAnsi="Arial"/>
          <w:sz w:val="19"/>
          <w:szCs w:val="19"/>
          <w:b w:val="1"/>
          <w:bCs w:val="1"/>
          <w:color w:val="auto"/>
        </w:rPr>
        <w:t>SL Green Realty Corp.</w:t>
      </w:r>
    </w:p>
    <w:p>
      <w:pPr>
        <w:spacing w:after="0" w:line="207" w:lineRule="exact"/>
        <w:rPr>
          <w:sz w:val="24"/>
          <w:szCs w:val="24"/>
          <w:color w:val="auto"/>
        </w:rPr>
      </w:pPr>
    </w:p>
    <w:p>
      <w:pPr>
        <w:jc w:val="center"/>
        <w:ind w:right="-84"/>
        <w:spacing w:after="0"/>
        <w:rPr>
          <w:sz w:val="20"/>
          <w:szCs w:val="20"/>
          <w:color w:val="auto"/>
        </w:rPr>
      </w:pPr>
      <w:r>
        <w:rPr>
          <w:rFonts w:ascii="Arial" w:cs="Arial" w:eastAsia="Arial" w:hAnsi="Arial"/>
          <w:sz w:val="12"/>
          <w:szCs w:val="12"/>
          <w:color w:val="auto"/>
        </w:rPr>
        <w:t>(Name of Registrant as Specified In Its Charter)</w:t>
      </w:r>
    </w:p>
    <w:p>
      <w:pPr>
        <w:jc w:val="center"/>
        <w:ind w:right="-84"/>
        <w:spacing w:after="0"/>
        <w:rPr>
          <w:sz w:val="20"/>
          <w:szCs w:val="20"/>
          <w:color w:val="auto"/>
        </w:rPr>
      </w:pPr>
      <w:r>
        <w:rPr>
          <w:rFonts w:ascii="Arial" w:cs="Arial" w:eastAsia="Arial" w:hAnsi="Arial"/>
          <w:sz w:val="12"/>
          <w:szCs w:val="12"/>
          <w:color w:val="auto"/>
        </w:rPr>
        <w:t>(Name of Person(s) Filing Proxy Statement, if Other Than the Registrant)</w:t>
      </w:r>
    </w:p>
    <w:p>
      <w:pPr>
        <w:spacing w:after="0" w:line="198" w:lineRule="exact"/>
        <w:rPr>
          <w:sz w:val="24"/>
          <w:szCs w:val="24"/>
          <w:color w:val="auto"/>
        </w:rPr>
      </w:pPr>
    </w:p>
    <w:p>
      <w:pPr>
        <w:ind w:left="5"/>
        <w:spacing w:after="0"/>
        <w:rPr>
          <w:sz w:val="20"/>
          <w:szCs w:val="20"/>
          <w:color w:val="auto"/>
        </w:rPr>
      </w:pPr>
      <w:r>
        <w:rPr>
          <w:rFonts w:ascii="Arial" w:cs="Arial" w:eastAsia="Arial" w:hAnsi="Arial"/>
          <w:sz w:val="15"/>
          <w:szCs w:val="15"/>
          <w:color w:val="auto"/>
        </w:rPr>
        <w:t>PAYMENT OF FILING FEE (CHECK THE APPROPRIATE BOX):</w:t>
      </w:r>
    </w:p>
    <w:p>
      <w:pPr>
        <w:spacing w:after="0" w:line="43" w:lineRule="exact"/>
        <w:rPr>
          <w:sz w:val="24"/>
          <w:szCs w:val="24"/>
          <w:color w:val="auto"/>
        </w:rPr>
      </w:pPr>
    </w:p>
    <w:p>
      <w:pPr>
        <w:ind w:left="265" w:hanging="265"/>
        <w:spacing w:after="0"/>
        <w:tabs>
          <w:tab w:leader="none" w:pos="265" w:val="left"/>
        </w:tabs>
        <w:numPr>
          <w:ilvl w:val="0"/>
          <w:numId w:val="2"/>
        </w:numPr>
        <w:rPr>
          <w:rFonts w:ascii="MS PGothic" w:cs="MS PGothic" w:eastAsia="MS PGothic" w:hAnsi="MS PGothic"/>
          <w:sz w:val="19"/>
          <w:szCs w:val="19"/>
          <w:color w:val="auto"/>
        </w:rPr>
      </w:pPr>
      <w:r>
        <w:rPr>
          <w:rFonts w:ascii="Arial" w:cs="Arial" w:eastAsia="Arial" w:hAnsi="Arial"/>
          <w:sz w:val="15"/>
          <w:szCs w:val="15"/>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7263130" cy="14090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130" cy="1409065"/>
                    </a:xfrm>
                    <a:prstGeom prst="rect">
                      <a:avLst/>
                    </a:prstGeom>
                    <a:noFill/>
                  </pic:spPr>
                </pic:pic>
              </a:graphicData>
            </a:graphic>
          </wp:anchor>
        </w:drawing>
      </w:r>
    </w:p>
    <w:p>
      <w:pPr>
        <w:spacing w:after="0" w:line="10" w:lineRule="exact"/>
        <w:rPr>
          <w:sz w:val="24"/>
          <w:szCs w:val="24"/>
          <w:color w:val="auto"/>
        </w:rPr>
      </w:pPr>
    </w:p>
    <w:p>
      <w:pPr>
        <w:ind w:left="265" w:hanging="265"/>
        <w:spacing w:after="0"/>
        <w:tabs>
          <w:tab w:leader="none" w:pos="265" w:val="left"/>
        </w:tabs>
        <w:numPr>
          <w:ilvl w:val="0"/>
          <w:numId w:val="3"/>
        </w:numPr>
        <w:rPr>
          <w:rFonts w:ascii="MS PGothic" w:cs="MS PGothic" w:eastAsia="MS PGothic" w:hAnsi="MS PGothic"/>
          <w:sz w:val="19"/>
          <w:szCs w:val="19"/>
          <w:color w:val="auto"/>
        </w:rPr>
      </w:pPr>
      <w:r>
        <w:rPr>
          <w:rFonts w:ascii="Arial" w:cs="Arial" w:eastAsia="Arial" w:hAnsi="Arial"/>
          <w:sz w:val="15"/>
          <w:szCs w:val="15"/>
          <w:color w:val="auto"/>
        </w:rPr>
        <w:t>Fee computed on table below per Exchange Act Rules 14a-6(i)(1) and 0-11.</w:t>
      </w:r>
    </w:p>
    <w:p>
      <w:pPr>
        <w:spacing w:after="0" w:line="12" w:lineRule="exact"/>
        <w:rPr>
          <w:rFonts w:ascii="MS PGothic" w:cs="MS PGothic" w:eastAsia="MS PGothic" w:hAnsi="MS PGothic"/>
          <w:sz w:val="19"/>
          <w:szCs w:val="19"/>
          <w:color w:val="auto"/>
        </w:rPr>
      </w:pPr>
    </w:p>
    <w:p>
      <w:pPr>
        <w:ind w:left="525" w:hanging="145"/>
        <w:spacing w:after="0" w:line="227" w:lineRule="auto"/>
        <w:tabs>
          <w:tab w:leader="none" w:pos="525" w:val="left"/>
        </w:tabs>
        <w:numPr>
          <w:ilvl w:val="1"/>
          <w:numId w:val="3"/>
        </w:numPr>
        <w:rPr>
          <w:rFonts w:ascii="Arial" w:cs="Arial" w:eastAsia="Arial" w:hAnsi="Arial"/>
          <w:sz w:val="12"/>
          <w:szCs w:val="12"/>
          <w:color w:val="auto"/>
        </w:rPr>
      </w:pPr>
      <w:r>
        <w:rPr>
          <w:rFonts w:ascii="Arial" w:cs="Arial" w:eastAsia="Arial" w:hAnsi="Arial"/>
          <w:sz w:val="12"/>
          <w:szCs w:val="12"/>
          <w:color w:val="auto"/>
        </w:rPr>
        <w:t>Title of each class of securities to which transaction applies:</w:t>
      </w:r>
    </w:p>
    <w:p>
      <w:pPr>
        <w:ind w:left="525" w:hanging="145"/>
        <w:spacing w:after="0" w:line="227" w:lineRule="auto"/>
        <w:tabs>
          <w:tab w:leader="none" w:pos="525" w:val="left"/>
        </w:tabs>
        <w:numPr>
          <w:ilvl w:val="1"/>
          <w:numId w:val="3"/>
        </w:numPr>
        <w:rPr>
          <w:rFonts w:ascii="Arial" w:cs="Arial" w:eastAsia="Arial" w:hAnsi="Arial"/>
          <w:sz w:val="12"/>
          <w:szCs w:val="12"/>
          <w:color w:val="auto"/>
        </w:rPr>
      </w:pPr>
      <w:r>
        <w:rPr>
          <w:rFonts w:ascii="Arial" w:cs="Arial" w:eastAsia="Arial" w:hAnsi="Arial"/>
          <w:sz w:val="12"/>
          <w:szCs w:val="12"/>
          <w:color w:val="auto"/>
        </w:rPr>
        <w:t>Aggregate number of securities to which transaction applies:</w:t>
      </w:r>
    </w:p>
    <w:p>
      <w:pPr>
        <w:ind w:left="525" w:hanging="145"/>
        <w:spacing w:after="0" w:line="227" w:lineRule="auto"/>
        <w:tabs>
          <w:tab w:leader="none" w:pos="525" w:val="left"/>
        </w:tabs>
        <w:numPr>
          <w:ilvl w:val="1"/>
          <w:numId w:val="3"/>
        </w:numPr>
        <w:rPr>
          <w:rFonts w:ascii="Arial" w:cs="Arial" w:eastAsia="Arial" w:hAnsi="Arial"/>
          <w:sz w:val="12"/>
          <w:szCs w:val="12"/>
          <w:color w:val="auto"/>
        </w:rPr>
      </w:pPr>
      <w:r>
        <w:rPr>
          <w:rFonts w:ascii="Arial" w:cs="Arial" w:eastAsia="Arial" w:hAnsi="Arial"/>
          <w:sz w:val="12"/>
          <w:szCs w:val="12"/>
          <w:color w:val="auto"/>
        </w:rPr>
        <w:t>Per unit price or other underlying value of transaction computed pursuant to Exchange Act Rule 0-11 (set forth the amount on which the filing fee is calculated and state how it was determined):</w:t>
      </w:r>
    </w:p>
    <w:p>
      <w:pPr>
        <w:ind w:left="525" w:hanging="145"/>
        <w:spacing w:after="0" w:line="227" w:lineRule="auto"/>
        <w:tabs>
          <w:tab w:leader="none" w:pos="525" w:val="left"/>
        </w:tabs>
        <w:numPr>
          <w:ilvl w:val="1"/>
          <w:numId w:val="3"/>
        </w:numPr>
        <w:rPr>
          <w:rFonts w:ascii="Arial" w:cs="Arial" w:eastAsia="Arial" w:hAnsi="Arial"/>
          <w:sz w:val="12"/>
          <w:szCs w:val="12"/>
          <w:color w:val="auto"/>
        </w:rPr>
      </w:pPr>
      <w:r>
        <w:rPr>
          <w:rFonts w:ascii="Arial" w:cs="Arial" w:eastAsia="Arial" w:hAnsi="Arial"/>
          <w:sz w:val="12"/>
          <w:szCs w:val="12"/>
          <w:color w:val="auto"/>
        </w:rPr>
        <w:t>Proposed maximum aggregate value of transaction:</w:t>
      </w:r>
    </w:p>
    <w:p>
      <w:pPr>
        <w:ind w:left="525" w:hanging="145"/>
        <w:spacing w:after="0"/>
        <w:tabs>
          <w:tab w:leader="none" w:pos="525" w:val="left"/>
        </w:tabs>
        <w:numPr>
          <w:ilvl w:val="1"/>
          <w:numId w:val="3"/>
        </w:numPr>
        <w:rPr>
          <w:rFonts w:ascii="Arial" w:cs="Arial" w:eastAsia="Arial" w:hAnsi="Arial"/>
          <w:sz w:val="12"/>
          <w:szCs w:val="12"/>
          <w:color w:val="auto"/>
        </w:rPr>
      </w:pPr>
      <w:r>
        <w:rPr>
          <w:rFonts w:ascii="Arial" w:cs="Arial" w:eastAsia="Arial" w:hAnsi="Arial"/>
          <w:sz w:val="12"/>
          <w:szCs w:val="12"/>
          <w:color w:val="auto"/>
        </w:rPr>
        <w:t>Total fee paid:</w:t>
      </w:r>
    </w:p>
    <w:p>
      <w:pPr>
        <w:spacing w:after="0" w:line="10" w:lineRule="exact"/>
        <w:rPr>
          <w:rFonts w:ascii="Arial" w:cs="Arial" w:eastAsia="Arial" w:hAnsi="Arial"/>
          <w:sz w:val="12"/>
          <w:szCs w:val="12"/>
          <w:color w:val="auto"/>
        </w:rPr>
      </w:pPr>
    </w:p>
    <w:p>
      <w:pPr>
        <w:ind w:left="265" w:hanging="265"/>
        <w:spacing w:after="0"/>
        <w:tabs>
          <w:tab w:leader="none" w:pos="265" w:val="left"/>
        </w:tabs>
        <w:numPr>
          <w:ilvl w:val="0"/>
          <w:numId w:val="3"/>
        </w:numPr>
        <w:rPr>
          <w:rFonts w:ascii="MS PGothic" w:cs="MS PGothic" w:eastAsia="MS PGothic" w:hAnsi="MS PGothic"/>
          <w:sz w:val="19"/>
          <w:szCs w:val="19"/>
          <w:color w:val="auto"/>
        </w:rPr>
      </w:pPr>
      <w:r>
        <w:rPr>
          <w:rFonts w:ascii="Arial" w:cs="Arial" w:eastAsia="Arial" w:hAnsi="Arial"/>
          <w:sz w:val="15"/>
          <w:szCs w:val="15"/>
          <w:color w:val="auto"/>
        </w:rPr>
        <w:t>Fee paid previously with preliminary materials:</w:t>
      </w:r>
    </w:p>
    <w:p>
      <w:pPr>
        <w:spacing w:after="0" w:line="27" w:lineRule="exact"/>
        <w:rPr>
          <w:rFonts w:ascii="MS PGothic" w:cs="MS PGothic" w:eastAsia="MS PGothic" w:hAnsi="MS PGothic"/>
          <w:sz w:val="19"/>
          <w:szCs w:val="19"/>
          <w:color w:val="auto"/>
        </w:rPr>
      </w:pPr>
    </w:p>
    <w:p>
      <w:pPr>
        <w:ind w:left="265" w:hanging="265"/>
        <w:spacing w:after="0" w:line="230" w:lineRule="auto"/>
        <w:tabs>
          <w:tab w:leader="none" w:pos="265" w:val="left"/>
        </w:tabs>
        <w:numPr>
          <w:ilvl w:val="0"/>
          <w:numId w:val="3"/>
        </w:numPr>
        <w:rPr>
          <w:rFonts w:ascii="MS PGothic" w:cs="MS PGothic" w:eastAsia="MS PGothic" w:hAnsi="MS PGothic"/>
          <w:sz w:val="19"/>
          <w:szCs w:val="19"/>
          <w:color w:val="auto"/>
        </w:rPr>
      </w:pP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525" w:hanging="145"/>
        <w:spacing w:after="0" w:line="227" w:lineRule="auto"/>
        <w:tabs>
          <w:tab w:leader="none" w:pos="525" w:val="left"/>
        </w:tabs>
        <w:numPr>
          <w:ilvl w:val="1"/>
          <w:numId w:val="3"/>
        </w:numPr>
        <w:rPr>
          <w:rFonts w:ascii="Arial" w:cs="Arial" w:eastAsia="Arial" w:hAnsi="Arial"/>
          <w:sz w:val="12"/>
          <w:szCs w:val="12"/>
          <w:color w:val="auto"/>
        </w:rPr>
      </w:pPr>
      <w:r>
        <w:rPr>
          <w:rFonts w:ascii="Arial" w:cs="Arial" w:eastAsia="Arial" w:hAnsi="Arial"/>
          <w:sz w:val="12"/>
          <w:szCs w:val="12"/>
          <w:color w:val="auto"/>
        </w:rPr>
        <w:t>Amount previously paid:</w:t>
      </w:r>
    </w:p>
    <w:p>
      <w:pPr>
        <w:ind w:left="525" w:hanging="145"/>
        <w:spacing w:after="0" w:line="227" w:lineRule="auto"/>
        <w:tabs>
          <w:tab w:leader="none" w:pos="525" w:val="left"/>
        </w:tabs>
        <w:numPr>
          <w:ilvl w:val="1"/>
          <w:numId w:val="3"/>
        </w:numPr>
        <w:rPr>
          <w:rFonts w:ascii="Arial" w:cs="Arial" w:eastAsia="Arial" w:hAnsi="Arial"/>
          <w:sz w:val="12"/>
          <w:szCs w:val="12"/>
          <w:color w:val="auto"/>
        </w:rPr>
      </w:pPr>
      <w:r>
        <w:rPr>
          <w:rFonts w:ascii="Arial" w:cs="Arial" w:eastAsia="Arial" w:hAnsi="Arial"/>
          <w:sz w:val="12"/>
          <w:szCs w:val="12"/>
          <w:color w:val="auto"/>
        </w:rPr>
        <w:t>Form, Schedule or Registration Statement No.:</w:t>
      </w:r>
    </w:p>
    <w:p>
      <w:pPr>
        <w:ind w:left="525" w:hanging="145"/>
        <w:spacing w:after="0" w:line="227" w:lineRule="auto"/>
        <w:tabs>
          <w:tab w:leader="none" w:pos="525" w:val="left"/>
        </w:tabs>
        <w:numPr>
          <w:ilvl w:val="1"/>
          <w:numId w:val="3"/>
        </w:numPr>
        <w:rPr>
          <w:rFonts w:ascii="Arial" w:cs="Arial" w:eastAsia="Arial" w:hAnsi="Arial"/>
          <w:sz w:val="12"/>
          <w:szCs w:val="12"/>
          <w:color w:val="auto"/>
        </w:rPr>
      </w:pPr>
      <w:r>
        <w:rPr>
          <w:rFonts w:ascii="Arial" w:cs="Arial" w:eastAsia="Arial" w:hAnsi="Arial"/>
          <w:sz w:val="12"/>
          <w:szCs w:val="12"/>
          <w:color w:val="auto"/>
        </w:rPr>
        <w:t>Filing Party:</w:t>
      </w:r>
    </w:p>
    <w:p>
      <w:pPr>
        <w:ind w:left="525" w:hanging="145"/>
        <w:spacing w:after="0"/>
        <w:tabs>
          <w:tab w:leader="none" w:pos="525" w:val="left"/>
        </w:tabs>
        <w:numPr>
          <w:ilvl w:val="1"/>
          <w:numId w:val="3"/>
        </w:numPr>
        <w:rPr>
          <w:rFonts w:ascii="Arial" w:cs="Arial" w:eastAsia="Arial" w:hAnsi="Arial"/>
          <w:sz w:val="12"/>
          <w:szCs w:val="12"/>
          <w:color w:val="auto"/>
        </w:rPr>
      </w:pPr>
      <w:r>
        <w:rPr>
          <w:rFonts w:ascii="Arial" w:cs="Arial" w:eastAsia="Arial" w:hAnsi="Arial"/>
          <w:sz w:val="12"/>
          <w:szCs w:val="12"/>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26313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13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196215</wp:posOffset>
            </wp:positionV>
            <wp:extent cx="7283450"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365"/>
          </w:cols>
          <w:pgMar w:left="235" w:top="623" w:right="299" w:bottom="1440" w:gutter="0" w:footer="0" w:header="0"/>
          <w:type w:val="continuous"/>
        </w:sectPr>
      </w:pPr>
    </w:p>
    <w:bookmarkStart w:id="1" w:name="page2"/>
    <w:bookmarkEnd w:id="1"/>
    <w:p>
      <w:pPr>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3130" cy="135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130" cy="135890"/>
                    </a:xfrm>
                    <a:prstGeom prst="rect">
                      <a:avLst/>
                    </a:prstGeom>
                    <a:noFill/>
                  </pic:spPr>
                </pic:pic>
              </a:graphicData>
            </a:graphic>
          </wp:anchor>
        </w:drawing>
        <w:drawing>
          <wp:anchor simplePos="0" relativeHeight="251657728" behindDoc="1" locked="0" layoutInCell="0" allowOverlap="1">
            <wp:simplePos x="0" y="0"/>
            <wp:positionH relativeFrom="column">
              <wp:posOffset>5466715</wp:posOffset>
            </wp:positionH>
            <wp:positionV relativeFrom="paragraph">
              <wp:posOffset>676275</wp:posOffset>
            </wp:positionV>
            <wp:extent cx="1793240" cy="549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3240" cy="549910"/>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2039620</wp:posOffset>
            </wp:positionV>
            <wp:extent cx="5274310" cy="28708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74310" cy="2870835"/>
                    </a:xfrm>
                    <a:prstGeom prst="rect">
                      <a:avLst/>
                    </a:prstGeom>
                    <a:noFill/>
                  </pic:spPr>
                </pic:pic>
              </a:graphicData>
            </a:graphic>
          </wp:anchor>
        </w:drawing>
      </w:r>
    </w:p>
    <w:p>
      <w:pPr>
        <w:sectPr>
          <w:pgSz w:w="11900" w:h="16838" w:orient="portrait"/>
          <w:cols w:equalWidth="0" w:num="1">
            <w:col w:w="10960"/>
          </w:cols>
          <w:pgMar w:left="240" w:top="528"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8840"/>
        <w:spacing w:after="0"/>
        <w:rPr>
          <w:sz w:val="20"/>
          <w:szCs w:val="20"/>
          <w:color w:val="auto"/>
        </w:rPr>
      </w:pPr>
      <w:r>
        <w:rPr>
          <w:rFonts w:ascii="Arial" w:cs="Arial" w:eastAsia="Arial" w:hAnsi="Arial"/>
          <w:sz w:val="95"/>
          <w:szCs w:val="95"/>
          <w:b w:val="1"/>
          <w:bCs w:val="1"/>
          <w:color w:val="325889"/>
        </w:rPr>
        <w:t>2017</w:t>
      </w:r>
    </w:p>
    <w:p>
      <w:pPr>
        <w:spacing w:after="0" w:line="309" w:lineRule="exact"/>
        <w:rPr>
          <w:sz w:val="20"/>
          <w:szCs w:val="20"/>
          <w:color w:val="auto"/>
        </w:rPr>
      </w:pPr>
    </w:p>
    <w:p>
      <w:pPr>
        <w:jc w:val="right"/>
        <w:ind w:right="180"/>
        <w:spacing w:after="0"/>
        <w:rPr>
          <w:sz w:val="20"/>
          <w:szCs w:val="20"/>
          <w:color w:val="auto"/>
        </w:rPr>
      </w:pPr>
      <w:r>
        <w:rPr>
          <w:rFonts w:ascii="Arial" w:cs="Arial" w:eastAsia="Arial" w:hAnsi="Arial"/>
          <w:sz w:val="63"/>
          <w:szCs w:val="63"/>
          <w:color w:val="325889"/>
        </w:rPr>
        <w:t>Proxy</w:t>
      </w:r>
    </w:p>
    <w:p>
      <w:pPr>
        <w:jc w:val="right"/>
        <w:spacing w:after="0" w:line="238" w:lineRule="auto"/>
        <w:rPr>
          <w:sz w:val="20"/>
          <w:szCs w:val="20"/>
          <w:color w:val="auto"/>
        </w:rPr>
      </w:pPr>
      <w:r>
        <w:rPr>
          <w:rFonts w:ascii="Arial" w:cs="Arial" w:eastAsia="Arial" w:hAnsi="Arial"/>
          <w:sz w:val="63"/>
          <w:szCs w:val="63"/>
          <w:color w:val="325889"/>
        </w:rPr>
        <w:t>Statement</w:t>
      </w:r>
    </w:p>
    <w:p>
      <w:pPr>
        <w:spacing w:after="0" w:line="1" w:lineRule="exact"/>
        <w:rPr>
          <w:sz w:val="20"/>
          <w:szCs w:val="20"/>
          <w:color w:val="auto"/>
        </w:rPr>
      </w:pPr>
    </w:p>
    <w:p>
      <w:pPr>
        <w:spacing w:after="0"/>
        <w:rPr>
          <w:sz w:val="20"/>
          <w:szCs w:val="20"/>
          <w:color w:val="auto"/>
        </w:rPr>
      </w:pPr>
      <w:r>
        <w:rPr>
          <w:rFonts w:ascii="Arial" w:cs="Arial" w:eastAsia="Arial" w:hAnsi="Arial"/>
          <w:sz w:val="28"/>
          <w:szCs w:val="28"/>
          <w:color w:val="325889"/>
        </w:rPr>
        <w:t>May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215265</wp:posOffset>
            </wp:positionV>
            <wp:extent cx="7263130" cy="135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130" cy="135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544195</wp:posOffset>
            </wp:positionV>
            <wp:extent cx="7283450"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0960"/>
          </w:cols>
          <w:pgMar w:left="240" w:top="528" w:right="699" w:bottom="1440" w:gutter="0" w:footer="0" w:header="0"/>
          <w:type w:val="continuous"/>
        </w:sectPr>
      </w:pPr>
    </w:p>
    <w:bookmarkStart w:id="2" w:name="page3"/>
    <w:bookmarkEnd w:id="2"/>
    <w:p>
      <w:pPr>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178" w:lineRule="exact"/>
        <w:rPr>
          <w:sz w:val="20"/>
          <w:szCs w:val="20"/>
          <w:color w:val="auto"/>
        </w:rPr>
      </w:pPr>
    </w:p>
    <w:p>
      <w:pPr>
        <w:spacing w:after="0"/>
        <w:rPr>
          <w:sz w:val="20"/>
          <w:szCs w:val="20"/>
          <w:color w:val="auto"/>
        </w:rPr>
      </w:pPr>
      <w:r>
        <w:rPr>
          <w:rFonts w:ascii="Arial" w:cs="Arial" w:eastAsia="Arial" w:hAnsi="Arial"/>
          <w:sz w:val="28"/>
          <w:szCs w:val="28"/>
          <w:b w:val="1"/>
          <w:bCs w:val="1"/>
          <w:color w:val="325889"/>
        </w:rPr>
        <w:t>2017 PROXY STATEMENT HIGHLIGHTS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7263130"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130" cy="1524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color w:val="auto"/>
        </w:rPr>
        <w:t>During 2016, our CEO and other executive officers led us to achieve strong operational and financial results,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122555</wp:posOffset>
            </wp:positionV>
            <wp:extent cx="7263130" cy="13182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130" cy="1318260"/>
                    </a:xfrm>
                    <a:prstGeom prst="rect">
                      <a:avLst/>
                    </a:prstGeom>
                    <a:noFill/>
                  </pic:spPr>
                </pic:pic>
              </a:graphicData>
            </a:graphic>
          </wp:anchor>
        </w:drawing>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325889"/>
        </w:rPr>
        <w:t>Growth in FFO Per Share</w:t>
      </w:r>
    </w:p>
    <w:p>
      <w:pPr>
        <w:spacing w:after="0" w:line="62" w:lineRule="exact"/>
        <w:rPr>
          <w:sz w:val="20"/>
          <w:szCs w:val="20"/>
          <w:color w:val="auto"/>
        </w:rPr>
      </w:pPr>
    </w:p>
    <w:p>
      <w:pPr>
        <w:ind w:left="140"/>
        <w:spacing w:after="0"/>
        <w:rPr>
          <w:sz w:val="20"/>
          <w:szCs w:val="20"/>
          <w:color w:val="auto"/>
        </w:rPr>
      </w:pPr>
      <w:r>
        <w:rPr>
          <w:rFonts w:ascii="Arial" w:cs="Arial" w:eastAsia="Arial" w:hAnsi="Arial"/>
          <w:sz w:val="12"/>
          <w:szCs w:val="12"/>
          <w:b w:val="1"/>
          <w:bCs w:val="1"/>
          <w:color w:val="FFFFFF"/>
        </w:rPr>
        <w:t>Normalized Funds From Operations Per Share ($)</w:t>
      </w:r>
      <w:r>
        <w:rPr>
          <w:rFonts w:ascii="Arial" w:cs="Arial" w:eastAsia="Arial" w:hAnsi="Arial"/>
          <w:sz w:val="19"/>
          <w:szCs w:val="19"/>
          <w:b w:val="1"/>
          <w:bCs w:val="1"/>
          <w:color w:val="FFFFFF"/>
          <w:vertAlign w:val="superscript"/>
        </w:rPr>
        <w:t>(1)</w:t>
      </w:r>
    </w:p>
    <w:p>
      <w:pPr>
        <w:ind w:left="140"/>
        <w:spacing w:after="0"/>
        <w:rPr>
          <w:sz w:val="20"/>
          <w:szCs w:val="20"/>
          <w:color w:val="auto"/>
        </w:rPr>
      </w:pPr>
      <w:r>
        <w:rPr>
          <w:rFonts w:ascii="Arial" w:cs="Arial" w:eastAsia="Arial" w:hAnsi="Arial"/>
          <w:sz w:val="32"/>
          <w:szCs w:val="32"/>
          <w:b w:val="1"/>
          <w:bCs w:val="1"/>
          <w:color w:val="FFFFFF"/>
        </w:rPr>
        <w:t xml:space="preserve">56% </w:t>
      </w:r>
      <w:r>
        <w:rPr>
          <w:rFonts w:ascii="Arial" w:cs="Arial" w:eastAsia="Arial" w:hAnsi="Arial"/>
          <w:sz w:val="15"/>
          <w:szCs w:val="15"/>
          <w:b w:val="1"/>
          <w:bCs w:val="1"/>
          <w:color w:val="325889"/>
        </w:rPr>
        <w:t>overall growth in Normalized FFO per</w:t>
      </w:r>
    </w:p>
    <w:p>
      <w:pPr>
        <w:spacing w:after="0" w:line="4"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325889"/>
        </w:rPr>
        <w:t>share since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40"/>
        <w:spacing w:after="0"/>
        <w:rPr>
          <w:sz w:val="20"/>
          <w:szCs w:val="20"/>
          <w:color w:val="auto"/>
        </w:rPr>
      </w:pPr>
      <w:r>
        <w:rPr>
          <w:rFonts w:ascii="Arial" w:cs="Arial" w:eastAsia="Arial" w:hAnsi="Arial"/>
          <w:sz w:val="12"/>
          <w:szCs w:val="12"/>
          <w:b w:val="1"/>
          <w:bCs w:val="1"/>
          <w:color w:val="325889"/>
        </w:rPr>
        <w:t>(1) Refer to Appendix A to this proxy statement for a reconciliation of Normalized FFO.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238125</wp:posOffset>
            </wp:positionV>
            <wp:extent cx="7263130" cy="12433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130" cy="1243330"/>
                    </a:xfrm>
                    <a:prstGeom prst="rect">
                      <a:avLst/>
                    </a:prstGeom>
                    <a:noFill/>
                  </pic:spPr>
                </pic:pic>
              </a:graphicData>
            </a:graphic>
          </wp:anchor>
        </w:drawing>
      </w:r>
    </w:p>
    <w:p>
      <w:pPr>
        <w:spacing w:after="0" w:line="365"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325889"/>
        </w:rPr>
        <w:t>Combined Same-store Cash Net Operating Income</w:t>
      </w:r>
      <w:r>
        <w:rPr>
          <w:rFonts w:ascii="Arial" w:cs="Arial" w:eastAsia="Arial" w:hAnsi="Arial"/>
          <w:sz w:val="25"/>
          <w:szCs w:val="25"/>
          <w:b w:val="1"/>
          <w:bCs w:val="1"/>
          <w:color w:val="325889"/>
          <w:vertAlign w:val="superscript"/>
        </w:rPr>
        <w:t>(2)</w:t>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2"/>
          <w:szCs w:val="12"/>
          <w:b w:val="1"/>
          <w:bCs w:val="1"/>
          <w:color w:val="FFFFFF"/>
        </w:rPr>
        <w:t>Year-over-year (% growth)</w:t>
      </w:r>
    </w:p>
    <w:p>
      <w:pPr>
        <w:ind w:left="140"/>
        <w:spacing w:after="0"/>
        <w:rPr>
          <w:sz w:val="20"/>
          <w:szCs w:val="20"/>
          <w:color w:val="auto"/>
        </w:rPr>
      </w:pPr>
      <w:r>
        <w:rPr>
          <w:rFonts w:ascii="Arial" w:cs="Arial" w:eastAsia="Arial" w:hAnsi="Arial"/>
          <w:sz w:val="32"/>
          <w:szCs w:val="32"/>
          <w:b w:val="1"/>
          <w:bCs w:val="1"/>
          <w:color w:val="FFFFFF"/>
        </w:rPr>
        <w:t xml:space="preserve">6.0% </w:t>
      </w:r>
      <w:r>
        <w:rPr>
          <w:rFonts w:ascii="Arial" w:cs="Arial" w:eastAsia="Arial" w:hAnsi="Arial"/>
          <w:sz w:val="15"/>
          <w:szCs w:val="15"/>
          <w:b w:val="1"/>
          <w:bCs w:val="1"/>
          <w:color w:val="325889"/>
        </w:rPr>
        <w:t>growth in 2016, following 3.0%+</w:t>
      </w:r>
    </w:p>
    <w:p>
      <w:pPr>
        <w:spacing w:after="0" w:line="4"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325889"/>
        </w:rPr>
        <w:t>annual growth since 2012</w:t>
      </w:r>
    </w:p>
    <w:p>
      <w:pPr>
        <w:spacing w:after="0" w:line="200" w:lineRule="exact"/>
        <w:rPr>
          <w:sz w:val="20"/>
          <w:szCs w:val="20"/>
          <w:color w:val="auto"/>
        </w:rPr>
      </w:pPr>
    </w:p>
    <w:p>
      <w:pPr>
        <w:spacing w:after="0" w:line="286" w:lineRule="exact"/>
        <w:rPr>
          <w:sz w:val="20"/>
          <w:szCs w:val="20"/>
          <w:color w:val="auto"/>
        </w:rPr>
      </w:pPr>
    </w:p>
    <w:p>
      <w:pPr>
        <w:ind w:left="360" w:right="5780" w:hanging="223"/>
        <w:spacing w:after="0" w:line="257" w:lineRule="auto"/>
        <w:tabs>
          <w:tab w:leader="none" w:pos="360" w:val="left"/>
        </w:tabs>
        <w:numPr>
          <w:ilvl w:val="0"/>
          <w:numId w:val="4"/>
        </w:numPr>
        <w:rPr>
          <w:rFonts w:ascii="Arial" w:cs="Arial" w:eastAsia="Arial" w:hAnsi="Arial"/>
          <w:sz w:val="12"/>
          <w:szCs w:val="12"/>
          <w:b w:val="1"/>
          <w:bCs w:val="1"/>
          <w:color w:val="325889"/>
        </w:rPr>
      </w:pPr>
      <w:r>
        <w:rPr>
          <w:rFonts w:ascii="Arial" w:cs="Arial" w:eastAsia="Arial" w:hAnsi="Arial"/>
          <w:sz w:val="12"/>
          <w:szCs w:val="12"/>
          <w:b w:val="1"/>
          <w:bCs w:val="1"/>
          <w:color w:val="325889"/>
        </w:rPr>
        <w:t>Refer to Appendix A to this proxy statement for a reconciliation of Combined Same-store Cash Net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243840</wp:posOffset>
            </wp:positionV>
            <wp:extent cx="7263130" cy="13182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130" cy="1318260"/>
                    </a:xfrm>
                    <a:prstGeom prst="rect">
                      <a:avLst/>
                    </a:prstGeom>
                    <a:noFill/>
                  </pic:spPr>
                </pic:pic>
              </a:graphicData>
            </a:graphic>
          </wp:anchor>
        </w:drawing>
      </w:r>
    </w:p>
    <w:p>
      <w:pPr>
        <w:spacing w:after="0" w:line="372"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325889"/>
        </w:rPr>
        <w:t>Outstanding Leasing Results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FFFFFF"/>
        </w:rPr>
        <w:t xml:space="preserve">3.2M </w:t>
      </w:r>
      <w:r>
        <w:rPr>
          <w:rFonts w:ascii="Arial" w:cs="Arial" w:eastAsia="Arial" w:hAnsi="Arial"/>
          <w:sz w:val="15"/>
          <w:szCs w:val="15"/>
          <w:b w:val="1"/>
          <w:bCs w:val="1"/>
          <w:color w:val="325889"/>
        </w:rPr>
        <w:t>square feet of Manhattan office leases signed at a mark-to-</w:t>
      </w:r>
    </w:p>
    <w:p>
      <w:pPr>
        <w:spacing w:after="0" w:line="44" w:lineRule="exact"/>
        <w:rPr>
          <w:sz w:val="20"/>
          <w:szCs w:val="20"/>
          <w:color w:val="auto"/>
        </w:rPr>
      </w:pPr>
    </w:p>
    <w:p>
      <w:pPr>
        <w:ind w:left="140" w:right="5920"/>
        <w:spacing w:after="0" w:line="265" w:lineRule="auto"/>
        <w:rPr>
          <w:sz w:val="20"/>
          <w:szCs w:val="20"/>
          <w:color w:val="auto"/>
        </w:rPr>
      </w:pPr>
      <w:r>
        <w:rPr>
          <w:rFonts w:ascii="Arial" w:cs="Arial" w:eastAsia="Arial" w:hAnsi="Arial"/>
          <w:sz w:val="15"/>
          <w:szCs w:val="15"/>
          <w:b w:val="1"/>
          <w:bCs w:val="1"/>
          <w:color w:val="325889"/>
        </w:rPr>
        <w:t xml:space="preserve">market of </w:t>
      </w:r>
      <w:r>
        <w:rPr>
          <w:rFonts w:ascii="Arial" w:cs="Arial" w:eastAsia="Arial" w:hAnsi="Arial"/>
          <w:sz w:val="15"/>
          <w:szCs w:val="15"/>
          <w:b w:val="1"/>
          <w:bCs w:val="1"/>
          <w:color w:val="FFFFFF"/>
        </w:rPr>
        <w:t>27.6%</w:t>
      </w:r>
      <w:r>
        <w:rPr>
          <w:rFonts w:ascii="Arial" w:cs="Arial" w:eastAsia="Arial" w:hAnsi="Arial"/>
          <w:sz w:val="15"/>
          <w:szCs w:val="15"/>
          <w:b w:val="1"/>
          <w:bCs w:val="1"/>
          <w:color w:val="325889"/>
        </w:rPr>
        <w:t xml:space="preserve"> and </w:t>
      </w:r>
      <w:r>
        <w:rPr>
          <w:rFonts w:ascii="Arial" w:cs="Arial" w:eastAsia="Arial" w:hAnsi="Arial"/>
          <w:sz w:val="15"/>
          <w:szCs w:val="15"/>
          <w:b w:val="1"/>
          <w:bCs w:val="1"/>
          <w:color w:val="FFFFFF"/>
        </w:rPr>
        <w:t>638,000</w:t>
      </w:r>
      <w:r>
        <w:rPr>
          <w:rFonts w:ascii="Arial" w:cs="Arial" w:eastAsia="Arial" w:hAnsi="Arial"/>
          <w:sz w:val="15"/>
          <w:szCs w:val="15"/>
          <w:b w:val="1"/>
          <w:bCs w:val="1"/>
          <w:color w:val="325889"/>
        </w:rPr>
        <w:t xml:space="preserve"> square feet of suburban office leases signed at a mark-to-market of </w:t>
      </w:r>
      <w:r>
        <w:rPr>
          <w:rFonts w:ascii="Arial" w:cs="Arial" w:eastAsia="Arial" w:hAnsi="Arial"/>
          <w:sz w:val="15"/>
          <w:szCs w:val="15"/>
          <w:b w:val="1"/>
          <w:bCs w:val="1"/>
          <w:color w:val="FFFFFF"/>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434340</wp:posOffset>
            </wp:positionV>
            <wp:extent cx="7263130" cy="1002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130" cy="100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325889"/>
        </w:rPr>
        <w:t>Record Monetization of Assets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 w:type="dxa"/>
            <w:vAlign w:val="bottom"/>
          </w:tcPr>
          <w:p>
            <w:pPr>
              <w:spacing w:after="0"/>
              <w:rPr>
                <w:sz w:val="19"/>
                <w:szCs w:val="19"/>
                <w:color w:val="auto"/>
              </w:rPr>
            </w:pPr>
          </w:p>
        </w:tc>
        <w:tc>
          <w:tcPr>
            <w:tcW w:w="7740" w:type="dxa"/>
            <w:vAlign w:val="bottom"/>
            <w:shd w:val="clear" w:color="auto" w:fill="9CA1BE"/>
          </w:tcPr>
          <w:p>
            <w:pPr>
              <w:spacing w:after="0"/>
              <w:rPr>
                <w:sz w:val="20"/>
                <w:szCs w:val="20"/>
                <w:color w:val="auto"/>
              </w:rPr>
            </w:pPr>
            <w:r>
              <w:rPr>
                <w:rFonts w:ascii="Arial" w:cs="Arial" w:eastAsia="Arial" w:hAnsi="Arial"/>
                <w:sz w:val="15"/>
                <w:szCs w:val="15"/>
                <w:b w:val="1"/>
                <w:bCs w:val="1"/>
                <w:color w:val="325889"/>
              </w:rPr>
              <w:t xml:space="preserve">Over </w:t>
            </w:r>
            <w:r>
              <w:rPr>
                <w:rFonts w:ascii="Arial" w:cs="Arial" w:eastAsia="Arial" w:hAnsi="Arial"/>
                <w:sz w:val="15"/>
                <w:szCs w:val="15"/>
                <w:b w:val="1"/>
                <w:bCs w:val="1"/>
                <w:color w:val="FFFFFF"/>
              </w:rPr>
              <w:t>$3.9 billion</w:t>
            </w:r>
            <w:r>
              <w:rPr>
                <w:rFonts w:ascii="Arial" w:cs="Arial" w:eastAsia="Arial" w:hAnsi="Arial"/>
                <w:sz w:val="15"/>
                <w:szCs w:val="15"/>
                <w:b w:val="1"/>
                <w:bCs w:val="1"/>
                <w:color w:val="325889"/>
              </w:rPr>
              <w:t xml:space="preserve"> of real estate dispositions, generating </w:t>
            </w:r>
            <w:r>
              <w:rPr>
                <w:rFonts w:ascii="Arial" w:cs="Arial" w:eastAsia="Arial" w:hAnsi="Arial"/>
                <w:sz w:val="15"/>
                <w:szCs w:val="15"/>
                <w:b w:val="1"/>
                <w:bCs w:val="1"/>
                <w:color w:val="FFFFFF"/>
              </w:rPr>
              <w:t>$1.1 billion</w:t>
            </w:r>
            <w:r>
              <w:rPr>
                <w:rFonts w:ascii="Arial" w:cs="Arial" w:eastAsia="Arial" w:hAnsi="Arial"/>
                <w:sz w:val="15"/>
                <w:szCs w:val="15"/>
                <w:b w:val="1"/>
                <w:bCs w:val="1"/>
                <w:color w:val="325889"/>
              </w:rPr>
              <w:t xml:space="preserve"> of cash proceeds and resulting in</w:t>
            </w:r>
          </w:p>
        </w:tc>
        <w:tc>
          <w:tcPr>
            <w:tcW w:w="3620" w:type="dxa"/>
            <w:vAlign w:val="bottom"/>
            <w:vMerge w:val="restart"/>
            <w:shd w:val="clear" w:color="auto" w:fill="9CA1BE"/>
          </w:tcPr>
          <w:p>
            <w:pPr>
              <w:ind w:left="260"/>
              <w:spacing w:after="0"/>
              <w:rPr>
                <w:sz w:val="20"/>
                <w:szCs w:val="20"/>
                <w:color w:val="auto"/>
              </w:rPr>
            </w:pPr>
            <w:r>
              <w:rPr>
                <w:rFonts w:ascii="Arial" w:cs="Arial" w:eastAsia="Arial" w:hAnsi="Arial"/>
                <w:sz w:val="15"/>
                <w:szCs w:val="15"/>
                <w:b w:val="1"/>
                <w:bCs w:val="1"/>
                <w:color w:val="325889"/>
              </w:rPr>
              <w:t>Continued superior long-term 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0" w:type="dxa"/>
            <w:vAlign w:val="bottom"/>
          </w:tcPr>
          <w:p>
            <w:pPr>
              <w:spacing w:after="0"/>
              <w:rPr>
                <w:sz w:val="14"/>
                <w:szCs w:val="14"/>
                <w:color w:val="auto"/>
              </w:rPr>
            </w:pPr>
          </w:p>
        </w:tc>
        <w:tc>
          <w:tcPr>
            <w:tcW w:w="7740" w:type="dxa"/>
            <w:vAlign w:val="bottom"/>
            <w:shd w:val="clear" w:color="auto" w:fill="9CA1BE"/>
          </w:tcPr>
          <w:p>
            <w:pPr>
              <w:spacing w:after="0" w:line="167" w:lineRule="exact"/>
              <w:rPr>
                <w:sz w:val="20"/>
                <w:szCs w:val="20"/>
                <w:color w:val="auto"/>
              </w:rPr>
            </w:pPr>
            <w:r>
              <w:rPr>
                <w:rFonts w:ascii="Arial" w:cs="Arial" w:eastAsia="Arial" w:hAnsi="Arial"/>
                <w:sz w:val="15"/>
                <w:szCs w:val="15"/>
                <w:b w:val="1"/>
                <w:bCs w:val="1"/>
                <w:color w:val="325889"/>
              </w:rPr>
              <w:t xml:space="preserve">liquidity in excess of </w:t>
            </w:r>
            <w:r>
              <w:rPr>
                <w:rFonts w:ascii="Arial" w:cs="Arial" w:eastAsia="Arial" w:hAnsi="Arial"/>
                <w:sz w:val="15"/>
                <w:szCs w:val="15"/>
                <w:b w:val="1"/>
                <w:bCs w:val="1"/>
                <w:color w:val="FFFFFF"/>
              </w:rPr>
              <w:t>$2.0 billion</w:t>
            </w:r>
            <w:r>
              <w:rPr>
                <w:rFonts w:ascii="Arial" w:cs="Arial" w:eastAsia="Arial" w:hAnsi="Arial"/>
                <w:sz w:val="15"/>
                <w:szCs w:val="15"/>
                <w:b w:val="1"/>
                <w:bCs w:val="1"/>
                <w:color w:val="325889"/>
              </w:rPr>
              <w:t xml:space="preserve"> as of December 31, 2016</w:t>
            </w:r>
          </w:p>
        </w:tc>
        <w:tc>
          <w:tcPr>
            <w:tcW w:w="3620" w:type="dxa"/>
            <w:vAlign w:val="bottom"/>
            <w:vMerge w:val="continue"/>
            <w:shd w:val="clear" w:color="auto" w:fill="9CA1B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7740" w:type="dxa"/>
            <w:vAlign w:val="bottom"/>
            <w:vMerge w:val="restart"/>
            <w:shd w:val="clear" w:color="auto" w:fill="9CA1BE"/>
          </w:tcPr>
          <w:p>
            <w:pPr>
              <w:spacing w:after="0"/>
              <w:rPr>
                <w:sz w:val="20"/>
                <w:szCs w:val="20"/>
                <w:color w:val="auto"/>
              </w:rPr>
            </w:pPr>
            <w:r>
              <w:rPr>
                <w:rFonts w:ascii="Arial" w:cs="Arial" w:eastAsia="Arial" w:hAnsi="Arial"/>
                <w:sz w:val="15"/>
                <w:szCs w:val="15"/>
                <w:b w:val="1"/>
                <w:bCs w:val="1"/>
                <w:color w:val="325889"/>
              </w:rPr>
              <w:t>in JV equity, and breaking ground on the project</w:t>
            </w:r>
          </w:p>
        </w:tc>
        <w:tc>
          <w:tcPr>
            <w:tcW w:w="3620" w:type="dxa"/>
            <w:vAlign w:val="bottom"/>
            <w:shd w:val="clear" w:color="auto" w:fill="9CA1BE"/>
          </w:tcPr>
          <w:p>
            <w:pPr>
              <w:ind w:left="260"/>
              <w:spacing w:after="0" w:line="158" w:lineRule="exact"/>
              <w:rPr>
                <w:sz w:val="20"/>
                <w:szCs w:val="20"/>
                <w:color w:val="auto"/>
              </w:rPr>
            </w:pPr>
            <w:r>
              <w:rPr>
                <w:rFonts w:ascii="Arial" w:cs="Arial" w:eastAsia="Arial" w:hAnsi="Arial"/>
                <w:sz w:val="15"/>
                <w:szCs w:val="15"/>
                <w:b w:val="1"/>
                <w:bCs w:val="1"/>
                <w:color w:val="325889"/>
              </w:rPr>
              <w:t>return to stockholders, or TRS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7740" w:type="dxa"/>
            <w:vAlign w:val="bottom"/>
            <w:vMerge w:val="continue"/>
            <w:shd w:val="clear" w:color="auto" w:fill="9CA1BE"/>
          </w:tcPr>
          <w:p>
            <w:pPr>
              <w:spacing w:after="0"/>
              <w:rPr>
                <w:sz w:val="5"/>
                <w:szCs w:val="5"/>
                <w:color w:val="auto"/>
              </w:rPr>
            </w:pPr>
          </w:p>
        </w:tc>
        <w:tc>
          <w:tcPr>
            <w:tcW w:w="3620" w:type="dxa"/>
            <w:vAlign w:val="bottom"/>
            <w:shd w:val="clear" w:color="auto" w:fill="9CA1BE"/>
          </w:tcPr>
          <w:p>
            <w:pPr>
              <w:ind w:left="260"/>
              <w:spacing w:after="0" w:line="63" w:lineRule="exact"/>
              <w:rPr>
                <w:sz w:val="20"/>
                <w:szCs w:val="20"/>
                <w:color w:val="auto"/>
              </w:rPr>
            </w:pPr>
            <w:r>
              <w:rPr>
                <w:rFonts w:ascii="Arial" w:cs="Arial" w:eastAsia="Arial" w:hAnsi="Arial"/>
                <w:sz w:val="7"/>
                <w:szCs w:val="7"/>
                <w:b w:val="1"/>
                <w:bCs w:val="1"/>
                <w:color w:val="325889"/>
              </w:rPr>
              <w:t>+921% TRS</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7740" w:type="dxa"/>
            <w:vAlign w:val="bottom"/>
            <w:shd w:val="clear" w:color="auto" w:fill="9CA1BE"/>
          </w:tcPr>
          <w:p>
            <w:pPr>
              <w:spacing w:after="0"/>
              <w:rPr>
                <w:sz w:val="20"/>
                <w:szCs w:val="20"/>
                <w:color w:val="auto"/>
              </w:rPr>
            </w:pPr>
            <w:r>
              <w:rPr>
                <w:rFonts w:ascii="Arial" w:cs="Arial" w:eastAsia="Arial" w:hAnsi="Arial"/>
                <w:sz w:val="15"/>
                <w:szCs w:val="15"/>
                <w:b w:val="1"/>
                <w:bCs w:val="1"/>
                <w:color w:val="325889"/>
              </w:rPr>
              <w:t xml:space="preserve">Major progress on </w:t>
            </w:r>
            <w:r>
              <w:rPr>
                <w:rFonts w:ascii="Arial" w:cs="Arial" w:eastAsia="Arial" w:hAnsi="Arial"/>
                <w:sz w:val="15"/>
                <w:szCs w:val="15"/>
                <w:b w:val="1"/>
                <w:bCs w:val="1"/>
                <w:color w:val="FFFFFF"/>
              </w:rPr>
              <w:t>One Vanderbilt</w:t>
            </w:r>
            <w:r>
              <w:rPr>
                <w:rFonts w:ascii="Arial" w:cs="Arial" w:eastAsia="Arial" w:hAnsi="Arial"/>
                <w:sz w:val="15"/>
                <w:szCs w:val="15"/>
                <w:b w:val="1"/>
                <w:bCs w:val="1"/>
                <w:color w:val="325889"/>
              </w:rPr>
              <w:t xml:space="preserve">, including securing a </w:t>
            </w:r>
            <w:r>
              <w:rPr>
                <w:rFonts w:ascii="Arial" w:cs="Arial" w:eastAsia="Arial" w:hAnsi="Arial"/>
                <w:sz w:val="15"/>
                <w:szCs w:val="15"/>
                <w:b w:val="1"/>
                <w:bCs w:val="1"/>
                <w:color w:val="FFFFFF"/>
              </w:rPr>
              <w:t>$1.5 billion</w:t>
            </w:r>
            <w:r>
              <w:rPr>
                <w:rFonts w:ascii="Arial" w:cs="Arial" w:eastAsia="Arial" w:hAnsi="Arial"/>
                <w:sz w:val="15"/>
                <w:szCs w:val="15"/>
                <w:b w:val="1"/>
                <w:bCs w:val="1"/>
                <w:color w:val="325889"/>
              </w:rPr>
              <w:t xml:space="preserve"> construction loan and </w:t>
            </w:r>
            <w:r>
              <w:rPr>
                <w:rFonts w:ascii="Arial" w:cs="Arial" w:eastAsia="Arial" w:hAnsi="Arial"/>
                <w:sz w:val="15"/>
                <w:szCs w:val="15"/>
                <w:b w:val="1"/>
                <w:bCs w:val="1"/>
                <w:color w:val="FFFFFF"/>
              </w:rPr>
              <w:t>$525 million</w:t>
            </w:r>
          </w:p>
        </w:tc>
        <w:tc>
          <w:tcPr>
            <w:tcW w:w="3620" w:type="dxa"/>
            <w:vAlign w:val="bottom"/>
            <w:shd w:val="clear" w:color="auto" w:fill="9CA1B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6"/>
        </w:trPr>
        <w:tc>
          <w:tcPr>
            <w:tcW w:w="80" w:type="dxa"/>
            <w:vAlign w:val="bottom"/>
          </w:tcPr>
          <w:p>
            <w:pPr>
              <w:spacing w:after="0"/>
              <w:rPr>
                <w:sz w:val="24"/>
                <w:szCs w:val="24"/>
                <w:color w:val="auto"/>
              </w:rPr>
            </w:pPr>
          </w:p>
        </w:tc>
        <w:tc>
          <w:tcPr>
            <w:tcW w:w="7740" w:type="dxa"/>
            <w:vAlign w:val="bottom"/>
            <w:shd w:val="clear" w:color="auto" w:fill="9CA1BE"/>
          </w:tcPr>
          <w:p>
            <w:pPr>
              <w:spacing w:after="0"/>
              <w:rPr>
                <w:sz w:val="24"/>
                <w:szCs w:val="24"/>
                <w:color w:val="auto"/>
              </w:rPr>
            </w:pPr>
          </w:p>
        </w:tc>
        <w:tc>
          <w:tcPr>
            <w:tcW w:w="3620" w:type="dxa"/>
            <w:vAlign w:val="bottom"/>
            <w:shd w:val="clear" w:color="auto" w:fill="9CA1BE"/>
          </w:tcPr>
          <w:p>
            <w:pPr>
              <w:ind w:left="260"/>
              <w:spacing w:after="0"/>
              <w:rPr>
                <w:sz w:val="20"/>
                <w:szCs w:val="20"/>
                <w:color w:val="auto"/>
              </w:rPr>
            </w:pPr>
            <w:r>
              <w:rPr>
                <w:rFonts w:ascii="Arial" w:cs="Arial" w:eastAsia="Arial" w:hAnsi="Arial"/>
                <w:sz w:val="15"/>
                <w:szCs w:val="15"/>
                <w:b w:val="1"/>
                <w:bCs w:val="1"/>
                <w:color w:val="325889"/>
              </w:rPr>
              <w:t>from IPO through December 31, 2016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7740" w:type="dxa"/>
            <w:vAlign w:val="bottom"/>
            <w:shd w:val="clear" w:color="auto" w:fill="9CA1BE"/>
          </w:tcPr>
          <w:p>
            <w:pPr>
              <w:spacing w:after="0"/>
              <w:rPr>
                <w:sz w:val="17"/>
                <w:szCs w:val="17"/>
                <w:color w:val="auto"/>
              </w:rPr>
            </w:pPr>
          </w:p>
        </w:tc>
        <w:tc>
          <w:tcPr>
            <w:tcW w:w="3620" w:type="dxa"/>
            <w:vAlign w:val="bottom"/>
            <w:shd w:val="clear" w:color="auto" w:fill="9CA1B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2"/>
        </w:trPr>
        <w:tc>
          <w:tcPr>
            <w:tcW w:w="8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3640" w:type="dxa"/>
            <w:vAlign w:val="bottom"/>
            <w:gridSpan w:val="2"/>
          </w:tcPr>
          <w:p>
            <w:pPr>
              <w:ind w:left="1920"/>
              <w:spacing w:after="0"/>
              <w:rPr>
                <w:sz w:val="20"/>
                <w:szCs w:val="20"/>
                <w:color w:val="auto"/>
              </w:rPr>
            </w:pPr>
            <w:r>
              <w:rPr>
                <w:rFonts w:ascii="Arial" w:cs="Arial" w:eastAsia="Arial" w:hAnsi="Arial"/>
                <w:sz w:val="15"/>
                <w:szCs w:val="15"/>
                <w:color w:val="auto"/>
              </w:rPr>
              <w:t xml:space="preserve">2017 Proxy Statement </w:t>
            </w:r>
            <w:r>
              <w:rPr>
                <w:rFonts w:ascii="Arial" w:cs="Arial" w:eastAsia="Arial" w:hAnsi="Arial"/>
                <w:sz w:val="15"/>
                <w:szCs w:val="15"/>
                <w:color w:val="325889"/>
              </w:rPr>
              <w:t>1</w:t>
            </w:r>
          </w:p>
        </w:tc>
        <w:tc>
          <w:tcPr>
            <w:tcW w:w="0" w:type="dxa"/>
            <w:vAlign w:val="bottom"/>
          </w:tcPr>
          <w:p>
            <w:pPr>
              <w:spacing w:after="0"/>
              <w:rPr>
                <w:sz w:val="1"/>
                <w:szCs w:val="1"/>
                <w:color w:val="auto"/>
              </w:rPr>
            </w:pPr>
          </w:p>
        </w:tc>
      </w:tr>
      <w:tr>
        <w:trPr>
          <w:trHeight w:val="187"/>
        </w:trPr>
        <w:tc>
          <w:tcPr>
            <w:tcW w:w="80" w:type="dxa"/>
            <w:vAlign w:val="bottom"/>
            <w:tcBorders>
              <w:bottom w:val="single" w:sz="8" w:color="808080"/>
            </w:tcBorders>
          </w:tcPr>
          <w:p>
            <w:pPr>
              <w:spacing w:after="0"/>
              <w:rPr>
                <w:sz w:val="16"/>
                <w:szCs w:val="16"/>
                <w:color w:val="auto"/>
              </w:rPr>
            </w:pPr>
          </w:p>
        </w:tc>
        <w:tc>
          <w:tcPr>
            <w:tcW w:w="7740" w:type="dxa"/>
            <w:vAlign w:val="bottom"/>
            <w:tcBorders>
              <w:bottom w:val="single" w:sz="8" w:color="808080"/>
            </w:tcBorders>
          </w:tcPr>
          <w:p>
            <w:pPr>
              <w:spacing w:after="0"/>
              <w:rPr>
                <w:sz w:val="16"/>
                <w:szCs w:val="16"/>
                <w:color w:val="auto"/>
              </w:rPr>
            </w:pPr>
          </w:p>
        </w:tc>
        <w:tc>
          <w:tcPr>
            <w:tcW w:w="362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7265035</wp:posOffset>
            </wp:positionH>
            <wp:positionV relativeFrom="paragraph">
              <wp:posOffset>-13335</wp:posOffset>
            </wp:positionV>
            <wp:extent cx="1270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1270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0"/>
          </w:cols>
          <w:pgMar w:left="240" w:top="528" w:right="199" w:bottom="1440" w:gutter="0" w:footer="0" w:header="0"/>
        </w:sectPr>
      </w:pPr>
    </w:p>
    <w:bookmarkStart w:id="3" w:name="page4"/>
    <w:bookmarkEnd w:id="3"/>
    <w:p>
      <w:pPr>
        <w:ind w:left="5"/>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ind w:left="5"/>
        <w:spacing w:after="0"/>
        <w:rPr>
          <w:sz w:val="20"/>
          <w:szCs w:val="20"/>
          <w:color w:val="auto"/>
        </w:rPr>
      </w:pPr>
      <w:r>
        <w:rPr>
          <w:rFonts w:ascii="Arial" w:cs="Arial" w:eastAsia="Arial" w:hAnsi="Arial"/>
          <w:sz w:val="15"/>
          <w:szCs w:val="15"/>
          <w:u w:val="single" w:color="auto"/>
          <w:color w:val="325889"/>
        </w:rPr>
        <w:t>2017 PROXY STATEMENT HIGHLIGHTS</w:t>
      </w:r>
    </w:p>
    <w:p>
      <w:pPr>
        <w:spacing w:after="0" w:line="166"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auto"/>
        </w:rPr>
        <w:t>Executive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7263130" cy="2177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130" cy="2177415"/>
                    </a:xfrm>
                    <a:prstGeom prst="rect">
                      <a:avLst/>
                    </a:prstGeom>
                    <a:noFill/>
                  </pic:spPr>
                </pic:pic>
              </a:graphicData>
            </a:graphic>
          </wp:anchor>
        </w:drawing>
      </w:r>
    </w:p>
    <w:p>
      <w:pPr>
        <w:spacing w:after="0" w:line="284" w:lineRule="exact"/>
        <w:rPr>
          <w:sz w:val="20"/>
          <w:szCs w:val="20"/>
          <w:color w:val="auto"/>
        </w:rPr>
      </w:pPr>
    </w:p>
    <w:p>
      <w:pPr>
        <w:ind w:left="145"/>
        <w:spacing w:after="0"/>
        <w:rPr>
          <w:sz w:val="20"/>
          <w:szCs w:val="20"/>
          <w:color w:val="auto"/>
        </w:rPr>
      </w:pPr>
      <w:r>
        <w:rPr>
          <w:rFonts w:ascii="Arial" w:cs="Arial" w:eastAsia="Arial" w:hAnsi="Arial"/>
          <w:sz w:val="15"/>
          <w:szCs w:val="15"/>
          <w:b w:val="1"/>
          <w:bCs w:val="1"/>
          <w:color w:val="325889"/>
        </w:rPr>
        <w:t>Stockholder Engagement and Support</w:t>
      </w:r>
    </w:p>
    <w:p>
      <w:pPr>
        <w:spacing w:after="0" w:line="51" w:lineRule="exact"/>
        <w:rPr>
          <w:sz w:val="20"/>
          <w:szCs w:val="20"/>
          <w:color w:val="auto"/>
        </w:rPr>
      </w:pPr>
    </w:p>
    <w:tbl>
      <w:tblPr>
        <w:tblLayout w:type="fixed"/>
        <w:tblInd w:w="5"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5240" w:type="dxa"/>
            <w:vAlign w:val="bottom"/>
            <w:tcBorders>
              <w:bottom w:val="single" w:sz="8" w:color="9CA1BE"/>
            </w:tcBorders>
            <w:shd w:val="clear" w:color="auto" w:fill="9CA1BE"/>
          </w:tcPr>
          <w:p>
            <w:pPr>
              <w:spacing w:after="0"/>
              <w:rPr>
                <w:sz w:val="20"/>
                <w:szCs w:val="20"/>
                <w:color w:val="auto"/>
              </w:rPr>
            </w:pPr>
            <w:r>
              <w:rPr>
                <w:rFonts w:ascii="Arial" w:cs="Arial" w:eastAsia="Arial" w:hAnsi="Arial"/>
                <w:sz w:val="12"/>
                <w:szCs w:val="12"/>
                <w:b w:val="1"/>
                <w:bCs w:val="1"/>
                <w:color w:val="325889"/>
              </w:rPr>
              <w:t>We have reached out to at least 65% of stockholders each of the past three years:</w:t>
            </w:r>
          </w:p>
        </w:tc>
        <w:tc>
          <w:tcPr>
            <w:tcW w:w="220" w:type="dxa"/>
            <w:vAlign w:val="bottom"/>
            <w:tcBorders>
              <w:bottom w:val="single" w:sz="8" w:color="9CA1BE"/>
            </w:tcBorders>
            <w:shd w:val="clear" w:color="auto" w:fill="9CA1BE"/>
          </w:tcPr>
          <w:p>
            <w:pPr>
              <w:spacing w:after="0"/>
              <w:rPr>
                <w:sz w:val="20"/>
                <w:szCs w:val="20"/>
                <w:color w:val="auto"/>
              </w:rPr>
            </w:pPr>
          </w:p>
        </w:tc>
        <w:tc>
          <w:tcPr>
            <w:tcW w:w="5840" w:type="dxa"/>
            <w:vAlign w:val="bottom"/>
            <w:tcBorders>
              <w:bottom w:val="single" w:sz="8" w:color="9CA1BE"/>
            </w:tcBorders>
            <w:gridSpan w:val="2"/>
            <w:shd w:val="clear" w:color="auto" w:fill="9CA1BE"/>
          </w:tcPr>
          <w:p>
            <w:pPr>
              <w:spacing w:after="0"/>
              <w:rPr>
                <w:sz w:val="20"/>
                <w:szCs w:val="20"/>
                <w:color w:val="auto"/>
              </w:rPr>
            </w:pPr>
            <w:r>
              <w:rPr>
                <w:rFonts w:ascii="Arial" w:cs="Arial" w:eastAsia="Arial" w:hAnsi="Arial"/>
                <w:sz w:val="12"/>
                <w:szCs w:val="12"/>
                <w:b w:val="1"/>
                <w:bCs w:val="1"/>
                <w:color w:val="325889"/>
              </w:rPr>
              <w:t>Our responses to stockholder concerns:</w:t>
            </w:r>
          </w:p>
        </w:tc>
      </w:tr>
      <w:tr>
        <w:trPr>
          <w:trHeight w:val="229"/>
        </w:trPr>
        <w:tc>
          <w:tcPr>
            <w:tcW w:w="140" w:type="dxa"/>
            <w:vAlign w:val="bottom"/>
          </w:tcPr>
          <w:p>
            <w:pPr>
              <w:spacing w:after="0"/>
              <w:rPr>
                <w:sz w:val="19"/>
                <w:szCs w:val="19"/>
                <w:color w:val="auto"/>
              </w:rPr>
            </w:pPr>
          </w:p>
        </w:tc>
        <w:tc>
          <w:tcPr>
            <w:tcW w:w="5240" w:type="dxa"/>
            <w:vAlign w:val="bottom"/>
            <w:tcBorders>
              <w:bottom w:val="single" w:sz="8" w:color="9CA1BE"/>
            </w:tcBorders>
            <w:shd w:val="clear" w:color="auto" w:fill="9CA1BE"/>
          </w:tcPr>
          <w:p>
            <w:pPr>
              <w:spacing w:after="0"/>
              <w:rPr>
                <w:sz w:val="19"/>
                <w:szCs w:val="19"/>
                <w:color w:val="auto"/>
              </w:rPr>
            </w:pPr>
          </w:p>
        </w:tc>
        <w:tc>
          <w:tcPr>
            <w:tcW w:w="220" w:type="dxa"/>
            <w:vAlign w:val="bottom"/>
            <w:tcBorders>
              <w:bottom w:val="single" w:sz="8" w:color="9CA1BE"/>
            </w:tcBorders>
            <w:shd w:val="clear" w:color="auto" w:fill="9CA1BE"/>
          </w:tcPr>
          <w:p>
            <w:pPr>
              <w:spacing w:after="0"/>
              <w:rPr>
                <w:sz w:val="19"/>
                <w:szCs w:val="19"/>
                <w:color w:val="auto"/>
              </w:rPr>
            </w:pPr>
          </w:p>
        </w:tc>
        <w:tc>
          <w:tcPr>
            <w:tcW w:w="5700" w:type="dxa"/>
            <w:vAlign w:val="bottom"/>
            <w:tcBorders>
              <w:bottom w:val="single" w:sz="8" w:color="325889"/>
            </w:tcBorders>
            <w:shd w:val="clear" w:color="auto" w:fill="325889"/>
          </w:tcPr>
          <w:p>
            <w:pPr>
              <w:ind w:left="60"/>
              <w:spacing w:after="0"/>
              <w:rPr>
                <w:sz w:val="20"/>
                <w:szCs w:val="20"/>
                <w:color w:val="auto"/>
              </w:rPr>
            </w:pPr>
            <w:r>
              <w:rPr>
                <w:rFonts w:ascii="Arial" w:cs="Arial" w:eastAsia="Arial" w:hAnsi="Arial"/>
                <w:sz w:val="12"/>
                <w:szCs w:val="12"/>
                <w:b w:val="1"/>
                <w:bCs w:val="1"/>
                <w:color w:val="FFFFFF"/>
              </w:rPr>
              <w:t>Peer Group – removed NYC-based asset managers</w:t>
            </w:r>
          </w:p>
        </w:tc>
        <w:tc>
          <w:tcPr>
            <w:tcW w:w="140" w:type="dxa"/>
            <w:vAlign w:val="bottom"/>
            <w:tcBorders>
              <w:bottom w:val="single" w:sz="8" w:color="9CA1BE"/>
            </w:tcBorders>
            <w:shd w:val="clear" w:color="auto" w:fill="9CA1BE"/>
          </w:tcPr>
          <w:p>
            <w:pPr>
              <w:spacing w:after="0"/>
              <w:rPr>
                <w:sz w:val="19"/>
                <w:szCs w:val="19"/>
                <w:color w:val="auto"/>
              </w:rPr>
            </w:pPr>
          </w:p>
        </w:tc>
      </w:tr>
      <w:tr>
        <w:trPr>
          <w:trHeight w:val="214"/>
        </w:trPr>
        <w:tc>
          <w:tcPr>
            <w:tcW w:w="140" w:type="dxa"/>
            <w:vAlign w:val="bottom"/>
          </w:tcPr>
          <w:p>
            <w:pPr>
              <w:spacing w:after="0"/>
              <w:rPr>
                <w:sz w:val="18"/>
                <w:szCs w:val="18"/>
                <w:color w:val="auto"/>
              </w:rPr>
            </w:pPr>
          </w:p>
        </w:tc>
        <w:tc>
          <w:tcPr>
            <w:tcW w:w="5240" w:type="dxa"/>
            <w:vAlign w:val="bottom"/>
            <w:shd w:val="clear" w:color="auto" w:fill="9CA1BE"/>
          </w:tcPr>
          <w:p>
            <w:pPr>
              <w:spacing w:after="0"/>
              <w:rPr>
                <w:sz w:val="18"/>
                <w:szCs w:val="18"/>
                <w:color w:val="auto"/>
              </w:rPr>
            </w:pPr>
          </w:p>
        </w:tc>
        <w:tc>
          <w:tcPr>
            <w:tcW w:w="220" w:type="dxa"/>
            <w:vAlign w:val="bottom"/>
            <w:shd w:val="clear" w:color="auto" w:fill="9CA1BE"/>
          </w:tcPr>
          <w:p>
            <w:pPr>
              <w:spacing w:after="0"/>
              <w:rPr>
                <w:sz w:val="18"/>
                <w:szCs w:val="18"/>
                <w:color w:val="auto"/>
              </w:rPr>
            </w:pPr>
          </w:p>
        </w:tc>
        <w:tc>
          <w:tcPr>
            <w:tcW w:w="5700" w:type="dxa"/>
            <w:vAlign w:val="bottom"/>
            <w:shd w:val="clear" w:color="auto" w:fill="9CA1BE"/>
          </w:tcPr>
          <w:p>
            <w:pPr>
              <w:spacing w:after="0"/>
              <w:rPr>
                <w:sz w:val="18"/>
                <w:szCs w:val="18"/>
                <w:color w:val="auto"/>
              </w:rPr>
            </w:pPr>
          </w:p>
        </w:tc>
        <w:tc>
          <w:tcPr>
            <w:tcW w:w="140" w:type="dxa"/>
            <w:vAlign w:val="bottom"/>
            <w:shd w:val="clear" w:color="auto" w:fill="9CA1BE"/>
          </w:tcPr>
          <w:p>
            <w:pPr>
              <w:spacing w:after="0"/>
              <w:rPr>
                <w:sz w:val="18"/>
                <w:szCs w:val="18"/>
                <w:color w:val="auto"/>
              </w:rPr>
            </w:pPr>
          </w:p>
        </w:tc>
      </w:tr>
      <w:tr>
        <w:trPr>
          <w:trHeight w:val="229"/>
        </w:trPr>
        <w:tc>
          <w:tcPr>
            <w:tcW w:w="140" w:type="dxa"/>
            <w:vAlign w:val="bottom"/>
          </w:tcPr>
          <w:p>
            <w:pPr>
              <w:spacing w:after="0"/>
              <w:rPr>
                <w:sz w:val="19"/>
                <w:szCs w:val="19"/>
                <w:color w:val="auto"/>
              </w:rPr>
            </w:pPr>
          </w:p>
        </w:tc>
        <w:tc>
          <w:tcPr>
            <w:tcW w:w="5240" w:type="dxa"/>
            <w:vAlign w:val="bottom"/>
            <w:tcBorders>
              <w:bottom w:val="single" w:sz="8" w:color="9CA1BE"/>
            </w:tcBorders>
            <w:shd w:val="clear" w:color="auto" w:fill="9CA1BE"/>
          </w:tcPr>
          <w:p>
            <w:pPr>
              <w:spacing w:after="0"/>
              <w:rPr>
                <w:sz w:val="19"/>
                <w:szCs w:val="19"/>
                <w:color w:val="auto"/>
              </w:rPr>
            </w:pPr>
          </w:p>
        </w:tc>
        <w:tc>
          <w:tcPr>
            <w:tcW w:w="220" w:type="dxa"/>
            <w:vAlign w:val="bottom"/>
            <w:tcBorders>
              <w:bottom w:val="single" w:sz="8" w:color="9CA1BE"/>
            </w:tcBorders>
            <w:shd w:val="clear" w:color="auto" w:fill="9CA1BE"/>
          </w:tcPr>
          <w:p>
            <w:pPr>
              <w:spacing w:after="0"/>
              <w:rPr>
                <w:sz w:val="19"/>
                <w:szCs w:val="19"/>
                <w:color w:val="auto"/>
              </w:rPr>
            </w:pPr>
          </w:p>
        </w:tc>
        <w:tc>
          <w:tcPr>
            <w:tcW w:w="5700" w:type="dxa"/>
            <w:vAlign w:val="bottom"/>
            <w:tcBorders>
              <w:bottom w:val="single" w:sz="8" w:color="325889"/>
            </w:tcBorders>
            <w:shd w:val="clear" w:color="auto" w:fill="325889"/>
          </w:tcPr>
          <w:p>
            <w:pPr>
              <w:ind w:left="60"/>
              <w:spacing w:after="0"/>
              <w:rPr>
                <w:sz w:val="20"/>
                <w:szCs w:val="20"/>
                <w:color w:val="auto"/>
              </w:rPr>
            </w:pPr>
            <w:r>
              <w:rPr>
                <w:rFonts w:ascii="Arial" w:cs="Arial" w:eastAsia="Arial" w:hAnsi="Arial"/>
                <w:sz w:val="12"/>
                <w:szCs w:val="12"/>
                <w:b w:val="1"/>
                <w:bCs w:val="1"/>
                <w:color w:val="FFFFFF"/>
              </w:rPr>
              <w:t>Annual Cash Bonus Program – 100% formulaic in 2016 for CEO, Chairman and President</w:t>
            </w:r>
          </w:p>
        </w:tc>
        <w:tc>
          <w:tcPr>
            <w:tcW w:w="140" w:type="dxa"/>
            <w:vAlign w:val="bottom"/>
            <w:tcBorders>
              <w:bottom w:val="single" w:sz="8" w:color="9CA1BE"/>
            </w:tcBorders>
            <w:shd w:val="clear" w:color="auto" w:fill="9CA1BE"/>
          </w:tcPr>
          <w:p>
            <w:pPr>
              <w:spacing w:after="0"/>
              <w:rPr>
                <w:sz w:val="19"/>
                <w:szCs w:val="19"/>
                <w:color w:val="auto"/>
              </w:rPr>
            </w:pPr>
          </w:p>
        </w:tc>
      </w:tr>
      <w:tr>
        <w:trPr>
          <w:trHeight w:val="214"/>
        </w:trPr>
        <w:tc>
          <w:tcPr>
            <w:tcW w:w="140" w:type="dxa"/>
            <w:vAlign w:val="bottom"/>
          </w:tcPr>
          <w:p>
            <w:pPr>
              <w:spacing w:after="0"/>
              <w:rPr>
                <w:sz w:val="18"/>
                <w:szCs w:val="18"/>
                <w:color w:val="auto"/>
              </w:rPr>
            </w:pPr>
          </w:p>
        </w:tc>
        <w:tc>
          <w:tcPr>
            <w:tcW w:w="5240" w:type="dxa"/>
            <w:vAlign w:val="bottom"/>
            <w:shd w:val="clear" w:color="auto" w:fill="9CA1BE"/>
          </w:tcPr>
          <w:p>
            <w:pPr>
              <w:spacing w:after="0"/>
              <w:rPr>
                <w:sz w:val="18"/>
                <w:szCs w:val="18"/>
                <w:color w:val="auto"/>
              </w:rPr>
            </w:pPr>
          </w:p>
        </w:tc>
        <w:tc>
          <w:tcPr>
            <w:tcW w:w="220" w:type="dxa"/>
            <w:vAlign w:val="bottom"/>
            <w:shd w:val="clear" w:color="auto" w:fill="9CA1BE"/>
          </w:tcPr>
          <w:p>
            <w:pPr>
              <w:spacing w:after="0"/>
              <w:rPr>
                <w:sz w:val="18"/>
                <w:szCs w:val="18"/>
                <w:color w:val="auto"/>
              </w:rPr>
            </w:pPr>
          </w:p>
        </w:tc>
        <w:tc>
          <w:tcPr>
            <w:tcW w:w="5700" w:type="dxa"/>
            <w:vAlign w:val="bottom"/>
            <w:shd w:val="clear" w:color="auto" w:fill="9CA1BE"/>
          </w:tcPr>
          <w:p>
            <w:pPr>
              <w:spacing w:after="0"/>
              <w:rPr>
                <w:sz w:val="18"/>
                <w:szCs w:val="18"/>
                <w:color w:val="auto"/>
              </w:rPr>
            </w:pPr>
          </w:p>
        </w:tc>
        <w:tc>
          <w:tcPr>
            <w:tcW w:w="140" w:type="dxa"/>
            <w:vAlign w:val="bottom"/>
            <w:shd w:val="clear" w:color="auto" w:fill="9CA1BE"/>
          </w:tcPr>
          <w:p>
            <w:pPr>
              <w:spacing w:after="0"/>
              <w:rPr>
                <w:sz w:val="18"/>
                <w:szCs w:val="18"/>
                <w:color w:val="auto"/>
              </w:rPr>
            </w:pPr>
          </w:p>
        </w:tc>
      </w:tr>
      <w:tr>
        <w:trPr>
          <w:trHeight w:val="175"/>
        </w:trPr>
        <w:tc>
          <w:tcPr>
            <w:tcW w:w="140" w:type="dxa"/>
            <w:vAlign w:val="bottom"/>
          </w:tcPr>
          <w:p>
            <w:pPr>
              <w:spacing w:after="0"/>
              <w:rPr>
                <w:sz w:val="15"/>
                <w:szCs w:val="15"/>
                <w:color w:val="auto"/>
              </w:rPr>
            </w:pPr>
          </w:p>
        </w:tc>
        <w:tc>
          <w:tcPr>
            <w:tcW w:w="5240" w:type="dxa"/>
            <w:vAlign w:val="bottom"/>
            <w:shd w:val="clear" w:color="auto" w:fill="9CA1BE"/>
          </w:tcPr>
          <w:p>
            <w:pPr>
              <w:spacing w:after="0"/>
              <w:rPr>
                <w:sz w:val="15"/>
                <w:szCs w:val="15"/>
                <w:color w:val="auto"/>
              </w:rPr>
            </w:pPr>
          </w:p>
        </w:tc>
        <w:tc>
          <w:tcPr>
            <w:tcW w:w="220" w:type="dxa"/>
            <w:vAlign w:val="bottom"/>
            <w:shd w:val="clear" w:color="auto" w:fill="9CA1BE"/>
          </w:tcPr>
          <w:p>
            <w:pPr>
              <w:spacing w:after="0"/>
              <w:rPr>
                <w:sz w:val="15"/>
                <w:szCs w:val="15"/>
                <w:color w:val="auto"/>
              </w:rPr>
            </w:pPr>
          </w:p>
        </w:tc>
        <w:tc>
          <w:tcPr>
            <w:tcW w:w="5700" w:type="dxa"/>
            <w:vAlign w:val="bottom"/>
            <w:shd w:val="clear" w:color="auto" w:fill="325889"/>
          </w:tcPr>
          <w:p>
            <w:pPr>
              <w:ind w:left="60"/>
              <w:spacing w:after="0"/>
              <w:rPr>
                <w:sz w:val="20"/>
                <w:szCs w:val="20"/>
                <w:color w:val="auto"/>
              </w:rPr>
            </w:pPr>
            <w:r>
              <w:rPr>
                <w:rFonts w:ascii="Arial" w:cs="Arial" w:eastAsia="Arial" w:hAnsi="Arial"/>
                <w:sz w:val="12"/>
                <w:szCs w:val="12"/>
                <w:b w:val="1"/>
                <w:bCs w:val="1"/>
                <w:color w:val="FFFFFF"/>
              </w:rPr>
              <w:t>Employment Agreement Equity Awards – 100% performance-based for CEO; raised performance</w:t>
            </w:r>
          </w:p>
        </w:tc>
        <w:tc>
          <w:tcPr>
            <w:tcW w:w="140" w:type="dxa"/>
            <w:vAlign w:val="bottom"/>
            <w:shd w:val="clear" w:color="auto" w:fill="9CA1BE"/>
          </w:tcPr>
          <w:p>
            <w:pPr>
              <w:spacing w:after="0"/>
              <w:rPr>
                <w:sz w:val="15"/>
                <w:szCs w:val="15"/>
                <w:color w:val="auto"/>
              </w:rPr>
            </w:pPr>
          </w:p>
        </w:tc>
      </w:tr>
      <w:tr>
        <w:trPr>
          <w:trHeight w:val="184"/>
        </w:trPr>
        <w:tc>
          <w:tcPr>
            <w:tcW w:w="140" w:type="dxa"/>
            <w:vAlign w:val="bottom"/>
          </w:tcPr>
          <w:p>
            <w:pPr>
              <w:spacing w:after="0"/>
              <w:rPr>
                <w:sz w:val="16"/>
                <w:szCs w:val="16"/>
                <w:color w:val="auto"/>
              </w:rPr>
            </w:pPr>
          </w:p>
        </w:tc>
        <w:tc>
          <w:tcPr>
            <w:tcW w:w="5240" w:type="dxa"/>
            <w:vAlign w:val="bottom"/>
            <w:tcBorders>
              <w:bottom w:val="single" w:sz="8" w:color="9CA1BE"/>
            </w:tcBorders>
            <w:shd w:val="clear" w:color="auto" w:fill="9CA1BE"/>
          </w:tcPr>
          <w:p>
            <w:pPr>
              <w:spacing w:after="0"/>
              <w:rPr>
                <w:sz w:val="16"/>
                <w:szCs w:val="16"/>
                <w:color w:val="auto"/>
              </w:rPr>
            </w:pPr>
          </w:p>
        </w:tc>
        <w:tc>
          <w:tcPr>
            <w:tcW w:w="220" w:type="dxa"/>
            <w:vAlign w:val="bottom"/>
            <w:tcBorders>
              <w:bottom w:val="single" w:sz="8" w:color="9CA1BE"/>
            </w:tcBorders>
            <w:shd w:val="clear" w:color="auto" w:fill="9CA1BE"/>
          </w:tcPr>
          <w:p>
            <w:pPr>
              <w:spacing w:after="0"/>
              <w:rPr>
                <w:sz w:val="16"/>
                <w:szCs w:val="16"/>
                <w:color w:val="auto"/>
              </w:rPr>
            </w:pPr>
          </w:p>
        </w:tc>
        <w:tc>
          <w:tcPr>
            <w:tcW w:w="5700" w:type="dxa"/>
            <w:vAlign w:val="bottom"/>
            <w:tcBorders>
              <w:bottom w:val="single" w:sz="8" w:color="325889"/>
            </w:tcBorders>
            <w:shd w:val="clear" w:color="auto" w:fill="325889"/>
          </w:tcPr>
          <w:p>
            <w:pPr>
              <w:ind w:left="60"/>
              <w:spacing w:after="0"/>
              <w:rPr>
                <w:sz w:val="20"/>
                <w:szCs w:val="20"/>
                <w:color w:val="auto"/>
              </w:rPr>
            </w:pPr>
            <w:r>
              <w:rPr>
                <w:rFonts w:ascii="Arial" w:cs="Arial" w:eastAsia="Arial" w:hAnsi="Arial"/>
                <w:sz w:val="12"/>
                <w:szCs w:val="12"/>
                <w:b w:val="1"/>
                <w:bCs w:val="1"/>
                <w:color w:val="FFFFFF"/>
              </w:rPr>
              <w:t>hurdles</w:t>
            </w:r>
          </w:p>
        </w:tc>
        <w:tc>
          <w:tcPr>
            <w:tcW w:w="140" w:type="dxa"/>
            <w:vAlign w:val="bottom"/>
            <w:tcBorders>
              <w:bottom w:val="single" w:sz="8" w:color="9CA1BE"/>
            </w:tcBorders>
            <w:shd w:val="clear" w:color="auto" w:fill="9CA1BE"/>
          </w:tcPr>
          <w:p>
            <w:pPr>
              <w:spacing w:after="0"/>
              <w:rPr>
                <w:sz w:val="16"/>
                <w:szCs w:val="16"/>
                <w:color w:val="auto"/>
              </w:rPr>
            </w:pPr>
          </w:p>
        </w:tc>
      </w:tr>
      <w:tr>
        <w:trPr>
          <w:trHeight w:val="214"/>
        </w:trPr>
        <w:tc>
          <w:tcPr>
            <w:tcW w:w="140" w:type="dxa"/>
            <w:vAlign w:val="bottom"/>
          </w:tcPr>
          <w:p>
            <w:pPr>
              <w:spacing w:after="0"/>
              <w:rPr>
                <w:sz w:val="18"/>
                <w:szCs w:val="18"/>
                <w:color w:val="auto"/>
              </w:rPr>
            </w:pPr>
          </w:p>
        </w:tc>
        <w:tc>
          <w:tcPr>
            <w:tcW w:w="5240" w:type="dxa"/>
            <w:vAlign w:val="bottom"/>
            <w:shd w:val="clear" w:color="auto" w:fill="9CA1BE"/>
          </w:tcPr>
          <w:p>
            <w:pPr>
              <w:spacing w:after="0"/>
              <w:rPr>
                <w:sz w:val="18"/>
                <w:szCs w:val="18"/>
                <w:color w:val="auto"/>
              </w:rPr>
            </w:pPr>
          </w:p>
        </w:tc>
        <w:tc>
          <w:tcPr>
            <w:tcW w:w="220" w:type="dxa"/>
            <w:vAlign w:val="bottom"/>
            <w:shd w:val="clear" w:color="auto" w:fill="9CA1BE"/>
          </w:tcPr>
          <w:p>
            <w:pPr>
              <w:spacing w:after="0"/>
              <w:rPr>
                <w:sz w:val="18"/>
                <w:szCs w:val="18"/>
                <w:color w:val="auto"/>
              </w:rPr>
            </w:pPr>
          </w:p>
        </w:tc>
        <w:tc>
          <w:tcPr>
            <w:tcW w:w="5700" w:type="dxa"/>
            <w:vAlign w:val="bottom"/>
            <w:shd w:val="clear" w:color="auto" w:fill="9CA1BE"/>
          </w:tcPr>
          <w:p>
            <w:pPr>
              <w:spacing w:after="0"/>
              <w:rPr>
                <w:sz w:val="18"/>
                <w:szCs w:val="18"/>
                <w:color w:val="auto"/>
              </w:rPr>
            </w:pPr>
          </w:p>
        </w:tc>
        <w:tc>
          <w:tcPr>
            <w:tcW w:w="140" w:type="dxa"/>
            <w:vAlign w:val="bottom"/>
            <w:shd w:val="clear" w:color="auto" w:fill="9CA1BE"/>
          </w:tcPr>
          <w:p>
            <w:pPr>
              <w:spacing w:after="0"/>
              <w:rPr>
                <w:sz w:val="18"/>
                <w:szCs w:val="18"/>
                <w:color w:val="auto"/>
              </w:rPr>
            </w:pPr>
          </w:p>
        </w:tc>
      </w:tr>
      <w:tr>
        <w:trPr>
          <w:trHeight w:val="175"/>
        </w:trPr>
        <w:tc>
          <w:tcPr>
            <w:tcW w:w="140" w:type="dxa"/>
            <w:vAlign w:val="bottom"/>
          </w:tcPr>
          <w:p>
            <w:pPr>
              <w:spacing w:after="0"/>
              <w:rPr>
                <w:sz w:val="15"/>
                <w:szCs w:val="15"/>
                <w:color w:val="auto"/>
              </w:rPr>
            </w:pPr>
          </w:p>
        </w:tc>
        <w:tc>
          <w:tcPr>
            <w:tcW w:w="5240" w:type="dxa"/>
            <w:vAlign w:val="bottom"/>
            <w:shd w:val="clear" w:color="auto" w:fill="9CA1BE"/>
          </w:tcPr>
          <w:p>
            <w:pPr>
              <w:spacing w:after="0"/>
              <w:rPr>
                <w:sz w:val="15"/>
                <w:szCs w:val="15"/>
                <w:color w:val="auto"/>
              </w:rPr>
            </w:pPr>
          </w:p>
        </w:tc>
        <w:tc>
          <w:tcPr>
            <w:tcW w:w="220" w:type="dxa"/>
            <w:vAlign w:val="bottom"/>
            <w:shd w:val="clear" w:color="auto" w:fill="9CA1BE"/>
          </w:tcPr>
          <w:p>
            <w:pPr>
              <w:spacing w:after="0"/>
              <w:rPr>
                <w:sz w:val="15"/>
                <w:szCs w:val="15"/>
                <w:color w:val="auto"/>
              </w:rPr>
            </w:pPr>
          </w:p>
        </w:tc>
        <w:tc>
          <w:tcPr>
            <w:tcW w:w="5700" w:type="dxa"/>
            <w:vAlign w:val="bottom"/>
            <w:shd w:val="clear" w:color="auto" w:fill="325889"/>
          </w:tcPr>
          <w:p>
            <w:pPr>
              <w:ind w:left="60"/>
              <w:spacing w:after="0"/>
              <w:rPr>
                <w:sz w:val="20"/>
                <w:szCs w:val="20"/>
                <w:color w:val="auto"/>
              </w:rPr>
            </w:pPr>
            <w:r>
              <w:rPr>
                <w:rFonts w:ascii="Arial" w:cs="Arial" w:eastAsia="Arial" w:hAnsi="Arial"/>
                <w:sz w:val="12"/>
                <w:szCs w:val="12"/>
                <w:b w:val="1"/>
                <w:bCs w:val="1"/>
                <w:color w:val="FFFFFF"/>
              </w:rPr>
              <w:t>Outperformance Plans – relative TRS component incorporated; robust performance hurdles used;</w:t>
            </w:r>
          </w:p>
        </w:tc>
        <w:tc>
          <w:tcPr>
            <w:tcW w:w="140" w:type="dxa"/>
            <w:vAlign w:val="bottom"/>
            <w:shd w:val="clear" w:color="auto" w:fill="9CA1BE"/>
          </w:tcPr>
          <w:p>
            <w:pPr>
              <w:spacing w:after="0"/>
              <w:rPr>
                <w:sz w:val="15"/>
                <w:szCs w:val="15"/>
                <w:color w:val="auto"/>
              </w:rPr>
            </w:pPr>
          </w:p>
        </w:tc>
      </w:tr>
      <w:tr>
        <w:trPr>
          <w:trHeight w:val="184"/>
        </w:trPr>
        <w:tc>
          <w:tcPr>
            <w:tcW w:w="140" w:type="dxa"/>
            <w:vAlign w:val="bottom"/>
          </w:tcPr>
          <w:p>
            <w:pPr>
              <w:spacing w:after="0"/>
              <w:rPr>
                <w:sz w:val="16"/>
                <w:szCs w:val="16"/>
                <w:color w:val="auto"/>
              </w:rPr>
            </w:pPr>
          </w:p>
        </w:tc>
        <w:tc>
          <w:tcPr>
            <w:tcW w:w="5240" w:type="dxa"/>
            <w:vAlign w:val="bottom"/>
            <w:tcBorders>
              <w:bottom w:val="single" w:sz="8" w:color="9CA1BE"/>
            </w:tcBorders>
            <w:shd w:val="clear" w:color="auto" w:fill="9CA1BE"/>
          </w:tcPr>
          <w:p>
            <w:pPr>
              <w:spacing w:after="0"/>
              <w:rPr>
                <w:sz w:val="16"/>
                <w:szCs w:val="16"/>
                <w:color w:val="auto"/>
              </w:rPr>
            </w:pPr>
          </w:p>
        </w:tc>
        <w:tc>
          <w:tcPr>
            <w:tcW w:w="220" w:type="dxa"/>
            <w:vAlign w:val="bottom"/>
            <w:tcBorders>
              <w:bottom w:val="single" w:sz="8" w:color="9CA1BE"/>
            </w:tcBorders>
            <w:shd w:val="clear" w:color="auto" w:fill="9CA1BE"/>
          </w:tcPr>
          <w:p>
            <w:pPr>
              <w:spacing w:after="0"/>
              <w:rPr>
                <w:sz w:val="16"/>
                <w:szCs w:val="16"/>
                <w:color w:val="auto"/>
              </w:rPr>
            </w:pPr>
          </w:p>
        </w:tc>
        <w:tc>
          <w:tcPr>
            <w:tcW w:w="5700" w:type="dxa"/>
            <w:vAlign w:val="bottom"/>
            <w:tcBorders>
              <w:bottom w:val="single" w:sz="8" w:color="325889"/>
            </w:tcBorders>
            <w:shd w:val="clear" w:color="auto" w:fill="325889"/>
          </w:tcPr>
          <w:p>
            <w:pPr>
              <w:ind w:left="60"/>
              <w:spacing w:after="0"/>
              <w:rPr>
                <w:sz w:val="20"/>
                <w:szCs w:val="20"/>
                <w:color w:val="auto"/>
              </w:rPr>
            </w:pPr>
            <w:r>
              <w:rPr>
                <w:rFonts w:ascii="Arial" w:cs="Arial" w:eastAsia="Arial" w:hAnsi="Arial"/>
                <w:sz w:val="12"/>
                <w:szCs w:val="12"/>
                <w:b w:val="1"/>
                <w:bCs w:val="1"/>
                <w:color w:val="FFFFFF"/>
              </w:rPr>
              <w:t>no single trigger acceleration</w:t>
            </w:r>
          </w:p>
        </w:tc>
        <w:tc>
          <w:tcPr>
            <w:tcW w:w="140" w:type="dxa"/>
            <w:vAlign w:val="bottom"/>
            <w:tcBorders>
              <w:bottom w:val="single" w:sz="8" w:color="9CA1BE"/>
            </w:tcBorders>
            <w:shd w:val="clear" w:color="auto" w:fill="9CA1BE"/>
          </w:tcPr>
          <w:p>
            <w:pPr>
              <w:spacing w:after="0"/>
              <w:rPr>
                <w:sz w:val="16"/>
                <w:szCs w:val="16"/>
                <w:color w:val="auto"/>
              </w:rPr>
            </w:pPr>
          </w:p>
        </w:tc>
      </w:tr>
      <w:tr>
        <w:trPr>
          <w:trHeight w:val="214"/>
        </w:trPr>
        <w:tc>
          <w:tcPr>
            <w:tcW w:w="140" w:type="dxa"/>
            <w:vAlign w:val="bottom"/>
          </w:tcPr>
          <w:p>
            <w:pPr>
              <w:spacing w:after="0"/>
              <w:rPr>
                <w:sz w:val="18"/>
                <w:szCs w:val="18"/>
                <w:color w:val="auto"/>
              </w:rPr>
            </w:pPr>
          </w:p>
        </w:tc>
        <w:tc>
          <w:tcPr>
            <w:tcW w:w="5240" w:type="dxa"/>
            <w:vAlign w:val="bottom"/>
            <w:shd w:val="clear" w:color="auto" w:fill="9CA1BE"/>
          </w:tcPr>
          <w:p>
            <w:pPr>
              <w:spacing w:after="0"/>
              <w:rPr>
                <w:sz w:val="20"/>
                <w:szCs w:val="20"/>
                <w:color w:val="auto"/>
              </w:rPr>
            </w:pPr>
            <w:r>
              <w:rPr>
                <w:rFonts w:ascii="Arial" w:cs="Arial" w:eastAsia="Arial" w:hAnsi="Arial"/>
                <w:sz w:val="15"/>
                <w:szCs w:val="15"/>
                <w:b w:val="1"/>
                <w:bCs w:val="1"/>
                <w:color w:val="325889"/>
              </w:rPr>
              <w:t xml:space="preserve">Say-on-pay approved </w:t>
            </w:r>
            <w:r>
              <w:rPr>
                <w:rFonts w:ascii="Arial" w:cs="Arial" w:eastAsia="Arial" w:hAnsi="Arial"/>
                <w:sz w:val="15"/>
                <w:szCs w:val="15"/>
                <w:b w:val="1"/>
                <w:bCs w:val="1"/>
                <w:color w:val="FFFFFF"/>
              </w:rPr>
              <w:t>every year</w:t>
            </w:r>
            <w:r>
              <w:rPr>
                <w:rFonts w:ascii="Arial" w:cs="Arial" w:eastAsia="Arial" w:hAnsi="Arial"/>
                <w:sz w:val="15"/>
                <w:szCs w:val="15"/>
                <w:b w:val="1"/>
                <w:bCs w:val="1"/>
                <w:color w:val="325889"/>
              </w:rPr>
              <w:t xml:space="preserve"> since it was first introduced in 2011</w:t>
            </w:r>
          </w:p>
        </w:tc>
        <w:tc>
          <w:tcPr>
            <w:tcW w:w="220" w:type="dxa"/>
            <w:vAlign w:val="bottom"/>
            <w:shd w:val="clear" w:color="auto" w:fill="9CA1BE"/>
          </w:tcPr>
          <w:p>
            <w:pPr>
              <w:spacing w:after="0"/>
              <w:rPr>
                <w:sz w:val="18"/>
                <w:szCs w:val="18"/>
                <w:color w:val="auto"/>
              </w:rPr>
            </w:pPr>
          </w:p>
        </w:tc>
        <w:tc>
          <w:tcPr>
            <w:tcW w:w="5700" w:type="dxa"/>
            <w:vAlign w:val="bottom"/>
            <w:shd w:val="clear" w:color="auto" w:fill="9CA1BE"/>
          </w:tcPr>
          <w:p>
            <w:pPr>
              <w:spacing w:after="0"/>
              <w:rPr>
                <w:sz w:val="18"/>
                <w:szCs w:val="18"/>
                <w:color w:val="auto"/>
              </w:rPr>
            </w:pPr>
          </w:p>
        </w:tc>
        <w:tc>
          <w:tcPr>
            <w:tcW w:w="140" w:type="dxa"/>
            <w:vAlign w:val="bottom"/>
            <w:shd w:val="clear" w:color="auto" w:fill="9CA1BE"/>
          </w:tcPr>
          <w:p>
            <w:pPr>
              <w:spacing w:after="0"/>
              <w:rPr>
                <w:sz w:val="18"/>
                <w:szCs w:val="18"/>
                <w:color w:val="auto"/>
              </w:rPr>
            </w:pPr>
          </w:p>
        </w:tc>
      </w:tr>
      <w:tr>
        <w:trPr>
          <w:trHeight w:val="175"/>
        </w:trPr>
        <w:tc>
          <w:tcPr>
            <w:tcW w:w="140" w:type="dxa"/>
            <w:vAlign w:val="bottom"/>
          </w:tcPr>
          <w:p>
            <w:pPr>
              <w:spacing w:after="0"/>
              <w:rPr>
                <w:sz w:val="15"/>
                <w:szCs w:val="15"/>
                <w:color w:val="auto"/>
              </w:rPr>
            </w:pPr>
          </w:p>
        </w:tc>
        <w:tc>
          <w:tcPr>
            <w:tcW w:w="5240" w:type="dxa"/>
            <w:vAlign w:val="bottom"/>
            <w:shd w:val="clear" w:color="auto" w:fill="9CA1BE"/>
          </w:tcPr>
          <w:p>
            <w:pPr>
              <w:spacing w:after="0"/>
              <w:rPr>
                <w:sz w:val="15"/>
                <w:szCs w:val="15"/>
                <w:color w:val="auto"/>
              </w:rPr>
            </w:pPr>
          </w:p>
        </w:tc>
        <w:tc>
          <w:tcPr>
            <w:tcW w:w="220" w:type="dxa"/>
            <w:vAlign w:val="bottom"/>
            <w:shd w:val="clear" w:color="auto" w:fill="9CA1BE"/>
          </w:tcPr>
          <w:p>
            <w:pPr>
              <w:spacing w:after="0"/>
              <w:rPr>
                <w:sz w:val="15"/>
                <w:szCs w:val="15"/>
                <w:color w:val="auto"/>
              </w:rPr>
            </w:pPr>
          </w:p>
        </w:tc>
        <w:tc>
          <w:tcPr>
            <w:tcW w:w="5700" w:type="dxa"/>
            <w:vAlign w:val="bottom"/>
            <w:shd w:val="clear" w:color="auto" w:fill="325889"/>
          </w:tcPr>
          <w:p>
            <w:pPr>
              <w:ind w:left="60"/>
              <w:spacing w:after="0"/>
              <w:rPr>
                <w:sz w:val="20"/>
                <w:szCs w:val="20"/>
                <w:color w:val="auto"/>
              </w:rPr>
            </w:pPr>
            <w:r>
              <w:rPr>
                <w:rFonts w:ascii="Arial" w:cs="Arial" w:eastAsia="Arial" w:hAnsi="Arial"/>
                <w:sz w:val="12"/>
                <w:szCs w:val="12"/>
                <w:b w:val="1"/>
                <w:bCs w:val="1"/>
                <w:color w:val="FFFFFF"/>
              </w:rPr>
              <w:t>Executive Chairman Compensation – reduced 2016 compensation by 50% compared to 2015,</w:t>
            </w:r>
          </w:p>
        </w:tc>
        <w:tc>
          <w:tcPr>
            <w:tcW w:w="140" w:type="dxa"/>
            <w:vAlign w:val="bottom"/>
            <w:shd w:val="clear" w:color="auto" w:fill="9CA1BE"/>
          </w:tcPr>
          <w:p>
            <w:pPr>
              <w:spacing w:after="0"/>
              <w:rPr>
                <w:sz w:val="15"/>
                <w:szCs w:val="15"/>
                <w:color w:val="auto"/>
              </w:rPr>
            </w:pPr>
          </w:p>
        </w:tc>
      </w:tr>
      <w:tr>
        <w:trPr>
          <w:trHeight w:val="184"/>
        </w:trPr>
        <w:tc>
          <w:tcPr>
            <w:tcW w:w="140" w:type="dxa"/>
            <w:vAlign w:val="bottom"/>
          </w:tcPr>
          <w:p>
            <w:pPr>
              <w:spacing w:after="0"/>
              <w:rPr>
                <w:sz w:val="16"/>
                <w:szCs w:val="16"/>
                <w:color w:val="auto"/>
              </w:rPr>
            </w:pPr>
          </w:p>
        </w:tc>
        <w:tc>
          <w:tcPr>
            <w:tcW w:w="5240" w:type="dxa"/>
            <w:vAlign w:val="bottom"/>
            <w:tcBorders>
              <w:bottom w:val="single" w:sz="8" w:color="9CA1BE"/>
            </w:tcBorders>
            <w:shd w:val="clear" w:color="auto" w:fill="9CA1BE"/>
          </w:tcPr>
          <w:p>
            <w:pPr>
              <w:spacing w:after="0"/>
              <w:rPr>
                <w:sz w:val="16"/>
                <w:szCs w:val="16"/>
                <w:color w:val="auto"/>
              </w:rPr>
            </w:pPr>
          </w:p>
        </w:tc>
        <w:tc>
          <w:tcPr>
            <w:tcW w:w="220" w:type="dxa"/>
            <w:vAlign w:val="bottom"/>
            <w:tcBorders>
              <w:bottom w:val="single" w:sz="8" w:color="9CA1BE"/>
            </w:tcBorders>
            <w:shd w:val="clear" w:color="auto" w:fill="9CA1BE"/>
          </w:tcPr>
          <w:p>
            <w:pPr>
              <w:spacing w:after="0"/>
              <w:rPr>
                <w:sz w:val="16"/>
                <w:szCs w:val="16"/>
                <w:color w:val="auto"/>
              </w:rPr>
            </w:pPr>
          </w:p>
        </w:tc>
        <w:tc>
          <w:tcPr>
            <w:tcW w:w="5700" w:type="dxa"/>
            <w:vAlign w:val="bottom"/>
            <w:tcBorders>
              <w:bottom w:val="single" w:sz="8" w:color="325889"/>
            </w:tcBorders>
            <w:shd w:val="clear" w:color="auto" w:fill="325889"/>
          </w:tcPr>
          <w:p>
            <w:pPr>
              <w:ind w:left="60"/>
              <w:spacing w:after="0"/>
              <w:rPr>
                <w:sz w:val="20"/>
                <w:szCs w:val="20"/>
                <w:color w:val="auto"/>
              </w:rPr>
            </w:pPr>
            <w:r>
              <w:rPr>
                <w:rFonts w:ascii="Arial" w:cs="Arial" w:eastAsia="Arial" w:hAnsi="Arial"/>
                <w:sz w:val="12"/>
                <w:szCs w:val="12"/>
                <w:b w:val="1"/>
                <w:bCs w:val="1"/>
                <w:color w:val="FFFFFF"/>
              </w:rPr>
              <w:t>reflecting our Executive Chairman’s evolving role</w:t>
            </w:r>
          </w:p>
        </w:tc>
        <w:tc>
          <w:tcPr>
            <w:tcW w:w="140" w:type="dxa"/>
            <w:vAlign w:val="bottom"/>
            <w:tcBorders>
              <w:bottom w:val="single" w:sz="8" w:color="9CA1BE"/>
            </w:tcBorders>
            <w:shd w:val="clear" w:color="auto" w:fill="9CA1BE"/>
          </w:tcPr>
          <w:p>
            <w:pPr>
              <w:spacing w:after="0"/>
              <w:rPr>
                <w:sz w:val="16"/>
                <w:szCs w:val="16"/>
                <w:color w:val="auto"/>
              </w:rPr>
            </w:pPr>
          </w:p>
        </w:tc>
      </w:tr>
      <w:tr>
        <w:trPr>
          <w:trHeight w:val="214"/>
        </w:trPr>
        <w:tc>
          <w:tcPr>
            <w:tcW w:w="140" w:type="dxa"/>
            <w:vAlign w:val="bottom"/>
          </w:tcPr>
          <w:p>
            <w:pPr>
              <w:spacing w:after="0"/>
              <w:rPr>
                <w:sz w:val="18"/>
                <w:szCs w:val="18"/>
                <w:color w:val="auto"/>
              </w:rPr>
            </w:pPr>
          </w:p>
        </w:tc>
        <w:tc>
          <w:tcPr>
            <w:tcW w:w="5240" w:type="dxa"/>
            <w:vAlign w:val="bottom"/>
            <w:shd w:val="clear" w:color="auto" w:fill="9CA1BE"/>
          </w:tcPr>
          <w:p>
            <w:pPr>
              <w:spacing w:after="0"/>
              <w:rPr>
                <w:sz w:val="18"/>
                <w:szCs w:val="18"/>
                <w:color w:val="auto"/>
              </w:rPr>
            </w:pPr>
          </w:p>
        </w:tc>
        <w:tc>
          <w:tcPr>
            <w:tcW w:w="220" w:type="dxa"/>
            <w:vAlign w:val="bottom"/>
            <w:shd w:val="clear" w:color="auto" w:fill="9CA1BE"/>
          </w:tcPr>
          <w:p>
            <w:pPr>
              <w:spacing w:after="0"/>
              <w:rPr>
                <w:sz w:val="18"/>
                <w:szCs w:val="18"/>
                <w:color w:val="auto"/>
              </w:rPr>
            </w:pPr>
          </w:p>
        </w:tc>
        <w:tc>
          <w:tcPr>
            <w:tcW w:w="5700" w:type="dxa"/>
            <w:vAlign w:val="bottom"/>
            <w:shd w:val="clear" w:color="auto" w:fill="9CA1BE"/>
          </w:tcPr>
          <w:p>
            <w:pPr>
              <w:spacing w:after="0"/>
              <w:rPr>
                <w:sz w:val="18"/>
                <w:szCs w:val="18"/>
                <w:color w:val="auto"/>
              </w:rPr>
            </w:pPr>
          </w:p>
        </w:tc>
        <w:tc>
          <w:tcPr>
            <w:tcW w:w="140" w:type="dxa"/>
            <w:vAlign w:val="bottom"/>
            <w:shd w:val="clear" w:color="auto" w:fill="9CA1BE"/>
          </w:tcPr>
          <w:p>
            <w:pPr>
              <w:spacing w:after="0"/>
              <w:rPr>
                <w:sz w:val="18"/>
                <w:szCs w:val="18"/>
                <w:color w:val="auto"/>
              </w:rPr>
            </w:pPr>
          </w:p>
        </w:tc>
      </w:tr>
      <w:tr>
        <w:trPr>
          <w:trHeight w:val="214"/>
        </w:trPr>
        <w:tc>
          <w:tcPr>
            <w:tcW w:w="1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5"/>
        </w:trPr>
        <w:tc>
          <w:tcPr>
            <w:tcW w:w="140" w:type="dxa"/>
            <w:vAlign w:val="bottom"/>
            <w:shd w:val="clear" w:color="auto" w:fill="9CA1BE"/>
          </w:tcPr>
          <w:p>
            <w:pPr>
              <w:spacing w:after="0"/>
              <w:rPr>
                <w:sz w:val="19"/>
                <w:szCs w:val="19"/>
                <w:color w:val="auto"/>
              </w:rPr>
            </w:pPr>
          </w:p>
        </w:tc>
        <w:tc>
          <w:tcPr>
            <w:tcW w:w="5240" w:type="dxa"/>
            <w:vAlign w:val="bottom"/>
            <w:shd w:val="clear" w:color="auto" w:fill="9CA1BE"/>
          </w:tcPr>
          <w:p>
            <w:pPr>
              <w:spacing w:after="0"/>
              <w:rPr>
                <w:sz w:val="20"/>
                <w:szCs w:val="20"/>
                <w:color w:val="auto"/>
              </w:rPr>
            </w:pPr>
            <w:r>
              <w:rPr>
                <w:rFonts w:ascii="Arial" w:cs="Arial" w:eastAsia="Arial" w:hAnsi="Arial"/>
                <w:sz w:val="15"/>
                <w:szCs w:val="15"/>
                <w:b w:val="1"/>
                <w:bCs w:val="1"/>
                <w:color w:val="325889"/>
              </w:rPr>
              <w:t>Focus on Variable Pay Linked to Performance</w:t>
            </w:r>
          </w:p>
        </w:tc>
        <w:tc>
          <w:tcPr>
            <w:tcW w:w="220" w:type="dxa"/>
            <w:vAlign w:val="bottom"/>
            <w:shd w:val="clear" w:color="auto" w:fill="9CA1BE"/>
          </w:tcPr>
          <w:p>
            <w:pPr>
              <w:spacing w:after="0"/>
              <w:rPr>
                <w:sz w:val="19"/>
                <w:szCs w:val="19"/>
                <w:color w:val="auto"/>
              </w:rPr>
            </w:pPr>
          </w:p>
        </w:tc>
        <w:tc>
          <w:tcPr>
            <w:tcW w:w="5700" w:type="dxa"/>
            <w:vAlign w:val="bottom"/>
            <w:shd w:val="clear" w:color="auto" w:fill="9CA1BE"/>
          </w:tcPr>
          <w:p>
            <w:pPr>
              <w:spacing w:after="0"/>
              <w:rPr>
                <w:sz w:val="19"/>
                <w:szCs w:val="19"/>
                <w:color w:val="auto"/>
              </w:rPr>
            </w:pPr>
          </w:p>
        </w:tc>
        <w:tc>
          <w:tcPr>
            <w:tcW w:w="140" w:type="dxa"/>
            <w:vAlign w:val="bottom"/>
            <w:shd w:val="clear" w:color="auto" w:fill="9CA1BE"/>
          </w:tcPr>
          <w:p>
            <w:pPr>
              <w:spacing w:after="0"/>
              <w:rPr>
                <w:sz w:val="19"/>
                <w:szCs w:val="19"/>
                <w:color w:val="auto"/>
              </w:rPr>
            </w:pPr>
          </w:p>
        </w:tc>
      </w:tr>
      <w:tr>
        <w:trPr>
          <w:trHeight w:val="214"/>
        </w:trPr>
        <w:tc>
          <w:tcPr>
            <w:tcW w:w="1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5"/>
                <w:szCs w:val="15"/>
                <w:b w:val="1"/>
                <w:bCs w:val="1"/>
                <w:color w:val="325889"/>
              </w:rPr>
              <w:t>CEO total direct compensation for 2016:</w:t>
            </w:r>
          </w:p>
        </w:tc>
        <w:tc>
          <w:tcPr>
            <w:tcW w:w="6060" w:type="dxa"/>
            <w:vAlign w:val="bottom"/>
            <w:gridSpan w:val="3"/>
          </w:tcPr>
          <w:p>
            <w:pPr>
              <w:ind w:left="200"/>
              <w:spacing w:after="0"/>
              <w:rPr>
                <w:sz w:val="20"/>
                <w:szCs w:val="20"/>
                <w:color w:val="auto"/>
              </w:rPr>
            </w:pPr>
            <w:r>
              <w:rPr>
                <w:rFonts w:ascii="Arial" w:cs="Arial" w:eastAsia="Arial" w:hAnsi="Arial"/>
                <w:sz w:val="12"/>
                <w:szCs w:val="12"/>
                <w:b w:val="1"/>
                <w:bCs w:val="1"/>
                <w:color w:val="325889"/>
              </w:rPr>
              <w:t>Aggressive performance requirements for annual bonus and OPP align management compensation</w:t>
            </w:r>
          </w:p>
        </w:tc>
      </w:tr>
      <w:tr>
        <w:trPr>
          <w:trHeight w:val="155"/>
        </w:trPr>
        <w:tc>
          <w:tcPr>
            <w:tcW w:w="14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6060" w:type="dxa"/>
            <w:vAlign w:val="bottom"/>
            <w:gridSpan w:val="3"/>
          </w:tcPr>
          <w:p>
            <w:pPr>
              <w:ind w:left="200"/>
              <w:spacing w:after="0"/>
              <w:rPr>
                <w:sz w:val="20"/>
                <w:szCs w:val="20"/>
                <w:color w:val="auto"/>
              </w:rPr>
            </w:pPr>
            <w:r>
              <w:rPr>
                <w:rFonts w:ascii="Arial" w:cs="Arial" w:eastAsia="Arial" w:hAnsi="Arial"/>
                <w:sz w:val="12"/>
                <w:szCs w:val="12"/>
                <w:b w:val="1"/>
                <w:bCs w:val="1"/>
                <w:color w:val="325889"/>
              </w:rPr>
              <w:t>with outstanding shareholder returns</w:t>
            </w:r>
          </w:p>
        </w:tc>
      </w:tr>
      <w:tr>
        <w:trPr>
          <w:trHeight w:val="187"/>
        </w:trPr>
        <w:tc>
          <w:tcPr>
            <w:tcW w:w="14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40" w:type="dxa"/>
            <w:vAlign w:val="bottom"/>
            <w:gridSpan w:val="2"/>
          </w:tcPr>
          <w:p>
            <w:pPr>
              <w:ind w:left="620"/>
              <w:spacing w:after="0"/>
              <w:rPr>
                <w:sz w:val="20"/>
                <w:szCs w:val="20"/>
                <w:color w:val="auto"/>
              </w:rPr>
            </w:pPr>
            <w:r>
              <w:rPr>
                <w:rFonts w:ascii="Arial" w:cs="Arial" w:eastAsia="Arial" w:hAnsi="Arial"/>
                <w:sz w:val="12"/>
                <w:szCs w:val="12"/>
                <w:b w:val="1"/>
                <w:bCs w:val="1"/>
                <w:color w:val="325889"/>
              </w:rPr>
              <w:t>2014 OPP - Robust Hurdles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-495935</wp:posOffset>
            </wp:positionV>
            <wp:extent cx="7263130" cy="15900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3130" cy="1590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5"/>
        <w:spacing w:after="0"/>
        <w:rPr>
          <w:sz w:val="20"/>
          <w:szCs w:val="20"/>
          <w:color w:val="auto"/>
        </w:rPr>
      </w:pPr>
      <w:r>
        <w:rPr>
          <w:rFonts w:ascii="Arial" w:cs="Arial" w:eastAsia="Arial" w:hAnsi="Arial"/>
          <w:sz w:val="15"/>
          <w:szCs w:val="15"/>
          <w:b w:val="1"/>
          <w:bCs w:val="1"/>
          <w:color w:val="325889"/>
        </w:rPr>
        <w:t xml:space="preserve">CEO stock ownership guideline of </w:t>
      </w:r>
      <w:r>
        <w:rPr>
          <w:rFonts w:ascii="Arial" w:cs="Arial" w:eastAsia="Arial" w:hAnsi="Arial"/>
          <w:sz w:val="31"/>
          <w:szCs w:val="31"/>
          <w:b w:val="1"/>
          <w:bCs w:val="1"/>
          <w:color w:val="FFFFFF"/>
        </w:rPr>
        <w:t>8x</w:t>
      </w:r>
      <w:r>
        <w:rPr>
          <w:rFonts w:ascii="Arial" w:cs="Arial" w:eastAsia="Arial" w:hAnsi="Arial"/>
          <w:sz w:val="15"/>
          <w:szCs w:val="15"/>
          <w:b w:val="1"/>
          <w:bCs w:val="1"/>
          <w:color w:val="325889"/>
        </w:rPr>
        <w:t xml:space="preserve">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312420</wp:posOffset>
            </wp:positionV>
            <wp:extent cx="7263130" cy="9791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3130" cy="97917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145"/>
        <w:spacing w:after="0"/>
        <w:rPr>
          <w:sz w:val="20"/>
          <w:szCs w:val="20"/>
          <w:color w:val="auto"/>
        </w:rPr>
      </w:pPr>
      <w:r>
        <w:rPr>
          <w:rFonts w:ascii="Arial" w:cs="Arial" w:eastAsia="Arial" w:hAnsi="Arial"/>
          <w:sz w:val="15"/>
          <w:szCs w:val="15"/>
          <w:b w:val="1"/>
          <w:bCs w:val="1"/>
          <w:color w:val="325889"/>
        </w:rPr>
        <w:t>Reduction in Annual Bonuses for 2016 – Second Consecutive Year of Reduced Bonuses</w:t>
      </w:r>
    </w:p>
    <w:p>
      <w:pPr>
        <w:spacing w:after="0" w:line="65" w:lineRule="exact"/>
        <w:rPr>
          <w:sz w:val="20"/>
          <w:szCs w:val="20"/>
          <w:color w:val="auto"/>
        </w:rPr>
      </w:pPr>
    </w:p>
    <w:p>
      <w:pPr>
        <w:jc w:val="center"/>
        <w:ind w:left="2980"/>
        <w:spacing w:after="0"/>
        <w:rPr>
          <w:sz w:val="20"/>
          <w:szCs w:val="20"/>
          <w:color w:val="auto"/>
        </w:rPr>
      </w:pPr>
      <w:r>
        <w:rPr>
          <w:rFonts w:ascii="Arial" w:cs="Arial" w:eastAsia="Arial" w:hAnsi="Arial"/>
          <w:sz w:val="12"/>
          <w:szCs w:val="12"/>
          <w:b w:val="1"/>
          <w:bCs w:val="1"/>
          <w:color w:val="325889"/>
        </w:rPr>
        <w:t>2016 Annual Cash Bonus Program</w:t>
      </w:r>
    </w:p>
    <w:p>
      <w:pPr>
        <w:spacing w:after="0" w:line="146" w:lineRule="exact"/>
        <w:rPr>
          <w:sz w:val="20"/>
          <w:szCs w:val="20"/>
          <w:color w:val="auto"/>
        </w:rPr>
      </w:pPr>
    </w:p>
    <w:p>
      <w:pPr>
        <w:ind w:left="5605"/>
        <w:spacing w:after="0"/>
        <w:rPr>
          <w:sz w:val="20"/>
          <w:szCs w:val="20"/>
          <w:color w:val="auto"/>
        </w:rPr>
      </w:pPr>
      <w:r>
        <w:rPr>
          <w:rFonts w:ascii="Arial" w:cs="Arial" w:eastAsia="Arial" w:hAnsi="Arial"/>
          <w:sz w:val="15"/>
          <w:szCs w:val="15"/>
          <w:b w:val="1"/>
          <w:bCs w:val="1"/>
          <w:color w:val="325889"/>
        </w:rPr>
        <w:t>Annual Cash Bonus Program earned at only</w:t>
      </w:r>
    </w:p>
    <w:p>
      <w:pPr>
        <w:spacing w:after="0" w:line="178" w:lineRule="exact"/>
        <w:rPr>
          <w:sz w:val="20"/>
          <w:szCs w:val="20"/>
          <w:color w:val="auto"/>
        </w:rPr>
      </w:pPr>
    </w:p>
    <w:p>
      <w:pPr>
        <w:ind w:left="5605"/>
        <w:spacing w:after="0"/>
        <w:rPr>
          <w:sz w:val="20"/>
          <w:szCs w:val="20"/>
          <w:color w:val="auto"/>
        </w:rPr>
      </w:pPr>
      <w:r>
        <w:rPr>
          <w:rFonts w:ascii="Arial" w:cs="Arial" w:eastAsia="Arial" w:hAnsi="Arial"/>
          <w:sz w:val="28"/>
          <w:szCs w:val="28"/>
          <w:b w:val="1"/>
          <w:bCs w:val="1"/>
          <w:color w:val="FFFFFF"/>
        </w:rPr>
        <w:t xml:space="preserve">61% </w:t>
      </w:r>
      <w:r>
        <w:rPr>
          <w:rFonts w:ascii="Arial" w:cs="Arial" w:eastAsia="Arial" w:hAnsi="Arial"/>
          <w:sz w:val="15"/>
          <w:szCs w:val="15"/>
          <w:b w:val="1"/>
          <w:bCs w:val="1"/>
          <w:color w:val="325889"/>
        </w:rPr>
        <w:t>of maximum for 2016 demonstrating rigor of performance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351155</wp:posOffset>
            </wp:positionV>
            <wp:extent cx="7263130" cy="14693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130" cy="14693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145"/>
        <w:spacing w:after="0"/>
        <w:rPr>
          <w:sz w:val="20"/>
          <w:szCs w:val="20"/>
          <w:color w:val="auto"/>
        </w:rPr>
      </w:pPr>
      <w:r>
        <w:rPr>
          <w:rFonts w:ascii="Arial" w:cs="Arial" w:eastAsia="Arial" w:hAnsi="Arial"/>
          <w:sz w:val="15"/>
          <w:szCs w:val="15"/>
          <w:b w:val="1"/>
          <w:bCs w:val="1"/>
          <w:color w:val="325889"/>
        </w:rPr>
        <w:t>Low G&amp;A in Relative and Absolute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45" w:right="5800"/>
        <w:spacing w:after="0" w:line="269" w:lineRule="auto"/>
        <w:rPr>
          <w:sz w:val="20"/>
          <w:szCs w:val="20"/>
          <w:color w:val="auto"/>
        </w:rPr>
      </w:pPr>
      <w:r>
        <w:rPr>
          <w:rFonts w:ascii="Arial" w:cs="Arial" w:eastAsia="Arial" w:hAnsi="Arial"/>
          <w:sz w:val="15"/>
          <w:szCs w:val="15"/>
          <w:b w:val="1"/>
          <w:bCs w:val="1"/>
          <w:color w:val="325889"/>
        </w:rPr>
        <w:t>We have consistently maintained low G&amp;A expenses, with G&amp;A expense as a percentage of total assets and revenues among the lowest of our office REIT peers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65" w:hanging="165"/>
        <w:spacing w:after="0"/>
        <w:tabs>
          <w:tab w:leader="none" w:pos="165" w:val="left"/>
        </w:tabs>
        <w:numPr>
          <w:ilvl w:val="0"/>
          <w:numId w:val="5"/>
        </w:numPr>
        <w:rPr>
          <w:rFonts w:ascii="Arial" w:cs="Arial" w:eastAsia="Arial" w:hAnsi="Arial"/>
          <w:sz w:val="15"/>
          <w:szCs w:val="15"/>
          <w:color w:val="325889"/>
        </w:rPr>
      </w:pPr>
      <w:r>
        <w:rPr>
          <w:rFonts w:ascii="Arial" w:cs="Arial" w:eastAsia="Arial" w:hAnsi="Arial"/>
          <w:sz w:val="15"/>
          <w:szCs w:val="15"/>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83450"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5"/>
          </w:cols>
          <w:pgMar w:left="235" w:top="528" w:right="219" w:bottom="1440" w:gutter="0" w:footer="0" w:header="0"/>
        </w:sectPr>
      </w:pPr>
    </w:p>
    <w:bookmarkStart w:id="4" w:name="page5"/>
    <w:bookmarkEnd w:id="4"/>
    <w:p>
      <w:pPr>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325889"/>
        </w:rPr>
        <w:t>2017 PROXY STATEMENT HIGHLIGHTS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7263130"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130"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187960</wp:posOffset>
            </wp:positionV>
            <wp:extent cx="7263130" cy="7385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130" cy="738505"/>
                    </a:xfrm>
                    <a:prstGeom prst="rect">
                      <a:avLst/>
                    </a:prstGeom>
                    <a:noFill/>
                  </pic:spPr>
                </pic:pic>
              </a:graphicData>
            </a:graphic>
          </wp:anchor>
        </w:drawing>
      </w:r>
    </w:p>
    <w:p>
      <w:pPr>
        <w:spacing w:after="0" w:line="284"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325889"/>
        </w:rPr>
        <w:t>Declassified Board Proposal</w:t>
      </w:r>
    </w:p>
    <w:p>
      <w:pPr>
        <w:spacing w:after="0" w:line="231" w:lineRule="exact"/>
        <w:rPr>
          <w:sz w:val="20"/>
          <w:szCs w:val="20"/>
          <w:color w:val="auto"/>
        </w:rPr>
      </w:pPr>
    </w:p>
    <w:p>
      <w:pPr>
        <w:ind w:left="1120" w:right="420"/>
        <w:spacing w:after="0" w:line="269" w:lineRule="auto"/>
        <w:rPr>
          <w:sz w:val="20"/>
          <w:szCs w:val="20"/>
          <w:color w:val="auto"/>
        </w:rPr>
      </w:pPr>
      <w:r>
        <w:rPr>
          <w:rFonts w:ascii="Arial" w:cs="Arial" w:eastAsia="Arial" w:hAnsi="Arial"/>
          <w:sz w:val="15"/>
          <w:szCs w:val="15"/>
          <w:b w:val="1"/>
          <w:bCs w:val="1"/>
          <w:color w:val="FFFFFF"/>
        </w:rPr>
        <w:t>In this proxy statement, we have proposed to declassify our Board</w:t>
      </w:r>
      <w:r>
        <w:rPr>
          <w:rFonts w:ascii="Arial" w:cs="Arial" w:eastAsia="Arial" w:hAnsi="Arial"/>
          <w:sz w:val="15"/>
          <w:szCs w:val="15"/>
          <w:b w:val="1"/>
          <w:bCs w:val="1"/>
          <w:color w:val="325889"/>
        </w:rPr>
        <w:t>. With stockholder approval, we will phase out board classes, so that</w:t>
      </w:r>
      <w:r>
        <w:rPr>
          <w:rFonts w:ascii="Arial" w:cs="Arial" w:eastAsia="Arial" w:hAnsi="Arial"/>
          <w:sz w:val="15"/>
          <w:szCs w:val="15"/>
          <w:b w:val="1"/>
          <w:bCs w:val="1"/>
          <w:color w:val="FFFFFF"/>
        </w:rPr>
        <w:t xml:space="preserve"> </w:t>
      </w:r>
      <w:r>
        <w:rPr>
          <w:rFonts w:ascii="Arial" w:cs="Arial" w:eastAsia="Arial" w:hAnsi="Arial"/>
          <w:sz w:val="15"/>
          <w:szCs w:val="15"/>
          <w:b w:val="1"/>
          <w:bCs w:val="1"/>
          <w:color w:val="325889"/>
        </w:rPr>
        <w:t xml:space="preserve">beginning in 2018 directors whose terms are expiring will be elected for one-year terms. </w:t>
      </w:r>
      <w:r>
        <w:rPr>
          <w:rFonts w:ascii="Arial" w:cs="Arial" w:eastAsia="Arial" w:hAnsi="Arial"/>
          <w:sz w:val="15"/>
          <w:szCs w:val="15"/>
          <w:b w:val="1"/>
          <w:bCs w:val="1"/>
          <w:color w:val="FFFFFF"/>
        </w:rPr>
        <w:t>By our 2020 annual meeting, our Board of</w:t>
      </w:r>
      <w:r>
        <w:rPr>
          <w:rFonts w:ascii="Arial" w:cs="Arial" w:eastAsia="Arial" w:hAnsi="Arial"/>
          <w:sz w:val="15"/>
          <w:szCs w:val="15"/>
          <w:b w:val="1"/>
          <w:bCs w:val="1"/>
          <w:color w:val="325889"/>
        </w:rPr>
        <w:t xml:space="preserve"> </w:t>
      </w:r>
      <w:r>
        <w:rPr>
          <w:rFonts w:ascii="Arial" w:cs="Arial" w:eastAsia="Arial" w:hAnsi="Arial"/>
          <w:sz w:val="15"/>
          <w:szCs w:val="15"/>
          <w:b w:val="1"/>
          <w:bCs w:val="1"/>
          <w:color w:val="FFFFFF"/>
        </w:rPr>
        <w:t>Directors will be fully declassified</w:t>
      </w:r>
      <w:r>
        <w:rPr>
          <w:rFonts w:ascii="Arial" w:cs="Arial" w:eastAsia="Arial" w:hAnsi="Arial"/>
          <w:sz w:val="15"/>
          <w:szCs w:val="15"/>
          <w:b w:val="1"/>
          <w:bCs w:val="1"/>
          <w:color w:val="32588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243840</wp:posOffset>
            </wp:positionV>
            <wp:extent cx="7263130" cy="132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130" cy="1325880"/>
                    </a:xfrm>
                    <a:prstGeom prst="rect">
                      <a:avLst/>
                    </a:prstGeom>
                    <a:noFill/>
                  </pic:spPr>
                </pic:pic>
              </a:graphicData>
            </a:graphic>
          </wp:anchor>
        </w:drawing>
      </w:r>
    </w:p>
    <w:p>
      <w:pPr>
        <w:spacing w:after="0" w:line="373"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325889"/>
        </w:rPr>
        <w:t>Proxy Access</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2"/>
          <w:szCs w:val="12"/>
          <w:b w:val="1"/>
          <w:bCs w:val="1"/>
          <w:color w:val="325889"/>
        </w:rPr>
        <w:t>Since 2016, our bylaws permit:</w:t>
      </w:r>
    </w:p>
    <w:p>
      <w:pPr>
        <w:sectPr>
          <w:pgSz w:w="11900" w:h="16838" w:orient="portrait"/>
          <w:cols w:equalWidth="0" w:num="1">
            <w:col w:w="11440"/>
          </w:cols>
          <w:pgMar w:left="240" w:top="528"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325889"/>
        </w:rPr>
        <w:t>A stockholder</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325889"/>
        </w:rPr>
        <w:t xml:space="preserve">(or a group of up to </w:t>
      </w:r>
      <w:r>
        <w:rPr>
          <w:rFonts w:ascii="Arial" w:cs="Arial" w:eastAsia="Arial" w:hAnsi="Arial"/>
          <w:sz w:val="15"/>
          <w:szCs w:val="15"/>
          <w:b w:val="1"/>
          <w:bCs w:val="1"/>
          <w:color w:val="FFFFFF"/>
        </w:rPr>
        <w:t>20 stockholders</w:t>
      </w:r>
      <w:r>
        <w:rPr>
          <w:rFonts w:ascii="Arial" w:cs="Arial" w:eastAsia="Arial" w:hAnsi="Arial"/>
          <w:sz w:val="15"/>
          <w:szCs w:val="15"/>
          <w:b w:val="1"/>
          <w:bCs w:val="1"/>
          <w:color w:val="325889"/>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28"/>
          <w:szCs w:val="28"/>
          <w:b w:val="1"/>
          <w:bCs w:val="1"/>
          <w:color w:val="FFFFFF"/>
        </w:rPr>
        <w:t>3% / 3-years</w:t>
      </w:r>
    </w:p>
    <w:p>
      <w:pPr>
        <w:spacing w:after="0" w:line="46" w:lineRule="exact"/>
        <w:rPr>
          <w:sz w:val="20"/>
          <w:szCs w:val="20"/>
          <w:color w:val="auto"/>
        </w:rPr>
      </w:pPr>
    </w:p>
    <w:p>
      <w:pPr>
        <w:spacing w:after="0" w:line="265" w:lineRule="auto"/>
        <w:rPr>
          <w:sz w:val="20"/>
          <w:szCs w:val="20"/>
          <w:color w:val="auto"/>
        </w:rPr>
      </w:pPr>
      <w:r>
        <w:rPr>
          <w:rFonts w:ascii="Arial" w:cs="Arial" w:eastAsia="Arial" w:hAnsi="Arial"/>
          <w:sz w:val="15"/>
          <w:szCs w:val="15"/>
          <w:b w:val="1"/>
          <w:bCs w:val="1"/>
          <w:color w:val="325889"/>
        </w:rPr>
        <w:t>Owning 3% or more of our outstanding common stock continuously for at least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-2479040</wp:posOffset>
            </wp:positionH>
            <wp:positionV relativeFrom="paragraph">
              <wp:posOffset>645160</wp:posOffset>
            </wp:positionV>
            <wp:extent cx="7263130" cy="13335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130" cy="13335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28"/>
          <w:szCs w:val="28"/>
          <w:b w:val="1"/>
          <w:bCs w:val="1"/>
          <w:color w:val="FFFFFF"/>
        </w:rPr>
        <w:t>2 candidates / 20%</w:t>
      </w:r>
    </w:p>
    <w:p>
      <w:pPr>
        <w:spacing w:after="0" w:line="46" w:lineRule="exact"/>
        <w:rPr>
          <w:sz w:val="20"/>
          <w:szCs w:val="20"/>
          <w:color w:val="auto"/>
        </w:rPr>
      </w:pPr>
    </w:p>
    <w:p>
      <w:pPr>
        <w:ind w:right="180"/>
        <w:spacing w:after="0" w:line="252" w:lineRule="auto"/>
        <w:rPr>
          <w:sz w:val="20"/>
          <w:szCs w:val="20"/>
          <w:color w:val="auto"/>
        </w:rPr>
      </w:pPr>
      <w:r>
        <w:rPr>
          <w:rFonts w:ascii="Arial" w:cs="Arial" w:eastAsia="Arial" w:hAnsi="Arial"/>
          <w:sz w:val="15"/>
          <w:szCs w:val="15"/>
          <w:b w:val="1"/>
          <w:bCs w:val="1"/>
          <w:color w:val="325889"/>
        </w:rPr>
        <w:t>To nominate and include in our proxy materials director candidates constituting up to the greater of two individuals or 20% of the Board, if the nominee(s) satisfy the requirements specified in our bylaws</w:t>
      </w:r>
    </w:p>
    <w:p>
      <w:pPr>
        <w:spacing w:after="0" w:line="416" w:lineRule="exact"/>
        <w:rPr>
          <w:sz w:val="20"/>
          <w:szCs w:val="20"/>
          <w:color w:val="auto"/>
        </w:rPr>
      </w:pPr>
    </w:p>
    <w:p>
      <w:pPr>
        <w:sectPr>
          <w:pgSz w:w="11900" w:h="16838" w:orient="portrait"/>
          <w:cols w:equalWidth="0" w:num="3">
            <w:col w:w="3180" w:space="720"/>
            <w:col w:w="3540" w:space="200"/>
            <w:col w:w="3800"/>
          </w:cols>
          <w:pgMar w:left="240" w:top="528" w:right="219" w:bottom="1440" w:gutter="0" w:footer="0" w:header="0"/>
          <w:type w:val="continuous"/>
        </w:sectPr>
      </w:pPr>
    </w:p>
    <w:p>
      <w:pPr>
        <w:spacing w:after="0" w:line="84"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325889"/>
        </w:rPr>
        <w:t>Director Succession Planning</w:t>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1"/>
          <w:szCs w:val="11"/>
          <w:b w:val="1"/>
          <w:bCs w:val="1"/>
          <w:color w:val="325889"/>
        </w:rPr>
        <w:t>We remain focused on refreshing the membership of the Board.</w:t>
      </w:r>
    </w:p>
    <w:p>
      <w:pPr>
        <w:sectPr>
          <w:pgSz w:w="11900" w:h="16838" w:orient="portrait"/>
          <w:cols w:equalWidth="0" w:num="1">
            <w:col w:w="11440"/>
          </w:cols>
          <w:pgMar w:left="240" w:top="528" w:right="219" w:bottom="1440" w:gutter="0" w:footer="0" w:header="0"/>
          <w:type w:val="continuous"/>
        </w:sectPr>
      </w:pPr>
    </w:p>
    <w:p>
      <w:pPr>
        <w:spacing w:after="0" w:line="158" w:lineRule="exact"/>
        <w:rPr>
          <w:sz w:val="20"/>
          <w:szCs w:val="20"/>
          <w:color w:val="auto"/>
        </w:rPr>
      </w:pPr>
    </w:p>
    <w:p>
      <w:pPr>
        <w:ind w:left="3780"/>
        <w:spacing w:after="0"/>
        <w:rPr>
          <w:sz w:val="20"/>
          <w:szCs w:val="20"/>
          <w:color w:val="auto"/>
        </w:rPr>
      </w:pPr>
      <w:r>
        <w:rPr>
          <w:rFonts w:ascii="Arial" w:cs="Arial" w:eastAsia="Arial" w:hAnsi="Arial"/>
          <w:sz w:val="15"/>
          <w:szCs w:val="15"/>
          <w:b w:val="1"/>
          <w:bCs w:val="1"/>
          <w:color w:val="325889"/>
        </w:rPr>
        <w:t>Independent directors recently added to our</w:t>
      </w:r>
    </w:p>
    <w:p>
      <w:pPr>
        <w:spacing w:after="0" w:line="23" w:lineRule="exact"/>
        <w:rPr>
          <w:sz w:val="20"/>
          <w:szCs w:val="20"/>
          <w:color w:val="auto"/>
        </w:rPr>
      </w:pPr>
    </w:p>
    <w:p>
      <w:pPr>
        <w:ind w:left="3780"/>
        <w:spacing w:after="0"/>
        <w:rPr>
          <w:sz w:val="20"/>
          <w:szCs w:val="20"/>
          <w:color w:val="auto"/>
        </w:rPr>
      </w:pPr>
      <w:r>
        <w:rPr>
          <w:rFonts w:ascii="Arial" w:cs="Arial" w:eastAsia="Arial" w:hAnsi="Arial"/>
          <w:sz w:val="15"/>
          <w:szCs w:val="15"/>
          <w:b w:val="1"/>
          <w:bCs w:val="1"/>
          <w:color w:val="325889"/>
        </w:rPr>
        <w:t>Board:</w:t>
      </w:r>
    </w:p>
    <w:p>
      <w:pPr>
        <w:spacing w:after="0" w:line="165" w:lineRule="exact"/>
        <w:rPr>
          <w:sz w:val="20"/>
          <w:szCs w:val="20"/>
          <w:color w:val="auto"/>
        </w:rPr>
      </w:pPr>
    </w:p>
    <w:p>
      <w:pPr>
        <w:ind w:left="3780"/>
        <w:spacing w:after="0"/>
        <w:rPr>
          <w:sz w:val="20"/>
          <w:szCs w:val="20"/>
          <w:color w:val="auto"/>
        </w:rPr>
      </w:pPr>
      <w:r>
        <w:rPr>
          <w:rFonts w:ascii="Arial" w:cs="Arial" w:eastAsia="Arial" w:hAnsi="Arial"/>
          <w:sz w:val="15"/>
          <w:szCs w:val="15"/>
          <w:b w:val="1"/>
          <w:bCs w:val="1"/>
          <w:color w:val="FFFFFF"/>
        </w:rPr>
        <w:t>Craig Hatkoff, 2011</w:t>
      </w:r>
    </w:p>
    <w:p>
      <w:pPr>
        <w:spacing w:after="0" w:line="183" w:lineRule="exact"/>
        <w:rPr>
          <w:sz w:val="20"/>
          <w:szCs w:val="20"/>
          <w:color w:val="auto"/>
        </w:rPr>
      </w:pPr>
    </w:p>
    <w:p>
      <w:pPr>
        <w:ind w:left="3780"/>
        <w:spacing w:after="0"/>
        <w:rPr>
          <w:sz w:val="20"/>
          <w:szCs w:val="20"/>
          <w:color w:val="auto"/>
        </w:rPr>
      </w:pPr>
      <w:r>
        <w:rPr>
          <w:rFonts w:ascii="Arial" w:cs="Arial" w:eastAsia="Arial" w:hAnsi="Arial"/>
          <w:sz w:val="15"/>
          <w:szCs w:val="15"/>
          <w:b w:val="1"/>
          <w:bCs w:val="1"/>
          <w:color w:val="FFFFFF"/>
        </w:rPr>
        <w:t>Betsy Atkins, 2015</w:t>
      </w:r>
    </w:p>
    <w:p>
      <w:pPr>
        <w:spacing w:after="0" w:line="183" w:lineRule="exact"/>
        <w:rPr>
          <w:sz w:val="20"/>
          <w:szCs w:val="20"/>
          <w:color w:val="auto"/>
        </w:rPr>
      </w:pPr>
    </w:p>
    <w:p>
      <w:pPr>
        <w:ind w:left="3780"/>
        <w:spacing w:after="0"/>
        <w:rPr>
          <w:sz w:val="20"/>
          <w:szCs w:val="20"/>
          <w:color w:val="auto"/>
        </w:rPr>
      </w:pPr>
      <w:r>
        <w:rPr>
          <w:rFonts w:ascii="Arial" w:cs="Arial" w:eastAsia="Arial" w:hAnsi="Arial"/>
          <w:sz w:val="15"/>
          <w:szCs w:val="15"/>
          <w:b w:val="1"/>
          <w:bCs w:val="1"/>
          <w:color w:val="FFFFFF"/>
        </w:rPr>
        <w:t>Lauren Dillard,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208915</wp:posOffset>
            </wp:positionV>
            <wp:extent cx="7263130" cy="15068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130" cy="15068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right="280"/>
        <w:spacing w:after="0" w:line="290" w:lineRule="auto"/>
        <w:rPr>
          <w:sz w:val="20"/>
          <w:szCs w:val="20"/>
          <w:color w:val="auto"/>
        </w:rPr>
      </w:pPr>
      <w:r>
        <w:rPr>
          <w:rFonts w:ascii="Arial" w:cs="Arial" w:eastAsia="Arial" w:hAnsi="Arial"/>
          <w:sz w:val="15"/>
          <w:szCs w:val="15"/>
          <w:b w:val="1"/>
          <w:bCs w:val="1"/>
          <w:color w:val="325889"/>
        </w:rPr>
        <w:t>Increased diversity and reduced average age and tenure of independent directors:</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33% of independent board members are women</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Age: 73.5 =&gt; 64.5</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Tenure: 20 =&gt; 11</w:t>
      </w:r>
    </w:p>
    <w:p>
      <w:pPr>
        <w:spacing w:after="0" w:line="200" w:lineRule="exact"/>
        <w:rPr>
          <w:sz w:val="20"/>
          <w:szCs w:val="20"/>
          <w:color w:val="auto"/>
        </w:rPr>
      </w:pPr>
    </w:p>
    <w:p>
      <w:pPr>
        <w:sectPr>
          <w:pgSz w:w="11900" w:h="16838" w:orient="portrait"/>
          <w:cols w:equalWidth="0" w:num="2">
            <w:col w:w="7020" w:space="520"/>
            <w:col w:w="3900"/>
          </w:cols>
          <w:pgMar w:left="240" w:top="528" w:right="219" w:bottom="1440" w:gutter="0" w:footer="0" w:header="0"/>
          <w:type w:val="continuous"/>
        </w:sectPr>
      </w:pPr>
    </w:p>
    <w:p>
      <w:pPr>
        <w:spacing w:after="0" w:line="102"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325889"/>
        </w:rPr>
        <w:t>Sustainability</w:t>
      </w:r>
    </w:p>
    <w:p>
      <w:pPr>
        <w:spacing w:after="0" w:line="100" w:lineRule="exact"/>
        <w:rPr>
          <w:sz w:val="20"/>
          <w:szCs w:val="20"/>
          <w:color w:val="auto"/>
        </w:rPr>
      </w:pPr>
    </w:p>
    <w:p>
      <w:pPr>
        <w:ind w:left="1400"/>
        <w:spacing w:after="0"/>
        <w:rPr>
          <w:sz w:val="20"/>
          <w:szCs w:val="20"/>
          <w:color w:val="auto"/>
        </w:rPr>
      </w:pPr>
      <w:r>
        <w:rPr>
          <w:rFonts w:ascii="Arial" w:cs="Arial" w:eastAsia="Arial" w:hAnsi="Arial"/>
          <w:sz w:val="15"/>
          <w:szCs w:val="15"/>
          <w:b w:val="1"/>
          <w:bCs w:val="1"/>
          <w:color w:val="325889"/>
        </w:rPr>
        <w:t>Our industry leadership has been widely recognized.</w:t>
      </w:r>
    </w:p>
    <w:p>
      <w:pPr>
        <w:spacing w:after="0" w:line="195" w:lineRule="exact"/>
        <w:rPr>
          <w:sz w:val="20"/>
          <w:szCs w:val="20"/>
          <w:color w:val="auto"/>
        </w:rPr>
      </w:pPr>
    </w:p>
    <w:p>
      <w:pPr>
        <w:ind w:left="1400"/>
        <w:spacing w:after="0"/>
        <w:rPr>
          <w:sz w:val="20"/>
          <w:szCs w:val="20"/>
          <w:color w:val="auto"/>
        </w:rPr>
      </w:pPr>
      <w:r>
        <w:rPr>
          <w:rFonts w:ascii="Arial" w:cs="Arial" w:eastAsia="Arial" w:hAnsi="Arial"/>
          <w:sz w:val="15"/>
          <w:szCs w:val="15"/>
          <w:b w:val="1"/>
          <w:bCs w:val="1"/>
          <w:color w:val="FFFFFF"/>
        </w:rPr>
        <w:t>REIT of the Year – Sustainability (2017) - Real Estate &amp; Investment Finance</w:t>
      </w:r>
    </w:p>
    <w:p>
      <w:pPr>
        <w:spacing w:after="0" w:line="195" w:lineRule="exact"/>
        <w:rPr>
          <w:sz w:val="20"/>
          <w:szCs w:val="20"/>
          <w:color w:val="auto"/>
        </w:rPr>
      </w:pPr>
    </w:p>
    <w:p>
      <w:pPr>
        <w:ind w:left="1400"/>
        <w:spacing w:after="0"/>
        <w:rPr>
          <w:sz w:val="20"/>
          <w:szCs w:val="20"/>
          <w:color w:val="auto"/>
        </w:rPr>
      </w:pPr>
      <w:r>
        <w:rPr>
          <w:rFonts w:ascii="Arial" w:cs="Arial" w:eastAsia="Arial" w:hAnsi="Arial"/>
          <w:sz w:val="15"/>
          <w:szCs w:val="15"/>
          <w:b w:val="1"/>
          <w:bCs w:val="1"/>
          <w:color w:val="FFFFFF"/>
        </w:rPr>
        <w:t>Ranked as one of the greenest businesses in the United States for three consecutive years (2014-2016) – Newsweek</w:t>
      </w:r>
    </w:p>
    <w:p>
      <w:pPr>
        <w:spacing w:after="0" w:line="195" w:lineRule="exact"/>
        <w:rPr>
          <w:sz w:val="20"/>
          <w:szCs w:val="20"/>
          <w:color w:val="auto"/>
        </w:rPr>
      </w:pPr>
    </w:p>
    <w:p>
      <w:pPr>
        <w:ind w:left="1400"/>
        <w:spacing w:after="0"/>
        <w:rPr>
          <w:sz w:val="20"/>
          <w:szCs w:val="20"/>
          <w:color w:val="auto"/>
        </w:rPr>
      </w:pPr>
      <w:r>
        <w:rPr>
          <w:rFonts w:ascii="Arial" w:cs="Arial" w:eastAsia="Arial" w:hAnsi="Arial"/>
          <w:sz w:val="15"/>
          <w:szCs w:val="15"/>
          <w:b w:val="1"/>
          <w:bCs w:val="1"/>
          <w:color w:val="FFFFFF"/>
        </w:rPr>
        <w:t>ENERGY STAR Partner of the Year (2015 and 2016) – United States Environmental Protection Agency</w:t>
      </w:r>
    </w:p>
    <w:p>
      <w:pPr>
        <w:spacing w:after="0" w:line="195" w:lineRule="exact"/>
        <w:rPr>
          <w:sz w:val="20"/>
          <w:szCs w:val="20"/>
          <w:color w:val="auto"/>
        </w:rPr>
      </w:pPr>
    </w:p>
    <w:p>
      <w:pPr>
        <w:ind w:left="1400"/>
        <w:spacing w:after="0"/>
        <w:rPr>
          <w:sz w:val="20"/>
          <w:szCs w:val="20"/>
          <w:color w:val="auto"/>
        </w:rPr>
      </w:pPr>
      <w:r>
        <w:rPr>
          <w:rFonts w:ascii="Arial" w:cs="Arial" w:eastAsia="Arial" w:hAnsi="Arial"/>
          <w:sz w:val="15"/>
          <w:szCs w:val="15"/>
          <w:b w:val="1"/>
          <w:bCs w:val="1"/>
          <w:color w:val="FFFFFF"/>
        </w:rPr>
        <w:t>Sustainability Report (2014-2016) – GRI Compliant</w:t>
      </w:r>
    </w:p>
    <w:p>
      <w:pPr>
        <w:spacing w:after="0" w:line="195" w:lineRule="exact"/>
        <w:rPr>
          <w:sz w:val="20"/>
          <w:szCs w:val="20"/>
          <w:color w:val="auto"/>
        </w:rPr>
      </w:pPr>
    </w:p>
    <w:p>
      <w:pPr>
        <w:ind w:left="1400"/>
        <w:spacing w:after="0"/>
        <w:rPr>
          <w:sz w:val="20"/>
          <w:szCs w:val="20"/>
          <w:color w:val="auto"/>
        </w:rPr>
      </w:pPr>
      <w:r>
        <w:rPr>
          <w:rFonts w:ascii="Arial" w:cs="Arial" w:eastAsia="Arial" w:hAnsi="Arial"/>
          <w:sz w:val="15"/>
          <w:szCs w:val="15"/>
          <w:b w:val="1"/>
          <w:bCs w:val="1"/>
          <w:color w:val="325889"/>
        </w:rPr>
        <w:t>Our sustainability strategy, achievements and reports are available on our website at http://www.slgreen.com/sustainability.</w:t>
      </w: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2017 Proxy Statement </w:t>
      </w:r>
      <w:r>
        <w:rPr>
          <w:rFonts w:ascii="Arial" w:cs="Arial" w:eastAsia="Arial" w:hAnsi="Arial"/>
          <w:sz w:val="15"/>
          <w:szCs w:val="15"/>
          <w:color w:val="325889"/>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83450"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0"/>
          </w:cols>
          <w:pgMar w:left="240" w:top="528" w:right="219" w:bottom="1440" w:gutter="0" w:footer="0" w:header="0"/>
          <w:type w:val="continuous"/>
        </w:sectPr>
      </w:pPr>
    </w:p>
    <w:bookmarkStart w:id="5" w:name="page6"/>
    <w:bookmarkEnd w:id="5"/>
    <w:p>
      <w:pPr>
        <w:ind w:left="5"/>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195" w:lineRule="exact"/>
        <w:rPr>
          <w:sz w:val="20"/>
          <w:szCs w:val="20"/>
          <w:color w:val="auto"/>
        </w:rPr>
      </w:pPr>
    </w:p>
    <w:p>
      <w:pPr>
        <w:ind w:left="5"/>
        <w:spacing w:after="0"/>
        <w:rPr>
          <w:sz w:val="20"/>
          <w:szCs w:val="20"/>
          <w:color w:val="auto"/>
        </w:rPr>
      </w:pPr>
      <w:r>
        <w:rPr>
          <w:rFonts w:ascii="Arial" w:cs="Arial" w:eastAsia="Arial" w:hAnsi="Arial"/>
          <w:sz w:val="15"/>
          <w:szCs w:val="15"/>
          <w:b w:val="1"/>
          <w:bCs w:val="1"/>
          <w:color w:val="auto"/>
        </w:rPr>
        <w:t>SL GREEN REALTY CORP.</w:t>
      </w:r>
    </w:p>
    <w:p>
      <w:pPr>
        <w:spacing w:after="0" w:line="23" w:lineRule="exact"/>
        <w:rPr>
          <w:sz w:val="20"/>
          <w:szCs w:val="20"/>
          <w:color w:val="auto"/>
        </w:rPr>
      </w:pPr>
    </w:p>
    <w:p>
      <w:pPr>
        <w:ind w:left="5"/>
        <w:spacing w:after="0"/>
        <w:rPr>
          <w:sz w:val="20"/>
          <w:szCs w:val="20"/>
          <w:color w:val="auto"/>
        </w:rPr>
      </w:pPr>
      <w:r>
        <w:rPr>
          <w:rFonts w:ascii="Arial" w:cs="Arial" w:eastAsia="Arial" w:hAnsi="Arial"/>
          <w:sz w:val="15"/>
          <w:szCs w:val="15"/>
          <w:color w:val="auto"/>
        </w:rPr>
        <w:t>420 Lexington Avenue</w:t>
      </w:r>
    </w:p>
    <w:p>
      <w:pPr>
        <w:spacing w:after="0" w:line="5" w:lineRule="exact"/>
        <w:rPr>
          <w:sz w:val="20"/>
          <w:szCs w:val="20"/>
          <w:color w:val="auto"/>
        </w:rPr>
      </w:pPr>
    </w:p>
    <w:p>
      <w:pPr>
        <w:ind w:left="5"/>
        <w:spacing w:after="0"/>
        <w:rPr>
          <w:sz w:val="20"/>
          <w:szCs w:val="20"/>
          <w:color w:val="auto"/>
        </w:rPr>
      </w:pPr>
      <w:r>
        <w:rPr>
          <w:rFonts w:ascii="Arial" w:cs="Arial" w:eastAsia="Arial" w:hAnsi="Arial"/>
          <w:sz w:val="15"/>
          <w:szCs w:val="15"/>
          <w:color w:val="auto"/>
        </w:rPr>
        <w:t>New York, New York 10170-1881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1039495" cy="3390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39495" cy="33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
        <w:spacing w:after="0"/>
        <w:rPr>
          <w:sz w:val="20"/>
          <w:szCs w:val="20"/>
          <w:color w:val="auto"/>
        </w:rPr>
      </w:pPr>
      <w:r>
        <w:rPr>
          <w:rFonts w:ascii="Arial" w:cs="Arial" w:eastAsia="Arial" w:hAnsi="Arial"/>
          <w:sz w:val="28"/>
          <w:szCs w:val="28"/>
          <w:b w:val="1"/>
          <w:bCs w:val="1"/>
          <w:color w:val="325889"/>
        </w:rPr>
        <w:t>NOTICE OF ANNUAL MEETING OF STOCKHOLDERS</w:t>
      </w:r>
    </w:p>
    <w:p>
      <w:pPr>
        <w:spacing w:after="0" w:line="236" w:lineRule="exact"/>
        <w:rPr>
          <w:sz w:val="20"/>
          <w:szCs w:val="20"/>
          <w:color w:val="auto"/>
        </w:rPr>
      </w:pPr>
    </w:p>
    <w:p>
      <w:pPr>
        <w:ind w:left="5"/>
        <w:spacing w:after="0"/>
        <w:rPr>
          <w:sz w:val="20"/>
          <w:szCs w:val="20"/>
          <w:color w:val="auto"/>
        </w:rPr>
      </w:pPr>
      <w:r>
        <w:rPr>
          <w:rFonts w:ascii="Arial" w:cs="Arial" w:eastAsia="Arial" w:hAnsi="Arial"/>
          <w:sz w:val="15"/>
          <w:szCs w:val="15"/>
          <w:color w:val="auto"/>
        </w:rPr>
        <w:t>Dear Stockholder:</w:t>
      </w:r>
    </w:p>
    <w:p>
      <w:pPr>
        <w:spacing w:after="0" w:line="195" w:lineRule="exact"/>
        <w:rPr>
          <w:sz w:val="20"/>
          <w:szCs w:val="20"/>
          <w:color w:val="auto"/>
        </w:rPr>
      </w:pPr>
    </w:p>
    <w:p>
      <w:pPr>
        <w:ind w:left="5" w:right="80"/>
        <w:spacing w:after="0" w:line="265" w:lineRule="auto"/>
        <w:rPr>
          <w:sz w:val="20"/>
          <w:szCs w:val="20"/>
          <w:color w:val="auto"/>
        </w:rPr>
      </w:pPr>
      <w:r>
        <w:rPr>
          <w:rFonts w:ascii="Arial" w:cs="Arial" w:eastAsia="Arial" w:hAnsi="Arial"/>
          <w:sz w:val="15"/>
          <w:szCs w:val="15"/>
          <w:color w:val="auto"/>
        </w:rPr>
        <w:t>You are invited to attend the 2017 annual meeting of stockholders of SL Green Realty Corp., a Maryland corporation, which will be held on Thursday, June 1, 2017 at 10:00 a.m., local time, at the Grand Hyatt New York, 109 East 42nd Street, New York, New York, 10017. The annual meeting will be held for the following purposes:</w:t>
      </w:r>
    </w:p>
    <w:p>
      <w:pPr>
        <w:spacing w:after="0" w:line="165" w:lineRule="exact"/>
        <w:rPr>
          <w:sz w:val="20"/>
          <w:szCs w:val="20"/>
          <w:color w:val="auto"/>
        </w:rPr>
      </w:pPr>
    </w:p>
    <w:p>
      <w:pPr>
        <w:ind w:left="345" w:right="60" w:hanging="345"/>
        <w:spacing w:after="0" w:line="265" w:lineRule="auto"/>
        <w:tabs>
          <w:tab w:leader="none" w:pos="345" w:val="left"/>
        </w:tabs>
        <w:numPr>
          <w:ilvl w:val="0"/>
          <w:numId w:val="6"/>
        </w:numPr>
        <w:rPr>
          <w:rFonts w:ascii="Arial" w:cs="Arial" w:eastAsia="Arial" w:hAnsi="Arial"/>
          <w:sz w:val="15"/>
          <w:szCs w:val="15"/>
          <w:color w:val="325889"/>
        </w:rPr>
      </w:pPr>
      <w:r>
        <w:rPr>
          <w:rFonts w:ascii="Arial" w:cs="Arial" w:eastAsia="Arial" w:hAnsi="Arial"/>
          <w:sz w:val="15"/>
          <w:szCs w:val="15"/>
          <w:color w:val="auto"/>
        </w:rPr>
        <w:t>To elect the three Class II director nominees named in the proxy statement to serve on the Board of Directors for a three-year term and until their successors are duly elected and qualify;</w:t>
      </w:r>
    </w:p>
    <w:p>
      <w:pPr>
        <w:spacing w:after="0" w:line="188" w:lineRule="exact"/>
        <w:rPr>
          <w:rFonts w:ascii="Arial" w:cs="Arial" w:eastAsia="Arial" w:hAnsi="Arial"/>
          <w:sz w:val="15"/>
          <w:szCs w:val="15"/>
          <w:color w:val="325889"/>
        </w:rPr>
      </w:pPr>
    </w:p>
    <w:p>
      <w:pPr>
        <w:ind w:left="345" w:hanging="345"/>
        <w:spacing w:after="0"/>
        <w:tabs>
          <w:tab w:leader="none" w:pos="345" w:val="left"/>
        </w:tabs>
        <w:numPr>
          <w:ilvl w:val="0"/>
          <w:numId w:val="6"/>
        </w:numPr>
        <w:rPr>
          <w:rFonts w:ascii="Arial" w:cs="Arial" w:eastAsia="Arial" w:hAnsi="Arial"/>
          <w:sz w:val="15"/>
          <w:szCs w:val="15"/>
          <w:color w:val="325889"/>
        </w:rPr>
      </w:pPr>
      <w:r>
        <w:rPr>
          <w:rFonts w:ascii="Arial" w:cs="Arial" w:eastAsia="Arial" w:hAnsi="Arial"/>
          <w:sz w:val="15"/>
          <w:szCs w:val="15"/>
          <w:color w:val="auto"/>
        </w:rPr>
        <w:t>To hold an advisory vote on executive compensation;</w:t>
      </w:r>
    </w:p>
    <w:p>
      <w:pPr>
        <w:spacing w:after="0" w:line="219" w:lineRule="exact"/>
        <w:rPr>
          <w:rFonts w:ascii="Arial" w:cs="Arial" w:eastAsia="Arial" w:hAnsi="Arial"/>
          <w:sz w:val="15"/>
          <w:szCs w:val="15"/>
          <w:color w:val="325889"/>
        </w:rPr>
      </w:pPr>
    </w:p>
    <w:p>
      <w:pPr>
        <w:ind w:left="345" w:hanging="345"/>
        <w:spacing w:after="0"/>
        <w:tabs>
          <w:tab w:leader="none" w:pos="345" w:val="left"/>
        </w:tabs>
        <w:numPr>
          <w:ilvl w:val="0"/>
          <w:numId w:val="6"/>
        </w:numPr>
        <w:rPr>
          <w:rFonts w:ascii="Arial" w:cs="Arial" w:eastAsia="Arial" w:hAnsi="Arial"/>
          <w:sz w:val="15"/>
          <w:szCs w:val="15"/>
          <w:color w:val="325889"/>
        </w:rPr>
      </w:pPr>
      <w:r>
        <w:rPr>
          <w:rFonts w:ascii="Arial" w:cs="Arial" w:eastAsia="Arial" w:hAnsi="Arial"/>
          <w:sz w:val="15"/>
          <w:szCs w:val="15"/>
          <w:color w:val="auto"/>
        </w:rPr>
        <w:t>To vote on the amendment of our Articles of Restatement to effect the declassification of our Board of Directors;</w:t>
      </w:r>
    </w:p>
    <w:p>
      <w:pPr>
        <w:spacing w:after="0" w:line="219" w:lineRule="exact"/>
        <w:rPr>
          <w:rFonts w:ascii="Arial" w:cs="Arial" w:eastAsia="Arial" w:hAnsi="Arial"/>
          <w:sz w:val="15"/>
          <w:szCs w:val="15"/>
          <w:color w:val="325889"/>
        </w:rPr>
      </w:pPr>
    </w:p>
    <w:p>
      <w:pPr>
        <w:ind w:left="345" w:hanging="345"/>
        <w:spacing w:after="0"/>
        <w:tabs>
          <w:tab w:leader="none" w:pos="345" w:val="left"/>
        </w:tabs>
        <w:numPr>
          <w:ilvl w:val="0"/>
          <w:numId w:val="6"/>
        </w:numPr>
        <w:rPr>
          <w:rFonts w:ascii="Arial" w:cs="Arial" w:eastAsia="Arial" w:hAnsi="Arial"/>
          <w:sz w:val="15"/>
          <w:szCs w:val="15"/>
          <w:color w:val="325889"/>
        </w:rPr>
      </w:pPr>
      <w:r>
        <w:rPr>
          <w:rFonts w:ascii="Arial" w:cs="Arial" w:eastAsia="Arial" w:hAnsi="Arial"/>
          <w:sz w:val="15"/>
          <w:szCs w:val="15"/>
          <w:color w:val="auto"/>
        </w:rPr>
        <w:t>To ratify the appointment of Ernst &amp; Young LLP as our independent registered public accounting firm for the fiscal year ending December 31, 2017;</w:t>
      </w:r>
    </w:p>
    <w:p>
      <w:pPr>
        <w:spacing w:after="0" w:line="219" w:lineRule="exact"/>
        <w:rPr>
          <w:rFonts w:ascii="Arial" w:cs="Arial" w:eastAsia="Arial" w:hAnsi="Arial"/>
          <w:sz w:val="15"/>
          <w:szCs w:val="15"/>
          <w:color w:val="325889"/>
        </w:rPr>
      </w:pPr>
    </w:p>
    <w:p>
      <w:pPr>
        <w:ind w:left="345" w:hanging="345"/>
        <w:spacing w:after="0"/>
        <w:tabs>
          <w:tab w:leader="none" w:pos="345" w:val="left"/>
        </w:tabs>
        <w:numPr>
          <w:ilvl w:val="0"/>
          <w:numId w:val="6"/>
        </w:numPr>
        <w:rPr>
          <w:rFonts w:ascii="Arial" w:cs="Arial" w:eastAsia="Arial" w:hAnsi="Arial"/>
          <w:sz w:val="15"/>
          <w:szCs w:val="15"/>
          <w:color w:val="325889"/>
        </w:rPr>
      </w:pPr>
      <w:r>
        <w:rPr>
          <w:rFonts w:ascii="Arial" w:cs="Arial" w:eastAsia="Arial" w:hAnsi="Arial"/>
          <w:sz w:val="15"/>
          <w:szCs w:val="15"/>
          <w:color w:val="auto"/>
        </w:rPr>
        <w:t>To hold an advisory vote on whether an advisory vote on executive compensation should be held every one, two or three years; and</w:t>
      </w:r>
    </w:p>
    <w:p>
      <w:pPr>
        <w:spacing w:after="0" w:line="219" w:lineRule="exact"/>
        <w:rPr>
          <w:rFonts w:ascii="Arial" w:cs="Arial" w:eastAsia="Arial" w:hAnsi="Arial"/>
          <w:sz w:val="15"/>
          <w:szCs w:val="15"/>
          <w:color w:val="325889"/>
        </w:rPr>
      </w:pPr>
    </w:p>
    <w:p>
      <w:pPr>
        <w:ind w:left="345" w:hanging="345"/>
        <w:spacing w:after="0"/>
        <w:tabs>
          <w:tab w:leader="none" w:pos="345" w:val="left"/>
        </w:tabs>
        <w:numPr>
          <w:ilvl w:val="0"/>
          <w:numId w:val="6"/>
        </w:numPr>
        <w:rPr>
          <w:rFonts w:ascii="Arial" w:cs="Arial" w:eastAsia="Arial" w:hAnsi="Arial"/>
          <w:sz w:val="15"/>
          <w:szCs w:val="15"/>
          <w:color w:val="325889"/>
        </w:rPr>
      </w:pPr>
      <w:r>
        <w:rPr>
          <w:rFonts w:ascii="Arial" w:cs="Arial" w:eastAsia="Arial" w:hAnsi="Arial"/>
          <w:sz w:val="15"/>
          <w:szCs w:val="15"/>
          <w:color w:val="auto"/>
        </w:rPr>
        <w:t>To consider and act upon a stockholder proposal regarding setting target amounts for CEO compensation.</w:t>
      </w:r>
    </w:p>
    <w:p>
      <w:pPr>
        <w:spacing w:after="0" w:line="195" w:lineRule="exact"/>
        <w:rPr>
          <w:sz w:val="20"/>
          <w:szCs w:val="20"/>
          <w:color w:val="auto"/>
        </w:rPr>
      </w:pPr>
    </w:p>
    <w:p>
      <w:pPr>
        <w:ind w:left="5"/>
        <w:spacing w:after="0" w:line="265" w:lineRule="auto"/>
        <w:rPr>
          <w:sz w:val="20"/>
          <w:szCs w:val="20"/>
          <w:color w:val="auto"/>
        </w:rPr>
      </w:pPr>
      <w:r>
        <w:rPr>
          <w:rFonts w:ascii="Arial" w:cs="Arial" w:eastAsia="Arial" w:hAnsi="Arial"/>
          <w:sz w:val="15"/>
          <w:szCs w:val="15"/>
          <w:color w:val="auto"/>
        </w:rPr>
        <w:t>In addition, stockholders may be asked to consider and vote upon any other matters that may properly be brought before the annual meeting and at any adjournments or postponements thereof.</w:t>
      </w:r>
    </w:p>
    <w:p>
      <w:pPr>
        <w:spacing w:after="0" w:line="165" w:lineRule="exact"/>
        <w:rPr>
          <w:sz w:val="20"/>
          <w:szCs w:val="20"/>
          <w:color w:val="auto"/>
        </w:rPr>
      </w:pPr>
    </w:p>
    <w:p>
      <w:pPr>
        <w:ind w:left="5" w:right="280"/>
        <w:spacing w:after="0" w:line="265" w:lineRule="auto"/>
        <w:rPr>
          <w:sz w:val="20"/>
          <w:szCs w:val="20"/>
          <w:color w:val="auto"/>
        </w:rPr>
      </w:pPr>
      <w:r>
        <w:rPr>
          <w:rFonts w:ascii="Arial" w:cs="Arial" w:eastAsia="Arial" w:hAnsi="Arial"/>
          <w:sz w:val="15"/>
          <w:szCs w:val="15"/>
          <w:color w:val="auto"/>
        </w:rPr>
        <w:t>Any action may be taken on the foregoing matters at the annual meeting on the date specified above, or on any date or dates to which the annual meeting may be adjourned, or to which the annual meeting may be postponed.</w:t>
      </w:r>
    </w:p>
    <w:p>
      <w:pPr>
        <w:spacing w:after="0" w:line="165" w:lineRule="exact"/>
        <w:rPr>
          <w:sz w:val="20"/>
          <w:szCs w:val="20"/>
          <w:color w:val="auto"/>
        </w:rPr>
      </w:pPr>
    </w:p>
    <w:p>
      <w:pPr>
        <w:ind w:left="5" w:right="120"/>
        <w:spacing w:after="0" w:line="265" w:lineRule="auto"/>
        <w:rPr>
          <w:sz w:val="20"/>
          <w:szCs w:val="20"/>
          <w:color w:val="auto"/>
        </w:rPr>
      </w:pPr>
      <w:r>
        <w:rPr>
          <w:rFonts w:ascii="Arial" w:cs="Arial" w:eastAsia="Arial" w:hAnsi="Arial"/>
          <w:sz w:val="15"/>
          <w:szCs w:val="15"/>
          <w:color w:val="auto"/>
        </w:rPr>
        <w:t>The Board of Directors has fixed the close of business on March 31, 2017 as the record date for determining the stockholders entitled to notice of, and to vote at, the annual meeting and at any adjournments or postponements thereof.</w:t>
      </w:r>
    </w:p>
    <w:p>
      <w:pPr>
        <w:spacing w:after="0" w:line="165" w:lineRule="exact"/>
        <w:rPr>
          <w:sz w:val="20"/>
          <w:szCs w:val="20"/>
          <w:color w:val="auto"/>
        </w:rPr>
      </w:pPr>
    </w:p>
    <w:p>
      <w:pPr>
        <w:ind w:left="5"/>
        <w:spacing w:after="0"/>
        <w:rPr>
          <w:sz w:val="20"/>
          <w:szCs w:val="20"/>
          <w:color w:val="auto"/>
        </w:rPr>
      </w:pPr>
      <w:r>
        <w:rPr>
          <w:rFonts w:ascii="Arial" w:cs="Arial" w:eastAsia="Arial" w:hAnsi="Arial"/>
          <w:sz w:val="15"/>
          <w:szCs w:val="15"/>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91210" cy="255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91210" cy="25590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5"/>
        <w:spacing w:after="0"/>
        <w:rPr>
          <w:sz w:val="20"/>
          <w:szCs w:val="20"/>
          <w:color w:val="auto"/>
        </w:rPr>
      </w:pPr>
      <w:r>
        <w:rPr>
          <w:rFonts w:ascii="Arial" w:cs="Arial" w:eastAsia="Arial" w:hAnsi="Arial"/>
          <w:sz w:val="15"/>
          <w:szCs w:val="15"/>
          <w:b w:val="1"/>
          <w:bCs w:val="1"/>
          <w:color w:val="auto"/>
        </w:rPr>
        <w:t>Andrew S. Levine</w:t>
      </w:r>
    </w:p>
    <w:p>
      <w:pPr>
        <w:spacing w:after="0" w:line="23" w:lineRule="exact"/>
        <w:rPr>
          <w:sz w:val="20"/>
          <w:szCs w:val="20"/>
          <w:color w:val="auto"/>
        </w:rPr>
      </w:pPr>
    </w:p>
    <w:p>
      <w:pPr>
        <w:ind w:left="5"/>
        <w:spacing w:after="0"/>
        <w:rPr>
          <w:sz w:val="20"/>
          <w:szCs w:val="20"/>
          <w:color w:val="auto"/>
        </w:rPr>
      </w:pPr>
      <w:r>
        <w:rPr>
          <w:rFonts w:ascii="Arial" w:cs="Arial" w:eastAsia="Arial" w:hAnsi="Arial"/>
          <w:sz w:val="15"/>
          <w:szCs w:val="15"/>
          <w:color w:val="auto"/>
        </w:rPr>
        <w:t>Secretary</w:t>
      </w:r>
    </w:p>
    <w:p>
      <w:pPr>
        <w:spacing w:after="0" w:line="195" w:lineRule="exact"/>
        <w:rPr>
          <w:sz w:val="20"/>
          <w:szCs w:val="20"/>
          <w:color w:val="auto"/>
        </w:rPr>
      </w:pPr>
    </w:p>
    <w:p>
      <w:pPr>
        <w:ind w:left="5"/>
        <w:spacing w:after="0"/>
        <w:rPr>
          <w:sz w:val="20"/>
          <w:szCs w:val="20"/>
          <w:color w:val="auto"/>
        </w:rPr>
      </w:pPr>
      <w:r>
        <w:rPr>
          <w:rFonts w:ascii="Arial" w:cs="Arial" w:eastAsia="Arial" w:hAnsi="Arial"/>
          <w:sz w:val="15"/>
          <w:szCs w:val="15"/>
          <w:color w:val="auto"/>
        </w:rPr>
        <w:t>New York, New York</w:t>
      </w:r>
    </w:p>
    <w:p>
      <w:pPr>
        <w:spacing w:after="0" w:line="5" w:lineRule="exact"/>
        <w:rPr>
          <w:sz w:val="20"/>
          <w:szCs w:val="20"/>
          <w:color w:val="auto"/>
        </w:rPr>
      </w:pPr>
    </w:p>
    <w:p>
      <w:pPr>
        <w:ind w:left="5"/>
        <w:spacing w:after="0"/>
        <w:rPr>
          <w:sz w:val="20"/>
          <w:szCs w:val="20"/>
          <w:color w:val="auto"/>
        </w:rPr>
      </w:pPr>
      <w:r>
        <w:rPr>
          <w:rFonts w:ascii="Arial" w:cs="Arial" w:eastAsia="Arial" w:hAnsi="Arial"/>
          <w:sz w:val="15"/>
          <w:szCs w:val="15"/>
          <w:color w:val="auto"/>
        </w:rPr>
        <w:t>May 1, 2017</w:t>
      </w:r>
    </w:p>
    <w:p>
      <w:pPr>
        <w:spacing w:after="0" w:line="175" w:lineRule="exact"/>
        <w:rPr>
          <w:sz w:val="20"/>
          <w:szCs w:val="20"/>
          <w:color w:val="auto"/>
        </w:rPr>
      </w:pPr>
    </w:p>
    <w:p>
      <w:pPr>
        <w:ind w:left="125"/>
        <w:spacing w:after="0"/>
        <w:rPr>
          <w:sz w:val="20"/>
          <w:szCs w:val="20"/>
          <w:color w:val="auto"/>
        </w:rPr>
      </w:pPr>
      <w:r>
        <w:rPr>
          <w:rFonts w:ascii="Arial" w:cs="Arial" w:eastAsia="Arial" w:hAnsi="Arial"/>
          <w:sz w:val="21"/>
          <w:szCs w:val="21"/>
          <w:b w:val="1"/>
          <w:bCs w:val="1"/>
          <w:color w:val="auto"/>
        </w:rPr>
        <w:t>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63130" cy="30137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130" cy="301371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125"/>
        <w:spacing w:after="0"/>
        <w:rPr>
          <w:sz w:val="20"/>
          <w:szCs w:val="20"/>
          <w:color w:val="auto"/>
        </w:rPr>
      </w:pPr>
      <w:r>
        <w:rPr>
          <w:rFonts w:ascii="Arial" w:cs="Arial" w:eastAsia="Arial" w:hAnsi="Arial"/>
          <w:sz w:val="15"/>
          <w:szCs w:val="15"/>
          <w:color w:val="auto"/>
        </w:rPr>
        <w:t>You may authorize your proxy via the Internet or by telephone: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65"/>
        <w:spacing w:after="0"/>
        <w:rPr>
          <w:sz w:val="20"/>
          <w:szCs w:val="20"/>
          <w:color w:val="auto"/>
        </w:rPr>
      </w:pPr>
      <w:r>
        <w:rPr>
          <w:rFonts w:ascii="Arial" w:cs="Arial" w:eastAsia="Arial" w:hAnsi="Arial"/>
          <w:sz w:val="15"/>
          <w:szCs w:val="15"/>
          <w:color w:val="auto"/>
        </w:rPr>
        <w:t>Visit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5"/>
        <w:spacing w:after="0"/>
        <w:rPr>
          <w:sz w:val="20"/>
          <w:szCs w:val="20"/>
          <w:color w:val="auto"/>
        </w:rPr>
      </w:pPr>
      <w:r>
        <w:rPr>
          <w:rFonts w:ascii="Arial" w:cs="Arial" w:eastAsia="Arial" w:hAnsi="Arial"/>
          <w:sz w:val="15"/>
          <w:szCs w:val="15"/>
          <w:color w:val="auto"/>
        </w:rPr>
        <w:t>Scan this QR code to vote with your mobile device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5"/>
        <w:spacing w:after="0"/>
        <w:rPr>
          <w:sz w:val="20"/>
          <w:szCs w:val="20"/>
          <w:color w:val="auto"/>
        </w:rPr>
      </w:pPr>
      <w:r>
        <w:rPr>
          <w:rFonts w:ascii="Arial" w:cs="Arial" w:eastAsia="Arial" w:hAnsi="Arial"/>
          <w:sz w:val="15"/>
          <w:szCs w:val="15"/>
          <w:color w:val="auto"/>
        </w:rPr>
        <w:t>Call 1-800-454-8683</w:t>
      </w:r>
    </w:p>
    <w:p>
      <w:pPr>
        <w:spacing w:after="0" w:line="5" w:lineRule="exact"/>
        <w:rPr>
          <w:sz w:val="20"/>
          <w:szCs w:val="20"/>
          <w:color w:val="auto"/>
        </w:rPr>
      </w:pPr>
    </w:p>
    <w:p>
      <w:pPr>
        <w:ind w:left="125"/>
        <w:spacing w:after="0"/>
        <w:rPr>
          <w:sz w:val="20"/>
          <w:szCs w:val="20"/>
          <w:color w:val="auto"/>
        </w:rPr>
      </w:pPr>
      <w:r>
        <w:rPr>
          <w:rFonts w:ascii="Arial" w:cs="Arial" w:eastAsia="Arial" w:hAnsi="Arial"/>
          <w:sz w:val="15"/>
          <w:szCs w:val="15"/>
          <w:color w:val="auto"/>
        </w:rPr>
        <w:t>24h/7</w:t>
      </w:r>
    </w:p>
    <w:p>
      <w:pPr>
        <w:spacing w:after="0" w:line="177" w:lineRule="exact"/>
        <w:rPr>
          <w:sz w:val="20"/>
          <w:szCs w:val="20"/>
          <w:color w:val="auto"/>
        </w:rPr>
      </w:pPr>
    </w:p>
    <w:p>
      <w:pPr>
        <w:jc w:val="center"/>
        <w:ind w:right="-124"/>
        <w:spacing w:after="0"/>
        <w:rPr>
          <w:sz w:val="20"/>
          <w:szCs w:val="20"/>
          <w:color w:val="auto"/>
        </w:rPr>
      </w:pPr>
      <w:r>
        <w:rPr>
          <w:rFonts w:ascii="Arial" w:cs="Arial" w:eastAsia="Arial" w:hAnsi="Arial"/>
          <w:sz w:val="15"/>
          <w:szCs w:val="15"/>
          <w:b w:val="1"/>
          <w:bCs w:val="1"/>
          <w:color w:val="325889"/>
        </w:rPr>
        <w:t>Important Notice Regarding the Availability of Proxy Materials for the Stockholder Meeting to be Held on June 1, 2017.</w:t>
      </w:r>
    </w:p>
    <w:p>
      <w:pPr>
        <w:spacing w:after="0" w:line="195" w:lineRule="exact"/>
        <w:rPr>
          <w:sz w:val="20"/>
          <w:szCs w:val="20"/>
          <w:color w:val="auto"/>
        </w:rPr>
      </w:pPr>
    </w:p>
    <w:p>
      <w:pPr>
        <w:jc w:val="center"/>
        <w:ind w:right="-124"/>
        <w:spacing w:after="0"/>
        <w:rPr>
          <w:sz w:val="20"/>
          <w:szCs w:val="20"/>
          <w:color w:val="auto"/>
        </w:rPr>
      </w:pPr>
      <w:r>
        <w:rPr>
          <w:rFonts w:ascii="Arial" w:cs="Arial" w:eastAsia="Arial" w:hAnsi="Arial"/>
          <w:sz w:val="15"/>
          <w:szCs w:val="15"/>
          <w:b w:val="1"/>
          <w:bCs w:val="1"/>
          <w:color w:val="325889"/>
        </w:rPr>
        <w:t>This proxy statement and our 2016 Annual Report to Stockholders are available at http://www.proxyvote.com</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 w:right="60"/>
        <w:spacing w:after="0" w:line="256" w:lineRule="auto"/>
        <w:rPr>
          <w:sz w:val="20"/>
          <w:szCs w:val="20"/>
          <w:color w:val="auto"/>
        </w:rPr>
      </w:pPr>
      <w:r>
        <w:rPr>
          <w:rFonts w:ascii="Arial" w:cs="Arial" w:eastAsia="Arial" w:hAnsi="Arial"/>
          <w:sz w:val="15"/>
          <w:szCs w:val="15"/>
          <w:b w:val="1"/>
          <w:bCs w:val="1"/>
          <w:i w:val="1"/>
          <w:iCs w:val="1"/>
          <w:color w:val="auto"/>
        </w:rPr>
        <w:t>Whether or not you plan to attend the annual meeting, please complete, sign, date and promptly return the enclosed proxy card in the post-prepaid envelope provided or authorize your proxy by telephone or the Internet by following the instructions on your proxy card. For specific instructions on voting, please s to the instructions on the proxy card or the information forwarded by your broker, bank or other holder of record. If you attend the annual meeting, you may vote in person if you wish, even if you previously have signed and returned your proxy card. Please note that if your shares are held of record by a bank, broker or other nominee and you wish to vote in person at the annual meeting, you must obtain a proxy issued in your name from such bank, broker or other nominee.</w:t>
      </w:r>
    </w:p>
    <w:p>
      <w:pPr>
        <w:spacing w:after="0" w:line="172" w:lineRule="exact"/>
        <w:rPr>
          <w:sz w:val="20"/>
          <w:szCs w:val="20"/>
          <w:color w:val="auto"/>
        </w:rPr>
      </w:pPr>
    </w:p>
    <w:p>
      <w:pPr>
        <w:ind w:left="165" w:hanging="165"/>
        <w:spacing w:after="0"/>
        <w:tabs>
          <w:tab w:leader="none" w:pos="165" w:val="left"/>
        </w:tabs>
        <w:numPr>
          <w:ilvl w:val="0"/>
          <w:numId w:val="7"/>
        </w:numPr>
        <w:rPr>
          <w:rFonts w:ascii="Arial" w:cs="Arial" w:eastAsia="Arial" w:hAnsi="Arial"/>
          <w:sz w:val="15"/>
          <w:szCs w:val="15"/>
          <w:color w:val="325889"/>
        </w:rPr>
      </w:pPr>
      <w:r>
        <w:rPr>
          <w:rFonts w:ascii="Arial" w:cs="Arial" w:eastAsia="Arial" w:hAnsi="Arial"/>
          <w:sz w:val="15"/>
          <w:szCs w:val="15"/>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83450"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325"/>
          </w:cols>
          <w:pgMar w:left="235" w:top="528" w:right="339" w:bottom="225" w:gutter="0" w:footer="0" w:header="0"/>
        </w:sectPr>
      </w:pPr>
    </w:p>
    <w:bookmarkStart w:id="6" w:name="page7"/>
    <w:bookmarkEnd w:id="6"/>
    <w:p>
      <w:pPr>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178" w:lineRule="exact"/>
        <w:rPr>
          <w:sz w:val="20"/>
          <w:szCs w:val="20"/>
          <w:color w:val="auto"/>
        </w:rPr>
      </w:pPr>
    </w:p>
    <w:p>
      <w:pPr>
        <w:spacing w:after="0"/>
        <w:rPr>
          <w:sz w:val="20"/>
          <w:szCs w:val="20"/>
          <w:color w:val="auto"/>
        </w:rPr>
      </w:pPr>
      <w:r>
        <w:rPr>
          <w:rFonts w:ascii="Arial" w:cs="Arial" w:eastAsia="Arial" w:hAnsi="Arial"/>
          <w:sz w:val="28"/>
          <w:szCs w:val="28"/>
          <w:b w:val="1"/>
          <w:bCs w:val="1"/>
          <w:color w:val="325889"/>
        </w:rPr>
        <w:t>TABLE OF CONTENTS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60" w:type="dxa"/>
            <w:vAlign w:val="bottom"/>
            <w:gridSpan w:val="38"/>
          </w:tcPr>
          <w:p>
            <w:pPr>
              <w:spacing w:after="0"/>
              <w:rPr>
                <w:rFonts w:ascii="Arial" w:cs="Arial" w:eastAsia="Arial" w:hAnsi="Arial"/>
                <w:sz w:val="15"/>
                <w:szCs w:val="15"/>
                <w:b w:val="1"/>
                <w:bCs w:val="1"/>
                <w:color w:val="325889"/>
              </w:rPr>
            </w:pPr>
            <w:hyperlink w:anchor="page3">
              <w:r>
                <w:rPr>
                  <w:rFonts w:ascii="Arial" w:cs="Arial" w:eastAsia="Arial" w:hAnsi="Arial"/>
                  <w:sz w:val="15"/>
                  <w:szCs w:val="15"/>
                  <w:b w:val="1"/>
                  <w:bCs w:val="1"/>
                  <w:color w:val="325889"/>
                </w:rPr>
                <w:t>2017 PROXY STATEMENT HIGHLIGHTS</w:t>
              </w:r>
            </w:hyperlink>
          </w:p>
        </w:tc>
        <w:tc>
          <w:tcPr>
            <w:tcW w:w="1080" w:type="dxa"/>
            <w:vAlign w:val="bottom"/>
            <w:gridSpan w:val="4"/>
          </w:tcPr>
          <w:p>
            <w:pPr>
              <w:jc w:val="right"/>
              <w:spacing w:after="0"/>
              <w:rPr>
                <w:rFonts w:ascii="Arial" w:cs="Arial" w:eastAsia="Arial" w:hAnsi="Arial"/>
                <w:sz w:val="15"/>
                <w:szCs w:val="15"/>
                <w:b w:val="1"/>
                <w:bCs w:val="1"/>
                <w:color w:val="0000EE"/>
              </w:rPr>
            </w:pPr>
            <w:hyperlink w:anchor="page3">
              <w:r>
                <w:rPr>
                  <w:rFonts w:ascii="Arial" w:cs="Arial" w:eastAsia="Arial" w:hAnsi="Arial"/>
                  <w:sz w:val="15"/>
                  <w:szCs w:val="15"/>
                  <w:b w:val="1"/>
                  <w:bCs w:val="1"/>
                  <w:color w:val="0000EE"/>
                </w:rPr>
                <w:t>1</w:t>
              </w:r>
            </w:hyperlink>
          </w:p>
        </w:tc>
      </w:tr>
      <w:tr>
        <w:trPr>
          <w:trHeight w:val="63"/>
        </w:trPr>
        <w:tc>
          <w:tcPr>
            <w:tcW w:w="680" w:type="dxa"/>
            <w:vAlign w:val="bottom"/>
            <w:tcBorders>
              <w:top w:val="single" w:sz="8" w:color="325889"/>
              <w:bottom w:val="single" w:sz="8" w:color="98A3B8"/>
            </w:tcBorders>
          </w:tcPr>
          <w:p>
            <w:pPr>
              <w:spacing w:after="0"/>
              <w:rPr>
                <w:sz w:val="5"/>
                <w:szCs w:val="5"/>
                <w:color w:val="auto"/>
              </w:rPr>
            </w:pPr>
          </w:p>
        </w:tc>
        <w:tc>
          <w:tcPr>
            <w:tcW w:w="320" w:type="dxa"/>
            <w:vAlign w:val="bottom"/>
            <w:tcBorders>
              <w:top w:val="single" w:sz="8" w:color="325889"/>
              <w:bottom w:val="single" w:sz="8" w:color="98A3B8"/>
            </w:tcBorders>
          </w:tcPr>
          <w:p>
            <w:pPr>
              <w:spacing w:after="0"/>
              <w:rPr>
                <w:sz w:val="5"/>
                <w:szCs w:val="5"/>
                <w:color w:val="auto"/>
              </w:rPr>
            </w:pPr>
          </w:p>
        </w:tc>
        <w:tc>
          <w:tcPr>
            <w:tcW w:w="20" w:type="dxa"/>
            <w:vAlign w:val="bottom"/>
            <w:tcBorders>
              <w:top w:val="single" w:sz="8" w:color="325889"/>
              <w:bottom w:val="single" w:sz="8" w:color="98A3B8"/>
            </w:tcBorders>
          </w:tcPr>
          <w:p>
            <w:pPr>
              <w:spacing w:after="0"/>
              <w:rPr>
                <w:sz w:val="5"/>
                <w:szCs w:val="5"/>
                <w:color w:val="auto"/>
              </w:rPr>
            </w:pPr>
          </w:p>
        </w:tc>
        <w:tc>
          <w:tcPr>
            <w:tcW w:w="80" w:type="dxa"/>
            <w:vAlign w:val="bottom"/>
            <w:tcBorders>
              <w:top w:val="single" w:sz="8" w:color="325889"/>
              <w:bottom w:val="single" w:sz="8" w:color="98A3B8"/>
            </w:tcBorders>
          </w:tcPr>
          <w:p>
            <w:pPr>
              <w:spacing w:after="0"/>
              <w:rPr>
                <w:sz w:val="5"/>
                <w:szCs w:val="5"/>
                <w:color w:val="auto"/>
              </w:rPr>
            </w:pPr>
          </w:p>
        </w:tc>
        <w:tc>
          <w:tcPr>
            <w:tcW w:w="180" w:type="dxa"/>
            <w:vAlign w:val="bottom"/>
            <w:tcBorders>
              <w:top w:val="single" w:sz="8" w:color="325889"/>
              <w:bottom w:val="single" w:sz="8" w:color="98A3B8"/>
            </w:tcBorders>
          </w:tcPr>
          <w:p>
            <w:pPr>
              <w:spacing w:after="0"/>
              <w:rPr>
                <w:sz w:val="5"/>
                <w:szCs w:val="5"/>
                <w:color w:val="auto"/>
              </w:rPr>
            </w:pPr>
          </w:p>
        </w:tc>
        <w:tc>
          <w:tcPr>
            <w:tcW w:w="80" w:type="dxa"/>
            <w:vAlign w:val="bottom"/>
            <w:tcBorders>
              <w:top w:val="single" w:sz="8" w:color="325889"/>
              <w:bottom w:val="single" w:sz="8" w:color="98A3B8"/>
            </w:tcBorders>
          </w:tcPr>
          <w:p>
            <w:pPr>
              <w:spacing w:after="0"/>
              <w:rPr>
                <w:sz w:val="5"/>
                <w:szCs w:val="5"/>
                <w:color w:val="auto"/>
              </w:rPr>
            </w:pPr>
          </w:p>
        </w:tc>
        <w:tc>
          <w:tcPr>
            <w:tcW w:w="120" w:type="dxa"/>
            <w:vAlign w:val="bottom"/>
            <w:tcBorders>
              <w:top w:val="single" w:sz="8" w:color="325889"/>
              <w:bottom w:val="single" w:sz="8" w:color="98A3B8"/>
            </w:tcBorders>
          </w:tcPr>
          <w:p>
            <w:pPr>
              <w:spacing w:after="0"/>
              <w:rPr>
                <w:sz w:val="5"/>
                <w:szCs w:val="5"/>
                <w:color w:val="auto"/>
              </w:rPr>
            </w:pPr>
          </w:p>
        </w:tc>
        <w:tc>
          <w:tcPr>
            <w:tcW w:w="180" w:type="dxa"/>
            <w:vAlign w:val="bottom"/>
            <w:tcBorders>
              <w:top w:val="single" w:sz="8" w:color="325889"/>
              <w:bottom w:val="single" w:sz="8" w:color="98A3B8"/>
            </w:tcBorders>
          </w:tcPr>
          <w:p>
            <w:pPr>
              <w:spacing w:after="0"/>
              <w:rPr>
                <w:sz w:val="5"/>
                <w:szCs w:val="5"/>
                <w:color w:val="auto"/>
              </w:rPr>
            </w:pPr>
          </w:p>
        </w:tc>
        <w:tc>
          <w:tcPr>
            <w:tcW w:w="40" w:type="dxa"/>
            <w:vAlign w:val="bottom"/>
            <w:tcBorders>
              <w:top w:val="single" w:sz="8" w:color="325889"/>
              <w:bottom w:val="single" w:sz="8" w:color="98A3B8"/>
            </w:tcBorders>
          </w:tcPr>
          <w:p>
            <w:pPr>
              <w:spacing w:after="0"/>
              <w:rPr>
                <w:sz w:val="5"/>
                <w:szCs w:val="5"/>
                <w:color w:val="auto"/>
              </w:rPr>
            </w:pPr>
          </w:p>
        </w:tc>
        <w:tc>
          <w:tcPr>
            <w:tcW w:w="60" w:type="dxa"/>
            <w:vAlign w:val="bottom"/>
            <w:tcBorders>
              <w:top w:val="single" w:sz="8" w:color="325889"/>
              <w:bottom w:val="single" w:sz="8" w:color="98A3B8"/>
            </w:tcBorders>
          </w:tcPr>
          <w:p>
            <w:pPr>
              <w:spacing w:after="0"/>
              <w:rPr>
                <w:sz w:val="5"/>
                <w:szCs w:val="5"/>
                <w:color w:val="auto"/>
              </w:rPr>
            </w:pPr>
          </w:p>
        </w:tc>
        <w:tc>
          <w:tcPr>
            <w:tcW w:w="40" w:type="dxa"/>
            <w:vAlign w:val="bottom"/>
            <w:tcBorders>
              <w:top w:val="single" w:sz="8" w:color="325889"/>
              <w:bottom w:val="single" w:sz="8" w:color="98A3B8"/>
            </w:tcBorders>
          </w:tcPr>
          <w:p>
            <w:pPr>
              <w:spacing w:after="0"/>
              <w:rPr>
                <w:sz w:val="5"/>
                <w:szCs w:val="5"/>
                <w:color w:val="auto"/>
              </w:rPr>
            </w:pPr>
          </w:p>
        </w:tc>
        <w:tc>
          <w:tcPr>
            <w:tcW w:w="300" w:type="dxa"/>
            <w:vAlign w:val="bottom"/>
            <w:tcBorders>
              <w:top w:val="single" w:sz="8" w:color="325889"/>
              <w:bottom w:val="single" w:sz="8" w:color="98A3B8"/>
            </w:tcBorders>
          </w:tcPr>
          <w:p>
            <w:pPr>
              <w:spacing w:after="0"/>
              <w:rPr>
                <w:sz w:val="5"/>
                <w:szCs w:val="5"/>
                <w:color w:val="auto"/>
              </w:rPr>
            </w:pPr>
          </w:p>
        </w:tc>
        <w:tc>
          <w:tcPr>
            <w:tcW w:w="60" w:type="dxa"/>
            <w:vAlign w:val="bottom"/>
            <w:tcBorders>
              <w:top w:val="single" w:sz="8" w:color="325889"/>
              <w:bottom w:val="single" w:sz="8" w:color="98A3B8"/>
            </w:tcBorders>
          </w:tcPr>
          <w:p>
            <w:pPr>
              <w:spacing w:after="0"/>
              <w:rPr>
                <w:sz w:val="5"/>
                <w:szCs w:val="5"/>
                <w:color w:val="auto"/>
              </w:rPr>
            </w:pPr>
          </w:p>
        </w:tc>
        <w:tc>
          <w:tcPr>
            <w:tcW w:w="60" w:type="dxa"/>
            <w:vAlign w:val="bottom"/>
            <w:tcBorders>
              <w:top w:val="single" w:sz="8" w:color="325889"/>
              <w:bottom w:val="single" w:sz="8" w:color="98A3B8"/>
            </w:tcBorders>
          </w:tcPr>
          <w:p>
            <w:pPr>
              <w:spacing w:after="0"/>
              <w:rPr>
                <w:sz w:val="5"/>
                <w:szCs w:val="5"/>
                <w:color w:val="auto"/>
              </w:rPr>
            </w:pPr>
          </w:p>
        </w:tc>
        <w:tc>
          <w:tcPr>
            <w:tcW w:w="160" w:type="dxa"/>
            <w:vAlign w:val="bottom"/>
            <w:tcBorders>
              <w:top w:val="single" w:sz="8" w:color="325889"/>
              <w:bottom w:val="single" w:sz="8" w:color="98A3B8"/>
            </w:tcBorders>
          </w:tcPr>
          <w:p>
            <w:pPr>
              <w:spacing w:after="0"/>
              <w:rPr>
                <w:sz w:val="5"/>
                <w:szCs w:val="5"/>
                <w:color w:val="auto"/>
              </w:rPr>
            </w:pPr>
          </w:p>
        </w:tc>
        <w:tc>
          <w:tcPr>
            <w:tcW w:w="80" w:type="dxa"/>
            <w:vAlign w:val="bottom"/>
            <w:tcBorders>
              <w:top w:val="single" w:sz="8" w:color="325889"/>
              <w:bottom w:val="single" w:sz="8" w:color="98A3B8"/>
            </w:tcBorders>
          </w:tcPr>
          <w:p>
            <w:pPr>
              <w:spacing w:after="0"/>
              <w:rPr>
                <w:sz w:val="5"/>
                <w:szCs w:val="5"/>
                <w:color w:val="auto"/>
              </w:rPr>
            </w:pPr>
          </w:p>
        </w:tc>
        <w:tc>
          <w:tcPr>
            <w:tcW w:w="40" w:type="dxa"/>
            <w:vAlign w:val="bottom"/>
            <w:tcBorders>
              <w:top w:val="single" w:sz="8" w:color="325889"/>
              <w:bottom w:val="single" w:sz="8" w:color="98A3B8"/>
            </w:tcBorders>
          </w:tcPr>
          <w:p>
            <w:pPr>
              <w:spacing w:after="0"/>
              <w:rPr>
                <w:sz w:val="5"/>
                <w:szCs w:val="5"/>
                <w:color w:val="auto"/>
              </w:rPr>
            </w:pPr>
          </w:p>
        </w:tc>
        <w:tc>
          <w:tcPr>
            <w:tcW w:w="60" w:type="dxa"/>
            <w:vAlign w:val="bottom"/>
            <w:tcBorders>
              <w:top w:val="single" w:sz="8" w:color="325889"/>
              <w:bottom w:val="single" w:sz="8" w:color="98A3B8"/>
            </w:tcBorders>
          </w:tcPr>
          <w:p>
            <w:pPr>
              <w:spacing w:after="0"/>
              <w:rPr>
                <w:sz w:val="5"/>
                <w:szCs w:val="5"/>
                <w:color w:val="auto"/>
              </w:rPr>
            </w:pPr>
          </w:p>
        </w:tc>
        <w:tc>
          <w:tcPr>
            <w:tcW w:w="60" w:type="dxa"/>
            <w:vAlign w:val="bottom"/>
            <w:tcBorders>
              <w:top w:val="single" w:sz="8" w:color="325889"/>
              <w:bottom w:val="single" w:sz="8" w:color="98A3B8"/>
            </w:tcBorders>
          </w:tcPr>
          <w:p>
            <w:pPr>
              <w:spacing w:after="0"/>
              <w:rPr>
                <w:sz w:val="5"/>
                <w:szCs w:val="5"/>
                <w:color w:val="auto"/>
              </w:rPr>
            </w:pPr>
          </w:p>
        </w:tc>
        <w:tc>
          <w:tcPr>
            <w:tcW w:w="20" w:type="dxa"/>
            <w:vAlign w:val="bottom"/>
            <w:tcBorders>
              <w:top w:val="single" w:sz="8" w:color="325889"/>
              <w:bottom w:val="single" w:sz="8" w:color="98A3B8"/>
            </w:tcBorders>
          </w:tcPr>
          <w:p>
            <w:pPr>
              <w:spacing w:after="0"/>
              <w:rPr>
                <w:sz w:val="5"/>
                <w:szCs w:val="5"/>
                <w:color w:val="auto"/>
              </w:rPr>
            </w:pPr>
          </w:p>
        </w:tc>
        <w:tc>
          <w:tcPr>
            <w:tcW w:w="240" w:type="dxa"/>
            <w:vAlign w:val="bottom"/>
            <w:tcBorders>
              <w:top w:val="single" w:sz="8" w:color="325889"/>
              <w:bottom w:val="single" w:sz="8" w:color="98A3B8"/>
            </w:tcBorders>
          </w:tcPr>
          <w:p>
            <w:pPr>
              <w:spacing w:after="0"/>
              <w:rPr>
                <w:sz w:val="5"/>
                <w:szCs w:val="5"/>
                <w:color w:val="auto"/>
              </w:rPr>
            </w:pPr>
          </w:p>
        </w:tc>
        <w:tc>
          <w:tcPr>
            <w:tcW w:w="40" w:type="dxa"/>
            <w:vAlign w:val="bottom"/>
            <w:tcBorders>
              <w:bottom w:val="single" w:sz="8" w:color="98A3B8"/>
            </w:tcBorders>
          </w:tcPr>
          <w:p>
            <w:pPr>
              <w:spacing w:after="0"/>
              <w:rPr>
                <w:sz w:val="5"/>
                <w:szCs w:val="5"/>
                <w:color w:val="auto"/>
              </w:rPr>
            </w:pPr>
          </w:p>
        </w:tc>
        <w:tc>
          <w:tcPr>
            <w:tcW w:w="280" w:type="dxa"/>
            <w:vAlign w:val="bottom"/>
            <w:tcBorders>
              <w:bottom w:val="single" w:sz="8" w:color="98A3B8"/>
            </w:tcBorders>
          </w:tcPr>
          <w:p>
            <w:pPr>
              <w:spacing w:after="0"/>
              <w:rPr>
                <w:sz w:val="5"/>
                <w:szCs w:val="5"/>
                <w:color w:val="auto"/>
              </w:rPr>
            </w:pPr>
          </w:p>
        </w:tc>
        <w:tc>
          <w:tcPr>
            <w:tcW w:w="500" w:type="dxa"/>
            <w:vAlign w:val="bottom"/>
            <w:tcBorders>
              <w:bottom w:val="single" w:sz="8" w:color="98A3B8"/>
            </w:tcBorders>
          </w:tcPr>
          <w:p>
            <w:pPr>
              <w:spacing w:after="0"/>
              <w:rPr>
                <w:sz w:val="5"/>
                <w:szCs w:val="5"/>
                <w:color w:val="auto"/>
              </w:rPr>
            </w:pPr>
          </w:p>
        </w:tc>
        <w:tc>
          <w:tcPr>
            <w:tcW w:w="100" w:type="dxa"/>
            <w:vAlign w:val="bottom"/>
            <w:tcBorders>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400" w:type="dxa"/>
            <w:vAlign w:val="bottom"/>
            <w:tcBorders>
              <w:bottom w:val="single" w:sz="8" w:color="98A3B8"/>
            </w:tcBorders>
          </w:tcPr>
          <w:p>
            <w:pPr>
              <w:spacing w:after="0"/>
              <w:rPr>
                <w:sz w:val="5"/>
                <w:szCs w:val="5"/>
                <w:color w:val="auto"/>
              </w:rPr>
            </w:pPr>
          </w:p>
        </w:tc>
        <w:tc>
          <w:tcPr>
            <w:tcW w:w="300" w:type="dxa"/>
            <w:vAlign w:val="bottom"/>
            <w:tcBorders>
              <w:bottom w:val="single" w:sz="8" w:color="98A3B8"/>
            </w:tcBorders>
          </w:tcPr>
          <w:p>
            <w:pPr>
              <w:spacing w:after="0"/>
              <w:rPr>
                <w:sz w:val="5"/>
                <w:szCs w:val="5"/>
                <w:color w:val="auto"/>
              </w:rPr>
            </w:pPr>
          </w:p>
        </w:tc>
        <w:tc>
          <w:tcPr>
            <w:tcW w:w="80" w:type="dxa"/>
            <w:vAlign w:val="bottom"/>
            <w:tcBorders>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120" w:type="dxa"/>
            <w:vAlign w:val="bottom"/>
            <w:tcBorders>
              <w:bottom w:val="single" w:sz="8" w:color="98A3B8"/>
            </w:tcBorders>
          </w:tcPr>
          <w:p>
            <w:pPr>
              <w:spacing w:after="0"/>
              <w:rPr>
                <w:sz w:val="5"/>
                <w:szCs w:val="5"/>
                <w:color w:val="auto"/>
              </w:rPr>
            </w:pPr>
          </w:p>
        </w:tc>
        <w:tc>
          <w:tcPr>
            <w:tcW w:w="40" w:type="dxa"/>
            <w:vAlign w:val="bottom"/>
            <w:tcBorders>
              <w:bottom w:val="single" w:sz="8" w:color="98A3B8"/>
            </w:tcBorders>
          </w:tcPr>
          <w:p>
            <w:pPr>
              <w:spacing w:after="0"/>
              <w:rPr>
                <w:sz w:val="5"/>
                <w:szCs w:val="5"/>
                <w:color w:val="auto"/>
              </w:rPr>
            </w:pPr>
          </w:p>
        </w:tc>
        <w:tc>
          <w:tcPr>
            <w:tcW w:w="1020" w:type="dxa"/>
            <w:vAlign w:val="bottom"/>
            <w:tcBorders>
              <w:bottom w:val="single" w:sz="8" w:color="98A3B8"/>
            </w:tcBorders>
          </w:tcPr>
          <w:p>
            <w:pPr>
              <w:spacing w:after="0"/>
              <w:rPr>
                <w:sz w:val="5"/>
                <w:szCs w:val="5"/>
                <w:color w:val="auto"/>
              </w:rPr>
            </w:pPr>
          </w:p>
        </w:tc>
        <w:tc>
          <w:tcPr>
            <w:tcW w:w="720" w:type="dxa"/>
            <w:vAlign w:val="bottom"/>
            <w:tcBorders>
              <w:bottom w:val="single" w:sz="8" w:color="98A3B8"/>
            </w:tcBorders>
          </w:tcPr>
          <w:p>
            <w:pPr>
              <w:spacing w:after="0"/>
              <w:rPr>
                <w:sz w:val="5"/>
                <w:szCs w:val="5"/>
                <w:color w:val="auto"/>
              </w:rPr>
            </w:pPr>
          </w:p>
        </w:tc>
        <w:tc>
          <w:tcPr>
            <w:tcW w:w="140" w:type="dxa"/>
            <w:vAlign w:val="bottom"/>
            <w:tcBorders>
              <w:bottom w:val="single" w:sz="8" w:color="98A3B8"/>
            </w:tcBorders>
          </w:tcPr>
          <w:p>
            <w:pPr>
              <w:spacing w:after="0"/>
              <w:rPr>
                <w:sz w:val="5"/>
                <w:szCs w:val="5"/>
                <w:color w:val="auto"/>
              </w:rPr>
            </w:pPr>
          </w:p>
        </w:tc>
        <w:tc>
          <w:tcPr>
            <w:tcW w:w="2760" w:type="dxa"/>
            <w:vAlign w:val="bottom"/>
            <w:tcBorders>
              <w:bottom w:val="single" w:sz="8" w:color="98A3B8"/>
            </w:tcBorders>
          </w:tcPr>
          <w:p>
            <w:pPr>
              <w:spacing w:after="0"/>
              <w:rPr>
                <w:sz w:val="5"/>
                <w:szCs w:val="5"/>
                <w:color w:val="auto"/>
              </w:rPr>
            </w:pPr>
          </w:p>
        </w:tc>
        <w:tc>
          <w:tcPr>
            <w:tcW w:w="800" w:type="dxa"/>
            <w:vAlign w:val="bottom"/>
            <w:tcBorders>
              <w:bottom w:val="single" w:sz="8" w:color="98A3B8"/>
            </w:tcBorders>
          </w:tcPr>
          <w:p>
            <w:pPr>
              <w:spacing w:after="0"/>
              <w:rPr>
                <w:sz w:val="5"/>
                <w:szCs w:val="5"/>
                <w:color w:val="auto"/>
              </w:rPr>
            </w:pPr>
          </w:p>
        </w:tc>
        <w:tc>
          <w:tcPr>
            <w:tcW w:w="820" w:type="dxa"/>
            <w:vAlign w:val="bottom"/>
            <w:tcBorders>
              <w:bottom w:val="single" w:sz="8" w:color="98A3B8"/>
            </w:tcBorders>
          </w:tcPr>
          <w:p>
            <w:pPr>
              <w:spacing w:after="0"/>
              <w:rPr>
                <w:sz w:val="5"/>
                <w:szCs w:val="5"/>
                <w:color w:val="auto"/>
              </w:rPr>
            </w:pPr>
          </w:p>
        </w:tc>
        <w:tc>
          <w:tcPr>
            <w:tcW w:w="80" w:type="dxa"/>
            <w:vAlign w:val="bottom"/>
            <w:tcBorders>
              <w:bottom w:val="single" w:sz="8" w:color="98A3B8"/>
            </w:tcBorders>
          </w:tcPr>
          <w:p>
            <w:pPr>
              <w:spacing w:after="0"/>
              <w:rPr>
                <w:sz w:val="5"/>
                <w:szCs w:val="5"/>
                <w:color w:val="auto"/>
              </w:rPr>
            </w:pPr>
          </w:p>
        </w:tc>
        <w:tc>
          <w:tcPr>
            <w:tcW w:w="80" w:type="dxa"/>
            <w:vAlign w:val="bottom"/>
            <w:tcBorders>
              <w:bottom w:val="single" w:sz="8" w:color="98A3B8"/>
            </w:tcBorders>
          </w:tcPr>
          <w:p>
            <w:pPr>
              <w:spacing w:after="0"/>
              <w:rPr>
                <w:sz w:val="5"/>
                <w:szCs w:val="5"/>
                <w:color w:val="auto"/>
              </w:rPr>
            </w:pPr>
          </w:p>
        </w:tc>
        <w:tc>
          <w:tcPr>
            <w:tcW w:w="100" w:type="dxa"/>
            <w:vAlign w:val="bottom"/>
            <w:tcBorders>
              <w:top w:val="single" w:sz="8" w:color="0000EE"/>
              <w:bottom w:val="single" w:sz="8" w:color="98A3B8"/>
            </w:tcBorders>
          </w:tcPr>
          <w:p>
            <w:pPr>
              <w:spacing w:after="0"/>
              <w:rPr>
                <w:sz w:val="5"/>
                <w:szCs w:val="5"/>
                <w:color w:val="auto"/>
              </w:rPr>
            </w:pPr>
          </w:p>
        </w:tc>
      </w:tr>
      <w:tr>
        <w:trPr>
          <w:trHeight w:val="194"/>
        </w:trPr>
        <w:tc>
          <w:tcPr>
            <w:tcW w:w="1480" w:type="dxa"/>
            <w:vAlign w:val="bottom"/>
            <w:tcBorders>
              <w:bottom w:val="single" w:sz="8" w:color="0000EE"/>
            </w:tcBorders>
            <w:gridSpan w:val="7"/>
          </w:tcPr>
          <w:p>
            <w:pPr>
              <w:spacing w:after="0"/>
              <w:rPr>
                <w:rFonts w:ascii="Arial" w:cs="Arial" w:eastAsia="Arial" w:hAnsi="Arial"/>
                <w:sz w:val="15"/>
                <w:szCs w:val="15"/>
                <w:b w:val="1"/>
                <w:bCs w:val="1"/>
                <w:color w:val="0000EE"/>
              </w:rPr>
            </w:pPr>
            <w:hyperlink w:anchor="page3">
              <w:r>
                <w:rPr>
                  <w:rFonts w:ascii="Arial" w:cs="Arial" w:eastAsia="Arial" w:hAnsi="Arial"/>
                  <w:sz w:val="15"/>
                  <w:szCs w:val="15"/>
                  <w:b w:val="1"/>
                  <w:bCs w:val="1"/>
                  <w:color w:val="0000EE"/>
                </w:rPr>
                <w:t>Business Highlights</w:t>
              </w:r>
            </w:hyperlink>
          </w:p>
        </w:tc>
        <w:tc>
          <w:tcPr>
            <w:tcW w:w="8880" w:type="dxa"/>
            <w:vAlign w:val="bottom"/>
            <w:gridSpan w:val="31"/>
          </w:tcPr>
          <w:p>
            <w:pPr>
              <w:spacing w:after="0"/>
              <w:rPr>
                <w:sz w:val="16"/>
                <w:szCs w:val="16"/>
                <w:color w:val="auto"/>
              </w:rPr>
            </w:pPr>
          </w:p>
        </w:tc>
        <w:tc>
          <w:tcPr>
            <w:tcW w:w="980" w:type="dxa"/>
            <w:vAlign w:val="bottom"/>
            <w:gridSpan w:val="3"/>
          </w:tcPr>
          <w:p>
            <w:pPr>
              <w:spacing w:after="0"/>
              <w:rPr>
                <w:sz w:val="16"/>
                <w:szCs w:val="16"/>
                <w:color w:val="auto"/>
              </w:rPr>
            </w:pPr>
          </w:p>
        </w:tc>
        <w:tc>
          <w:tcPr>
            <w:tcW w:w="100" w:type="dxa"/>
            <w:vAlign w:val="bottom"/>
            <w:tcBorders>
              <w:bottom w:val="single" w:sz="8" w:color="0000EE"/>
            </w:tcBorders>
          </w:tcPr>
          <w:p>
            <w:pPr>
              <w:jc w:val="right"/>
              <w:spacing w:after="0"/>
              <w:rPr>
                <w:rFonts w:ascii="Arial" w:cs="Arial" w:eastAsia="Arial" w:hAnsi="Arial"/>
                <w:sz w:val="15"/>
                <w:szCs w:val="15"/>
                <w:b w:val="1"/>
                <w:bCs w:val="1"/>
                <w:color w:val="0000EE"/>
                <w:w w:val="95"/>
              </w:rPr>
            </w:pPr>
            <w:hyperlink w:anchor="page3">
              <w:r>
                <w:rPr>
                  <w:rFonts w:ascii="Arial" w:cs="Arial" w:eastAsia="Arial" w:hAnsi="Arial"/>
                  <w:sz w:val="15"/>
                  <w:szCs w:val="15"/>
                  <w:b w:val="1"/>
                  <w:bCs w:val="1"/>
                  <w:color w:val="0000EE"/>
                  <w:w w:val="95"/>
                </w:rPr>
                <w:t>1</w:t>
              </w:r>
            </w:hyperlink>
          </w:p>
        </w:tc>
      </w:tr>
      <w:tr>
        <w:trPr>
          <w:trHeight w:val="265"/>
        </w:trPr>
        <w:tc>
          <w:tcPr>
            <w:tcW w:w="10360" w:type="dxa"/>
            <w:vAlign w:val="bottom"/>
            <w:gridSpan w:val="38"/>
          </w:tcPr>
          <w:p>
            <w:pPr>
              <w:spacing w:after="0"/>
              <w:rPr>
                <w:rFonts w:ascii="Arial" w:cs="Arial" w:eastAsia="Arial" w:hAnsi="Arial"/>
                <w:sz w:val="15"/>
                <w:szCs w:val="15"/>
                <w:b w:val="1"/>
                <w:bCs w:val="1"/>
                <w:color w:val="0000EE"/>
              </w:rPr>
            </w:pPr>
            <w:hyperlink w:anchor="page4">
              <w:r>
                <w:rPr>
                  <w:rFonts w:ascii="Arial" w:cs="Arial" w:eastAsia="Arial" w:hAnsi="Arial"/>
                  <w:sz w:val="15"/>
                  <w:szCs w:val="15"/>
                  <w:b w:val="1"/>
                  <w:bCs w:val="1"/>
                  <w:color w:val="0000EE"/>
                </w:rPr>
                <w:t>Executive Compensation Highlights</w:t>
              </w:r>
            </w:hyperlink>
          </w:p>
        </w:tc>
        <w:tc>
          <w:tcPr>
            <w:tcW w:w="1080" w:type="dxa"/>
            <w:vAlign w:val="bottom"/>
            <w:gridSpan w:val="4"/>
          </w:tcPr>
          <w:p>
            <w:pPr>
              <w:jc w:val="right"/>
              <w:spacing w:after="0"/>
              <w:rPr>
                <w:rFonts w:ascii="Arial" w:cs="Arial" w:eastAsia="Arial" w:hAnsi="Arial"/>
                <w:sz w:val="15"/>
                <w:szCs w:val="15"/>
                <w:b w:val="1"/>
                <w:bCs w:val="1"/>
                <w:color w:val="0000EE"/>
              </w:rPr>
            </w:pPr>
            <w:hyperlink w:anchor="page4">
              <w:r>
                <w:rPr>
                  <w:rFonts w:ascii="Arial" w:cs="Arial" w:eastAsia="Arial" w:hAnsi="Arial"/>
                  <w:sz w:val="15"/>
                  <w:szCs w:val="15"/>
                  <w:b w:val="1"/>
                  <w:bCs w:val="1"/>
                  <w:color w:val="0000EE"/>
                </w:rPr>
                <w:t>2</w:t>
              </w:r>
            </w:hyperlink>
          </w:p>
        </w:tc>
      </w:tr>
      <w:tr>
        <w:trPr>
          <w:trHeight w:val="265"/>
        </w:trPr>
        <w:tc>
          <w:tcPr>
            <w:tcW w:w="2620" w:type="dxa"/>
            <w:vAlign w:val="bottom"/>
            <w:tcBorders>
              <w:top w:val="single" w:sz="8" w:color="0000EE"/>
            </w:tcBorders>
            <w:gridSpan w:val="19"/>
          </w:tcPr>
          <w:p>
            <w:pPr>
              <w:spacing w:after="0"/>
              <w:rPr>
                <w:rFonts w:ascii="Arial" w:cs="Arial" w:eastAsia="Arial" w:hAnsi="Arial"/>
                <w:sz w:val="15"/>
                <w:szCs w:val="15"/>
                <w:b w:val="1"/>
                <w:bCs w:val="1"/>
                <w:color w:val="0000EE"/>
              </w:rPr>
            </w:pPr>
            <w:hyperlink w:anchor="page5">
              <w:r>
                <w:rPr>
                  <w:rFonts w:ascii="Arial" w:cs="Arial" w:eastAsia="Arial" w:hAnsi="Arial"/>
                  <w:sz w:val="15"/>
                  <w:szCs w:val="15"/>
                  <w:b w:val="1"/>
                  <w:bCs w:val="1"/>
                  <w:color w:val="0000EE"/>
                </w:rPr>
                <w:t>Corporate Governance Highlights</w:t>
              </w:r>
            </w:hyperlink>
          </w:p>
        </w:tc>
        <w:tc>
          <w:tcPr>
            <w:tcW w:w="7740" w:type="dxa"/>
            <w:vAlign w:val="bottom"/>
            <w:gridSpan w:val="19"/>
          </w:tcPr>
          <w:p>
            <w:pPr>
              <w:spacing w:after="0"/>
              <w:rPr>
                <w:sz w:val="23"/>
                <w:szCs w:val="23"/>
                <w:color w:val="auto"/>
              </w:rPr>
            </w:pPr>
          </w:p>
        </w:tc>
        <w:tc>
          <w:tcPr>
            <w:tcW w:w="980" w:type="dxa"/>
            <w:vAlign w:val="bottom"/>
            <w:gridSpan w:val="3"/>
          </w:tcPr>
          <w:p>
            <w:pPr>
              <w:spacing w:after="0"/>
              <w:rPr>
                <w:sz w:val="23"/>
                <w:szCs w:val="23"/>
                <w:color w:val="auto"/>
              </w:rPr>
            </w:pPr>
          </w:p>
        </w:tc>
        <w:tc>
          <w:tcPr>
            <w:tcW w:w="100" w:type="dxa"/>
            <w:vAlign w:val="bottom"/>
            <w:tcBorders>
              <w:top w:val="single" w:sz="8" w:color="0000EE"/>
            </w:tcBorders>
          </w:tcPr>
          <w:p>
            <w:pPr>
              <w:jc w:val="right"/>
              <w:spacing w:after="0"/>
              <w:rPr>
                <w:rFonts w:ascii="Arial" w:cs="Arial" w:eastAsia="Arial" w:hAnsi="Arial"/>
                <w:sz w:val="15"/>
                <w:szCs w:val="15"/>
                <w:b w:val="1"/>
                <w:bCs w:val="1"/>
                <w:color w:val="0000EE"/>
                <w:w w:val="95"/>
              </w:rPr>
            </w:pPr>
            <w:hyperlink w:anchor="page5">
              <w:r>
                <w:rPr>
                  <w:rFonts w:ascii="Arial" w:cs="Arial" w:eastAsia="Arial" w:hAnsi="Arial"/>
                  <w:sz w:val="15"/>
                  <w:szCs w:val="15"/>
                  <w:b w:val="1"/>
                  <w:bCs w:val="1"/>
                  <w:color w:val="0000EE"/>
                  <w:w w:val="95"/>
                </w:rPr>
                <w:t>3</w:t>
              </w:r>
            </w:hyperlink>
          </w:p>
        </w:tc>
      </w:tr>
      <w:tr>
        <w:trPr>
          <w:trHeight w:val="20"/>
        </w:trPr>
        <w:tc>
          <w:tcPr>
            <w:tcW w:w="6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65"/>
        </w:trPr>
        <w:tc>
          <w:tcPr>
            <w:tcW w:w="10360" w:type="dxa"/>
            <w:vAlign w:val="bottom"/>
            <w:gridSpan w:val="38"/>
          </w:tcPr>
          <w:p>
            <w:pPr>
              <w:spacing w:after="0"/>
              <w:rPr>
                <w:rFonts w:ascii="Arial" w:cs="Arial" w:eastAsia="Arial" w:hAnsi="Arial"/>
                <w:sz w:val="15"/>
                <w:szCs w:val="15"/>
                <w:b w:val="1"/>
                <w:bCs w:val="1"/>
                <w:color w:val="325889"/>
              </w:rPr>
            </w:pPr>
            <w:hyperlink w:anchor="page6">
              <w:r>
                <w:rPr>
                  <w:rFonts w:ascii="Arial" w:cs="Arial" w:eastAsia="Arial" w:hAnsi="Arial"/>
                  <w:sz w:val="15"/>
                  <w:szCs w:val="15"/>
                  <w:b w:val="1"/>
                  <w:bCs w:val="1"/>
                  <w:color w:val="325889"/>
                </w:rPr>
                <w:t>NOTICE OF ANNUAL MEETING OF STOCKHOLDERS</w:t>
              </w:r>
            </w:hyperlink>
          </w:p>
        </w:tc>
        <w:tc>
          <w:tcPr>
            <w:tcW w:w="1080" w:type="dxa"/>
            <w:vAlign w:val="bottom"/>
            <w:gridSpan w:val="4"/>
          </w:tcPr>
          <w:p>
            <w:pPr>
              <w:jc w:val="right"/>
              <w:spacing w:after="0"/>
              <w:rPr>
                <w:rFonts w:ascii="Arial" w:cs="Arial" w:eastAsia="Arial" w:hAnsi="Arial"/>
                <w:sz w:val="15"/>
                <w:szCs w:val="15"/>
                <w:b w:val="1"/>
                <w:bCs w:val="1"/>
                <w:color w:val="0000EE"/>
              </w:rPr>
            </w:pPr>
            <w:hyperlink w:anchor="page6">
              <w:r>
                <w:rPr>
                  <w:rFonts w:ascii="Arial" w:cs="Arial" w:eastAsia="Arial" w:hAnsi="Arial"/>
                  <w:sz w:val="15"/>
                  <w:szCs w:val="15"/>
                  <w:b w:val="1"/>
                  <w:bCs w:val="1"/>
                  <w:color w:val="0000EE"/>
                </w:rPr>
                <w:t>4</w:t>
              </w:r>
            </w:hyperlink>
          </w:p>
        </w:tc>
      </w:tr>
      <w:tr>
        <w:trPr>
          <w:trHeight w:val="63"/>
        </w:trPr>
        <w:tc>
          <w:tcPr>
            <w:tcW w:w="680" w:type="dxa"/>
            <w:vAlign w:val="bottom"/>
            <w:tcBorders>
              <w:top w:val="single" w:sz="8" w:color="325889"/>
              <w:bottom w:val="single" w:sz="8" w:color="98A3B8"/>
            </w:tcBorders>
          </w:tcPr>
          <w:p>
            <w:pPr>
              <w:spacing w:after="0"/>
              <w:rPr>
                <w:sz w:val="5"/>
                <w:szCs w:val="5"/>
                <w:color w:val="auto"/>
              </w:rPr>
            </w:pPr>
          </w:p>
        </w:tc>
        <w:tc>
          <w:tcPr>
            <w:tcW w:w="320" w:type="dxa"/>
            <w:vAlign w:val="bottom"/>
            <w:tcBorders>
              <w:top w:val="single" w:sz="8" w:color="325889"/>
              <w:bottom w:val="single" w:sz="8" w:color="98A3B8"/>
            </w:tcBorders>
          </w:tcPr>
          <w:p>
            <w:pPr>
              <w:spacing w:after="0"/>
              <w:rPr>
                <w:sz w:val="5"/>
                <w:szCs w:val="5"/>
                <w:color w:val="auto"/>
              </w:rPr>
            </w:pPr>
          </w:p>
        </w:tc>
        <w:tc>
          <w:tcPr>
            <w:tcW w:w="20" w:type="dxa"/>
            <w:vAlign w:val="bottom"/>
            <w:tcBorders>
              <w:top w:val="single" w:sz="8" w:color="325889"/>
              <w:bottom w:val="single" w:sz="8" w:color="98A3B8"/>
            </w:tcBorders>
          </w:tcPr>
          <w:p>
            <w:pPr>
              <w:spacing w:after="0"/>
              <w:rPr>
                <w:sz w:val="5"/>
                <w:szCs w:val="5"/>
                <w:color w:val="auto"/>
              </w:rPr>
            </w:pPr>
          </w:p>
        </w:tc>
        <w:tc>
          <w:tcPr>
            <w:tcW w:w="80" w:type="dxa"/>
            <w:vAlign w:val="bottom"/>
            <w:tcBorders>
              <w:top w:val="single" w:sz="8" w:color="325889"/>
              <w:bottom w:val="single" w:sz="8" w:color="98A3B8"/>
            </w:tcBorders>
          </w:tcPr>
          <w:p>
            <w:pPr>
              <w:spacing w:after="0"/>
              <w:rPr>
                <w:sz w:val="5"/>
                <w:szCs w:val="5"/>
                <w:color w:val="auto"/>
              </w:rPr>
            </w:pPr>
          </w:p>
        </w:tc>
        <w:tc>
          <w:tcPr>
            <w:tcW w:w="180" w:type="dxa"/>
            <w:vAlign w:val="bottom"/>
            <w:tcBorders>
              <w:top w:val="single" w:sz="8" w:color="325889"/>
              <w:bottom w:val="single" w:sz="8" w:color="98A3B8"/>
            </w:tcBorders>
          </w:tcPr>
          <w:p>
            <w:pPr>
              <w:spacing w:after="0"/>
              <w:rPr>
                <w:sz w:val="5"/>
                <w:szCs w:val="5"/>
                <w:color w:val="auto"/>
              </w:rPr>
            </w:pPr>
          </w:p>
        </w:tc>
        <w:tc>
          <w:tcPr>
            <w:tcW w:w="80" w:type="dxa"/>
            <w:vAlign w:val="bottom"/>
            <w:tcBorders>
              <w:top w:val="single" w:sz="8" w:color="325889"/>
              <w:bottom w:val="single" w:sz="8" w:color="98A3B8"/>
            </w:tcBorders>
          </w:tcPr>
          <w:p>
            <w:pPr>
              <w:spacing w:after="0"/>
              <w:rPr>
                <w:sz w:val="5"/>
                <w:szCs w:val="5"/>
                <w:color w:val="auto"/>
              </w:rPr>
            </w:pPr>
          </w:p>
        </w:tc>
        <w:tc>
          <w:tcPr>
            <w:tcW w:w="120" w:type="dxa"/>
            <w:vAlign w:val="bottom"/>
            <w:tcBorders>
              <w:top w:val="single" w:sz="8" w:color="325889"/>
              <w:bottom w:val="single" w:sz="8" w:color="98A3B8"/>
            </w:tcBorders>
          </w:tcPr>
          <w:p>
            <w:pPr>
              <w:spacing w:after="0"/>
              <w:rPr>
                <w:sz w:val="5"/>
                <w:szCs w:val="5"/>
                <w:color w:val="auto"/>
              </w:rPr>
            </w:pPr>
          </w:p>
        </w:tc>
        <w:tc>
          <w:tcPr>
            <w:tcW w:w="180" w:type="dxa"/>
            <w:vAlign w:val="bottom"/>
            <w:tcBorders>
              <w:top w:val="single" w:sz="8" w:color="325889"/>
              <w:bottom w:val="single" w:sz="8" w:color="98A3B8"/>
            </w:tcBorders>
          </w:tcPr>
          <w:p>
            <w:pPr>
              <w:spacing w:after="0"/>
              <w:rPr>
                <w:sz w:val="5"/>
                <w:szCs w:val="5"/>
                <w:color w:val="auto"/>
              </w:rPr>
            </w:pPr>
          </w:p>
        </w:tc>
        <w:tc>
          <w:tcPr>
            <w:tcW w:w="40" w:type="dxa"/>
            <w:vAlign w:val="bottom"/>
            <w:tcBorders>
              <w:top w:val="single" w:sz="8" w:color="325889"/>
              <w:bottom w:val="single" w:sz="8" w:color="98A3B8"/>
            </w:tcBorders>
          </w:tcPr>
          <w:p>
            <w:pPr>
              <w:spacing w:after="0"/>
              <w:rPr>
                <w:sz w:val="5"/>
                <w:szCs w:val="5"/>
                <w:color w:val="auto"/>
              </w:rPr>
            </w:pPr>
          </w:p>
        </w:tc>
        <w:tc>
          <w:tcPr>
            <w:tcW w:w="60" w:type="dxa"/>
            <w:vAlign w:val="bottom"/>
            <w:tcBorders>
              <w:top w:val="single" w:sz="8" w:color="325889"/>
              <w:bottom w:val="single" w:sz="8" w:color="98A3B8"/>
            </w:tcBorders>
          </w:tcPr>
          <w:p>
            <w:pPr>
              <w:spacing w:after="0"/>
              <w:rPr>
                <w:sz w:val="5"/>
                <w:szCs w:val="5"/>
                <w:color w:val="auto"/>
              </w:rPr>
            </w:pPr>
          </w:p>
        </w:tc>
        <w:tc>
          <w:tcPr>
            <w:tcW w:w="40" w:type="dxa"/>
            <w:vAlign w:val="bottom"/>
            <w:tcBorders>
              <w:top w:val="single" w:sz="8" w:color="325889"/>
              <w:bottom w:val="single" w:sz="8" w:color="98A3B8"/>
            </w:tcBorders>
          </w:tcPr>
          <w:p>
            <w:pPr>
              <w:spacing w:after="0"/>
              <w:rPr>
                <w:sz w:val="5"/>
                <w:szCs w:val="5"/>
                <w:color w:val="auto"/>
              </w:rPr>
            </w:pPr>
          </w:p>
        </w:tc>
        <w:tc>
          <w:tcPr>
            <w:tcW w:w="300" w:type="dxa"/>
            <w:vAlign w:val="bottom"/>
            <w:tcBorders>
              <w:top w:val="single" w:sz="8" w:color="325889"/>
              <w:bottom w:val="single" w:sz="8" w:color="98A3B8"/>
            </w:tcBorders>
          </w:tcPr>
          <w:p>
            <w:pPr>
              <w:spacing w:after="0"/>
              <w:rPr>
                <w:sz w:val="5"/>
                <w:szCs w:val="5"/>
                <w:color w:val="auto"/>
              </w:rPr>
            </w:pPr>
          </w:p>
        </w:tc>
        <w:tc>
          <w:tcPr>
            <w:tcW w:w="60" w:type="dxa"/>
            <w:vAlign w:val="bottom"/>
            <w:tcBorders>
              <w:top w:val="single" w:sz="8" w:color="325889"/>
              <w:bottom w:val="single" w:sz="8" w:color="98A3B8"/>
            </w:tcBorders>
          </w:tcPr>
          <w:p>
            <w:pPr>
              <w:spacing w:after="0"/>
              <w:rPr>
                <w:sz w:val="5"/>
                <w:szCs w:val="5"/>
                <w:color w:val="auto"/>
              </w:rPr>
            </w:pPr>
          </w:p>
        </w:tc>
        <w:tc>
          <w:tcPr>
            <w:tcW w:w="60" w:type="dxa"/>
            <w:vAlign w:val="bottom"/>
            <w:tcBorders>
              <w:top w:val="single" w:sz="8" w:color="325889"/>
              <w:bottom w:val="single" w:sz="8" w:color="98A3B8"/>
            </w:tcBorders>
          </w:tcPr>
          <w:p>
            <w:pPr>
              <w:spacing w:after="0"/>
              <w:rPr>
                <w:sz w:val="5"/>
                <w:szCs w:val="5"/>
                <w:color w:val="auto"/>
              </w:rPr>
            </w:pPr>
          </w:p>
        </w:tc>
        <w:tc>
          <w:tcPr>
            <w:tcW w:w="160" w:type="dxa"/>
            <w:vAlign w:val="bottom"/>
            <w:tcBorders>
              <w:top w:val="single" w:sz="8" w:color="325889"/>
              <w:bottom w:val="single" w:sz="8" w:color="98A3B8"/>
            </w:tcBorders>
          </w:tcPr>
          <w:p>
            <w:pPr>
              <w:spacing w:after="0"/>
              <w:rPr>
                <w:sz w:val="5"/>
                <w:szCs w:val="5"/>
                <w:color w:val="auto"/>
              </w:rPr>
            </w:pPr>
          </w:p>
        </w:tc>
        <w:tc>
          <w:tcPr>
            <w:tcW w:w="80" w:type="dxa"/>
            <w:vAlign w:val="bottom"/>
            <w:tcBorders>
              <w:top w:val="single" w:sz="8" w:color="325889"/>
              <w:bottom w:val="single" w:sz="8" w:color="98A3B8"/>
            </w:tcBorders>
          </w:tcPr>
          <w:p>
            <w:pPr>
              <w:spacing w:after="0"/>
              <w:rPr>
                <w:sz w:val="5"/>
                <w:szCs w:val="5"/>
                <w:color w:val="auto"/>
              </w:rPr>
            </w:pPr>
          </w:p>
        </w:tc>
        <w:tc>
          <w:tcPr>
            <w:tcW w:w="40" w:type="dxa"/>
            <w:vAlign w:val="bottom"/>
            <w:tcBorders>
              <w:top w:val="single" w:sz="8" w:color="325889"/>
              <w:bottom w:val="single" w:sz="8" w:color="98A3B8"/>
            </w:tcBorders>
          </w:tcPr>
          <w:p>
            <w:pPr>
              <w:spacing w:after="0"/>
              <w:rPr>
                <w:sz w:val="5"/>
                <w:szCs w:val="5"/>
                <w:color w:val="auto"/>
              </w:rPr>
            </w:pPr>
          </w:p>
        </w:tc>
        <w:tc>
          <w:tcPr>
            <w:tcW w:w="60" w:type="dxa"/>
            <w:vAlign w:val="bottom"/>
            <w:tcBorders>
              <w:top w:val="single" w:sz="8" w:color="325889"/>
              <w:bottom w:val="single" w:sz="8" w:color="98A3B8"/>
            </w:tcBorders>
          </w:tcPr>
          <w:p>
            <w:pPr>
              <w:spacing w:after="0"/>
              <w:rPr>
                <w:sz w:val="5"/>
                <w:szCs w:val="5"/>
                <w:color w:val="auto"/>
              </w:rPr>
            </w:pPr>
          </w:p>
        </w:tc>
        <w:tc>
          <w:tcPr>
            <w:tcW w:w="60" w:type="dxa"/>
            <w:vAlign w:val="bottom"/>
            <w:tcBorders>
              <w:top w:val="single" w:sz="8" w:color="325889"/>
              <w:bottom w:val="single" w:sz="8" w:color="98A3B8"/>
            </w:tcBorders>
          </w:tcPr>
          <w:p>
            <w:pPr>
              <w:spacing w:after="0"/>
              <w:rPr>
                <w:sz w:val="5"/>
                <w:szCs w:val="5"/>
                <w:color w:val="auto"/>
              </w:rPr>
            </w:pPr>
          </w:p>
        </w:tc>
        <w:tc>
          <w:tcPr>
            <w:tcW w:w="20" w:type="dxa"/>
            <w:vAlign w:val="bottom"/>
            <w:tcBorders>
              <w:top w:val="single" w:sz="8" w:color="325889"/>
              <w:bottom w:val="single" w:sz="8" w:color="98A3B8"/>
            </w:tcBorders>
          </w:tcPr>
          <w:p>
            <w:pPr>
              <w:spacing w:after="0"/>
              <w:rPr>
                <w:sz w:val="5"/>
                <w:szCs w:val="5"/>
                <w:color w:val="auto"/>
              </w:rPr>
            </w:pPr>
          </w:p>
        </w:tc>
        <w:tc>
          <w:tcPr>
            <w:tcW w:w="240" w:type="dxa"/>
            <w:vAlign w:val="bottom"/>
            <w:tcBorders>
              <w:top w:val="single" w:sz="8" w:color="325889"/>
              <w:bottom w:val="single" w:sz="8" w:color="98A3B8"/>
            </w:tcBorders>
          </w:tcPr>
          <w:p>
            <w:pPr>
              <w:spacing w:after="0"/>
              <w:rPr>
                <w:sz w:val="5"/>
                <w:szCs w:val="5"/>
                <w:color w:val="auto"/>
              </w:rPr>
            </w:pPr>
          </w:p>
        </w:tc>
        <w:tc>
          <w:tcPr>
            <w:tcW w:w="40" w:type="dxa"/>
            <w:vAlign w:val="bottom"/>
            <w:tcBorders>
              <w:top w:val="single" w:sz="8" w:color="325889"/>
              <w:bottom w:val="single" w:sz="8" w:color="98A3B8"/>
            </w:tcBorders>
          </w:tcPr>
          <w:p>
            <w:pPr>
              <w:spacing w:after="0"/>
              <w:rPr>
                <w:sz w:val="5"/>
                <w:szCs w:val="5"/>
                <w:color w:val="auto"/>
              </w:rPr>
            </w:pPr>
          </w:p>
        </w:tc>
        <w:tc>
          <w:tcPr>
            <w:tcW w:w="280" w:type="dxa"/>
            <w:vAlign w:val="bottom"/>
            <w:tcBorders>
              <w:top w:val="single" w:sz="8" w:color="325889"/>
              <w:bottom w:val="single" w:sz="8" w:color="98A3B8"/>
            </w:tcBorders>
          </w:tcPr>
          <w:p>
            <w:pPr>
              <w:spacing w:after="0"/>
              <w:rPr>
                <w:sz w:val="5"/>
                <w:szCs w:val="5"/>
                <w:color w:val="auto"/>
              </w:rPr>
            </w:pPr>
          </w:p>
        </w:tc>
        <w:tc>
          <w:tcPr>
            <w:tcW w:w="500" w:type="dxa"/>
            <w:vAlign w:val="bottom"/>
            <w:tcBorders>
              <w:top w:val="single" w:sz="8" w:color="325889"/>
              <w:bottom w:val="single" w:sz="8" w:color="98A3B8"/>
            </w:tcBorders>
          </w:tcPr>
          <w:p>
            <w:pPr>
              <w:spacing w:after="0"/>
              <w:rPr>
                <w:sz w:val="5"/>
                <w:szCs w:val="5"/>
                <w:color w:val="auto"/>
              </w:rPr>
            </w:pPr>
          </w:p>
        </w:tc>
        <w:tc>
          <w:tcPr>
            <w:tcW w:w="100" w:type="dxa"/>
            <w:vAlign w:val="bottom"/>
            <w:tcBorders>
              <w:top w:val="single" w:sz="8" w:color="325889"/>
              <w:bottom w:val="single" w:sz="8" w:color="98A3B8"/>
            </w:tcBorders>
          </w:tcPr>
          <w:p>
            <w:pPr>
              <w:spacing w:after="0"/>
              <w:rPr>
                <w:sz w:val="5"/>
                <w:szCs w:val="5"/>
                <w:color w:val="auto"/>
              </w:rPr>
            </w:pPr>
          </w:p>
        </w:tc>
        <w:tc>
          <w:tcPr>
            <w:tcW w:w="60" w:type="dxa"/>
            <w:vAlign w:val="bottom"/>
            <w:tcBorders>
              <w:top w:val="single" w:sz="8" w:color="325889"/>
              <w:bottom w:val="single" w:sz="8" w:color="98A3B8"/>
            </w:tcBorders>
          </w:tcPr>
          <w:p>
            <w:pPr>
              <w:spacing w:after="0"/>
              <w:rPr>
                <w:sz w:val="5"/>
                <w:szCs w:val="5"/>
                <w:color w:val="auto"/>
              </w:rPr>
            </w:pPr>
          </w:p>
        </w:tc>
        <w:tc>
          <w:tcPr>
            <w:tcW w:w="400" w:type="dxa"/>
            <w:vAlign w:val="bottom"/>
            <w:tcBorders>
              <w:bottom w:val="single" w:sz="8" w:color="98A3B8"/>
            </w:tcBorders>
          </w:tcPr>
          <w:p>
            <w:pPr>
              <w:spacing w:after="0"/>
              <w:rPr>
                <w:sz w:val="5"/>
                <w:szCs w:val="5"/>
                <w:color w:val="auto"/>
              </w:rPr>
            </w:pPr>
          </w:p>
        </w:tc>
        <w:tc>
          <w:tcPr>
            <w:tcW w:w="300" w:type="dxa"/>
            <w:vAlign w:val="bottom"/>
            <w:tcBorders>
              <w:bottom w:val="single" w:sz="8" w:color="98A3B8"/>
            </w:tcBorders>
          </w:tcPr>
          <w:p>
            <w:pPr>
              <w:spacing w:after="0"/>
              <w:rPr>
                <w:sz w:val="5"/>
                <w:szCs w:val="5"/>
                <w:color w:val="auto"/>
              </w:rPr>
            </w:pPr>
          </w:p>
        </w:tc>
        <w:tc>
          <w:tcPr>
            <w:tcW w:w="80" w:type="dxa"/>
            <w:vAlign w:val="bottom"/>
            <w:tcBorders>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120" w:type="dxa"/>
            <w:vAlign w:val="bottom"/>
            <w:tcBorders>
              <w:bottom w:val="single" w:sz="8" w:color="98A3B8"/>
            </w:tcBorders>
          </w:tcPr>
          <w:p>
            <w:pPr>
              <w:spacing w:after="0"/>
              <w:rPr>
                <w:sz w:val="5"/>
                <w:szCs w:val="5"/>
                <w:color w:val="auto"/>
              </w:rPr>
            </w:pPr>
          </w:p>
        </w:tc>
        <w:tc>
          <w:tcPr>
            <w:tcW w:w="40" w:type="dxa"/>
            <w:vAlign w:val="bottom"/>
            <w:tcBorders>
              <w:bottom w:val="single" w:sz="8" w:color="98A3B8"/>
            </w:tcBorders>
          </w:tcPr>
          <w:p>
            <w:pPr>
              <w:spacing w:after="0"/>
              <w:rPr>
                <w:sz w:val="5"/>
                <w:szCs w:val="5"/>
                <w:color w:val="auto"/>
              </w:rPr>
            </w:pPr>
          </w:p>
        </w:tc>
        <w:tc>
          <w:tcPr>
            <w:tcW w:w="1020" w:type="dxa"/>
            <w:vAlign w:val="bottom"/>
            <w:tcBorders>
              <w:bottom w:val="single" w:sz="8" w:color="98A3B8"/>
            </w:tcBorders>
          </w:tcPr>
          <w:p>
            <w:pPr>
              <w:spacing w:after="0"/>
              <w:rPr>
                <w:sz w:val="5"/>
                <w:szCs w:val="5"/>
                <w:color w:val="auto"/>
              </w:rPr>
            </w:pPr>
          </w:p>
        </w:tc>
        <w:tc>
          <w:tcPr>
            <w:tcW w:w="720" w:type="dxa"/>
            <w:vAlign w:val="bottom"/>
            <w:tcBorders>
              <w:bottom w:val="single" w:sz="8" w:color="98A3B8"/>
            </w:tcBorders>
          </w:tcPr>
          <w:p>
            <w:pPr>
              <w:spacing w:after="0"/>
              <w:rPr>
                <w:sz w:val="5"/>
                <w:szCs w:val="5"/>
                <w:color w:val="auto"/>
              </w:rPr>
            </w:pPr>
          </w:p>
        </w:tc>
        <w:tc>
          <w:tcPr>
            <w:tcW w:w="140" w:type="dxa"/>
            <w:vAlign w:val="bottom"/>
            <w:tcBorders>
              <w:bottom w:val="single" w:sz="8" w:color="98A3B8"/>
            </w:tcBorders>
          </w:tcPr>
          <w:p>
            <w:pPr>
              <w:spacing w:after="0"/>
              <w:rPr>
                <w:sz w:val="5"/>
                <w:szCs w:val="5"/>
                <w:color w:val="auto"/>
              </w:rPr>
            </w:pPr>
          </w:p>
        </w:tc>
        <w:tc>
          <w:tcPr>
            <w:tcW w:w="2760" w:type="dxa"/>
            <w:vAlign w:val="bottom"/>
            <w:tcBorders>
              <w:bottom w:val="single" w:sz="8" w:color="98A3B8"/>
            </w:tcBorders>
          </w:tcPr>
          <w:p>
            <w:pPr>
              <w:spacing w:after="0"/>
              <w:rPr>
                <w:sz w:val="5"/>
                <w:szCs w:val="5"/>
                <w:color w:val="auto"/>
              </w:rPr>
            </w:pPr>
          </w:p>
        </w:tc>
        <w:tc>
          <w:tcPr>
            <w:tcW w:w="800" w:type="dxa"/>
            <w:vAlign w:val="bottom"/>
            <w:tcBorders>
              <w:bottom w:val="single" w:sz="8" w:color="98A3B8"/>
            </w:tcBorders>
          </w:tcPr>
          <w:p>
            <w:pPr>
              <w:spacing w:after="0"/>
              <w:rPr>
                <w:sz w:val="5"/>
                <w:szCs w:val="5"/>
                <w:color w:val="auto"/>
              </w:rPr>
            </w:pPr>
          </w:p>
        </w:tc>
        <w:tc>
          <w:tcPr>
            <w:tcW w:w="820" w:type="dxa"/>
            <w:vAlign w:val="bottom"/>
            <w:tcBorders>
              <w:bottom w:val="single" w:sz="8" w:color="98A3B8"/>
            </w:tcBorders>
          </w:tcPr>
          <w:p>
            <w:pPr>
              <w:spacing w:after="0"/>
              <w:rPr>
                <w:sz w:val="5"/>
                <w:szCs w:val="5"/>
                <w:color w:val="auto"/>
              </w:rPr>
            </w:pPr>
          </w:p>
        </w:tc>
        <w:tc>
          <w:tcPr>
            <w:tcW w:w="80" w:type="dxa"/>
            <w:vAlign w:val="bottom"/>
            <w:tcBorders>
              <w:bottom w:val="single" w:sz="8" w:color="98A3B8"/>
            </w:tcBorders>
          </w:tcPr>
          <w:p>
            <w:pPr>
              <w:spacing w:after="0"/>
              <w:rPr>
                <w:sz w:val="5"/>
                <w:szCs w:val="5"/>
                <w:color w:val="auto"/>
              </w:rPr>
            </w:pPr>
          </w:p>
        </w:tc>
        <w:tc>
          <w:tcPr>
            <w:tcW w:w="80" w:type="dxa"/>
            <w:vAlign w:val="bottom"/>
            <w:tcBorders>
              <w:bottom w:val="single" w:sz="8" w:color="98A3B8"/>
            </w:tcBorders>
          </w:tcPr>
          <w:p>
            <w:pPr>
              <w:spacing w:after="0"/>
              <w:rPr>
                <w:sz w:val="5"/>
                <w:szCs w:val="5"/>
                <w:color w:val="auto"/>
              </w:rPr>
            </w:pPr>
          </w:p>
        </w:tc>
        <w:tc>
          <w:tcPr>
            <w:tcW w:w="100" w:type="dxa"/>
            <w:vAlign w:val="bottom"/>
            <w:tcBorders>
              <w:top w:val="single" w:sz="8" w:color="0000EE"/>
              <w:bottom w:val="single" w:sz="8" w:color="98A3B8"/>
            </w:tcBorders>
          </w:tcPr>
          <w:p>
            <w:pPr>
              <w:spacing w:after="0"/>
              <w:rPr>
                <w:sz w:val="5"/>
                <w:szCs w:val="5"/>
                <w:color w:val="auto"/>
              </w:rPr>
            </w:pPr>
          </w:p>
        </w:tc>
      </w:tr>
      <w:tr>
        <w:trPr>
          <w:trHeight w:val="194"/>
        </w:trPr>
        <w:tc>
          <w:tcPr>
            <w:tcW w:w="10360" w:type="dxa"/>
            <w:vAlign w:val="bottom"/>
            <w:gridSpan w:val="38"/>
          </w:tcPr>
          <w:p>
            <w:pPr>
              <w:spacing w:after="0"/>
              <w:rPr>
                <w:rFonts w:ascii="Arial" w:cs="Arial" w:eastAsia="Arial" w:hAnsi="Arial"/>
                <w:sz w:val="15"/>
                <w:szCs w:val="15"/>
                <w:b w:val="1"/>
                <w:bCs w:val="1"/>
                <w:color w:val="325889"/>
              </w:rPr>
            </w:pPr>
            <w:hyperlink w:anchor="page8">
              <w:r>
                <w:rPr>
                  <w:rFonts w:ascii="Arial" w:cs="Arial" w:eastAsia="Arial" w:hAnsi="Arial"/>
                  <w:sz w:val="15"/>
                  <w:szCs w:val="15"/>
                  <w:b w:val="1"/>
                  <w:bCs w:val="1"/>
                  <w:color w:val="325889"/>
                </w:rPr>
                <w:t>OUR BOARD OF DIRECTORS AND CORPORATE GOVERNANCE</w:t>
              </w:r>
            </w:hyperlink>
          </w:p>
        </w:tc>
        <w:tc>
          <w:tcPr>
            <w:tcW w:w="1080" w:type="dxa"/>
            <w:vAlign w:val="bottom"/>
            <w:gridSpan w:val="4"/>
          </w:tcPr>
          <w:p>
            <w:pPr>
              <w:jc w:val="right"/>
              <w:spacing w:after="0"/>
              <w:rPr>
                <w:rFonts w:ascii="Arial" w:cs="Arial" w:eastAsia="Arial" w:hAnsi="Arial"/>
                <w:sz w:val="15"/>
                <w:szCs w:val="15"/>
                <w:b w:val="1"/>
                <w:bCs w:val="1"/>
                <w:color w:val="0000EE"/>
              </w:rPr>
            </w:pPr>
            <w:hyperlink w:anchor="page8">
              <w:r>
                <w:rPr>
                  <w:rFonts w:ascii="Arial" w:cs="Arial" w:eastAsia="Arial" w:hAnsi="Arial"/>
                  <w:sz w:val="15"/>
                  <w:szCs w:val="15"/>
                  <w:b w:val="1"/>
                  <w:bCs w:val="1"/>
                  <w:color w:val="0000EE"/>
                </w:rPr>
                <w:t>6</w:t>
              </w:r>
            </w:hyperlink>
          </w:p>
        </w:tc>
      </w:tr>
      <w:tr>
        <w:trPr>
          <w:trHeight w:val="63"/>
        </w:trPr>
        <w:tc>
          <w:tcPr>
            <w:tcW w:w="680" w:type="dxa"/>
            <w:vAlign w:val="bottom"/>
            <w:tcBorders>
              <w:top w:val="single" w:sz="8" w:color="325889"/>
              <w:bottom w:val="single" w:sz="8" w:color="98A3B8"/>
            </w:tcBorders>
          </w:tcPr>
          <w:p>
            <w:pPr>
              <w:spacing w:after="0"/>
              <w:rPr>
                <w:sz w:val="5"/>
                <w:szCs w:val="5"/>
                <w:color w:val="auto"/>
              </w:rPr>
            </w:pPr>
          </w:p>
        </w:tc>
        <w:tc>
          <w:tcPr>
            <w:tcW w:w="320" w:type="dxa"/>
            <w:vAlign w:val="bottom"/>
            <w:tcBorders>
              <w:top w:val="single" w:sz="8" w:color="325889"/>
              <w:bottom w:val="single" w:sz="8" w:color="98A3B8"/>
            </w:tcBorders>
          </w:tcPr>
          <w:p>
            <w:pPr>
              <w:spacing w:after="0"/>
              <w:rPr>
                <w:sz w:val="5"/>
                <w:szCs w:val="5"/>
                <w:color w:val="auto"/>
              </w:rPr>
            </w:pPr>
          </w:p>
        </w:tc>
        <w:tc>
          <w:tcPr>
            <w:tcW w:w="20" w:type="dxa"/>
            <w:vAlign w:val="bottom"/>
            <w:tcBorders>
              <w:top w:val="single" w:sz="8" w:color="325889"/>
              <w:bottom w:val="single" w:sz="8" w:color="98A3B8"/>
            </w:tcBorders>
          </w:tcPr>
          <w:p>
            <w:pPr>
              <w:spacing w:after="0"/>
              <w:rPr>
                <w:sz w:val="5"/>
                <w:szCs w:val="5"/>
                <w:color w:val="auto"/>
              </w:rPr>
            </w:pPr>
          </w:p>
        </w:tc>
        <w:tc>
          <w:tcPr>
            <w:tcW w:w="80" w:type="dxa"/>
            <w:vAlign w:val="bottom"/>
            <w:tcBorders>
              <w:top w:val="single" w:sz="8" w:color="325889"/>
              <w:bottom w:val="single" w:sz="8" w:color="98A3B8"/>
            </w:tcBorders>
          </w:tcPr>
          <w:p>
            <w:pPr>
              <w:spacing w:after="0"/>
              <w:rPr>
                <w:sz w:val="5"/>
                <w:szCs w:val="5"/>
                <w:color w:val="auto"/>
              </w:rPr>
            </w:pPr>
          </w:p>
        </w:tc>
        <w:tc>
          <w:tcPr>
            <w:tcW w:w="180" w:type="dxa"/>
            <w:vAlign w:val="bottom"/>
            <w:tcBorders>
              <w:top w:val="single" w:sz="8" w:color="325889"/>
              <w:bottom w:val="single" w:sz="8" w:color="98A3B8"/>
            </w:tcBorders>
          </w:tcPr>
          <w:p>
            <w:pPr>
              <w:spacing w:after="0"/>
              <w:rPr>
                <w:sz w:val="5"/>
                <w:szCs w:val="5"/>
                <w:color w:val="auto"/>
              </w:rPr>
            </w:pPr>
          </w:p>
        </w:tc>
        <w:tc>
          <w:tcPr>
            <w:tcW w:w="80" w:type="dxa"/>
            <w:vAlign w:val="bottom"/>
            <w:tcBorders>
              <w:top w:val="single" w:sz="8" w:color="325889"/>
              <w:bottom w:val="single" w:sz="8" w:color="98A3B8"/>
            </w:tcBorders>
          </w:tcPr>
          <w:p>
            <w:pPr>
              <w:spacing w:after="0"/>
              <w:rPr>
                <w:sz w:val="5"/>
                <w:szCs w:val="5"/>
                <w:color w:val="auto"/>
              </w:rPr>
            </w:pPr>
          </w:p>
        </w:tc>
        <w:tc>
          <w:tcPr>
            <w:tcW w:w="120" w:type="dxa"/>
            <w:vAlign w:val="bottom"/>
            <w:tcBorders>
              <w:top w:val="single" w:sz="8" w:color="325889"/>
              <w:bottom w:val="single" w:sz="8" w:color="98A3B8"/>
            </w:tcBorders>
          </w:tcPr>
          <w:p>
            <w:pPr>
              <w:spacing w:after="0"/>
              <w:rPr>
                <w:sz w:val="5"/>
                <w:szCs w:val="5"/>
                <w:color w:val="auto"/>
              </w:rPr>
            </w:pPr>
          </w:p>
        </w:tc>
        <w:tc>
          <w:tcPr>
            <w:tcW w:w="180" w:type="dxa"/>
            <w:vAlign w:val="bottom"/>
            <w:tcBorders>
              <w:top w:val="single" w:sz="8" w:color="325889"/>
              <w:bottom w:val="single" w:sz="8" w:color="98A3B8"/>
            </w:tcBorders>
          </w:tcPr>
          <w:p>
            <w:pPr>
              <w:spacing w:after="0"/>
              <w:rPr>
                <w:sz w:val="5"/>
                <w:szCs w:val="5"/>
                <w:color w:val="auto"/>
              </w:rPr>
            </w:pPr>
          </w:p>
        </w:tc>
        <w:tc>
          <w:tcPr>
            <w:tcW w:w="40" w:type="dxa"/>
            <w:vAlign w:val="bottom"/>
            <w:tcBorders>
              <w:top w:val="single" w:sz="8" w:color="325889"/>
              <w:bottom w:val="single" w:sz="8" w:color="98A3B8"/>
            </w:tcBorders>
          </w:tcPr>
          <w:p>
            <w:pPr>
              <w:spacing w:after="0"/>
              <w:rPr>
                <w:sz w:val="5"/>
                <w:szCs w:val="5"/>
                <w:color w:val="auto"/>
              </w:rPr>
            </w:pPr>
          </w:p>
        </w:tc>
        <w:tc>
          <w:tcPr>
            <w:tcW w:w="60" w:type="dxa"/>
            <w:vAlign w:val="bottom"/>
            <w:tcBorders>
              <w:top w:val="single" w:sz="8" w:color="325889"/>
              <w:bottom w:val="single" w:sz="8" w:color="98A3B8"/>
            </w:tcBorders>
          </w:tcPr>
          <w:p>
            <w:pPr>
              <w:spacing w:after="0"/>
              <w:rPr>
                <w:sz w:val="5"/>
                <w:szCs w:val="5"/>
                <w:color w:val="auto"/>
              </w:rPr>
            </w:pPr>
          </w:p>
        </w:tc>
        <w:tc>
          <w:tcPr>
            <w:tcW w:w="40" w:type="dxa"/>
            <w:vAlign w:val="bottom"/>
            <w:tcBorders>
              <w:top w:val="single" w:sz="8" w:color="325889"/>
              <w:bottom w:val="single" w:sz="8" w:color="98A3B8"/>
            </w:tcBorders>
          </w:tcPr>
          <w:p>
            <w:pPr>
              <w:spacing w:after="0"/>
              <w:rPr>
                <w:sz w:val="5"/>
                <w:szCs w:val="5"/>
                <w:color w:val="auto"/>
              </w:rPr>
            </w:pPr>
          </w:p>
        </w:tc>
        <w:tc>
          <w:tcPr>
            <w:tcW w:w="300" w:type="dxa"/>
            <w:vAlign w:val="bottom"/>
            <w:tcBorders>
              <w:top w:val="single" w:sz="8" w:color="325889"/>
              <w:bottom w:val="single" w:sz="8" w:color="98A3B8"/>
            </w:tcBorders>
          </w:tcPr>
          <w:p>
            <w:pPr>
              <w:spacing w:after="0"/>
              <w:rPr>
                <w:sz w:val="5"/>
                <w:szCs w:val="5"/>
                <w:color w:val="auto"/>
              </w:rPr>
            </w:pPr>
          </w:p>
        </w:tc>
        <w:tc>
          <w:tcPr>
            <w:tcW w:w="60" w:type="dxa"/>
            <w:vAlign w:val="bottom"/>
            <w:tcBorders>
              <w:top w:val="single" w:sz="8" w:color="325889"/>
              <w:bottom w:val="single" w:sz="8" w:color="98A3B8"/>
            </w:tcBorders>
          </w:tcPr>
          <w:p>
            <w:pPr>
              <w:spacing w:after="0"/>
              <w:rPr>
                <w:sz w:val="5"/>
                <w:szCs w:val="5"/>
                <w:color w:val="auto"/>
              </w:rPr>
            </w:pPr>
          </w:p>
        </w:tc>
        <w:tc>
          <w:tcPr>
            <w:tcW w:w="60" w:type="dxa"/>
            <w:vAlign w:val="bottom"/>
            <w:tcBorders>
              <w:top w:val="single" w:sz="8" w:color="325889"/>
              <w:bottom w:val="single" w:sz="8" w:color="98A3B8"/>
            </w:tcBorders>
          </w:tcPr>
          <w:p>
            <w:pPr>
              <w:spacing w:after="0"/>
              <w:rPr>
                <w:sz w:val="5"/>
                <w:szCs w:val="5"/>
                <w:color w:val="auto"/>
              </w:rPr>
            </w:pPr>
          </w:p>
        </w:tc>
        <w:tc>
          <w:tcPr>
            <w:tcW w:w="160" w:type="dxa"/>
            <w:vAlign w:val="bottom"/>
            <w:tcBorders>
              <w:top w:val="single" w:sz="8" w:color="325889"/>
              <w:bottom w:val="single" w:sz="8" w:color="98A3B8"/>
            </w:tcBorders>
          </w:tcPr>
          <w:p>
            <w:pPr>
              <w:spacing w:after="0"/>
              <w:rPr>
                <w:sz w:val="5"/>
                <w:szCs w:val="5"/>
                <w:color w:val="auto"/>
              </w:rPr>
            </w:pPr>
          </w:p>
        </w:tc>
        <w:tc>
          <w:tcPr>
            <w:tcW w:w="80" w:type="dxa"/>
            <w:vAlign w:val="bottom"/>
            <w:tcBorders>
              <w:top w:val="single" w:sz="8" w:color="325889"/>
              <w:bottom w:val="single" w:sz="8" w:color="98A3B8"/>
            </w:tcBorders>
          </w:tcPr>
          <w:p>
            <w:pPr>
              <w:spacing w:after="0"/>
              <w:rPr>
                <w:sz w:val="5"/>
                <w:szCs w:val="5"/>
                <w:color w:val="auto"/>
              </w:rPr>
            </w:pPr>
          </w:p>
        </w:tc>
        <w:tc>
          <w:tcPr>
            <w:tcW w:w="40" w:type="dxa"/>
            <w:vAlign w:val="bottom"/>
            <w:tcBorders>
              <w:top w:val="single" w:sz="8" w:color="325889"/>
              <w:bottom w:val="single" w:sz="8" w:color="98A3B8"/>
            </w:tcBorders>
          </w:tcPr>
          <w:p>
            <w:pPr>
              <w:spacing w:after="0"/>
              <w:rPr>
                <w:sz w:val="5"/>
                <w:szCs w:val="5"/>
                <w:color w:val="auto"/>
              </w:rPr>
            </w:pPr>
          </w:p>
        </w:tc>
        <w:tc>
          <w:tcPr>
            <w:tcW w:w="60" w:type="dxa"/>
            <w:vAlign w:val="bottom"/>
            <w:tcBorders>
              <w:top w:val="single" w:sz="8" w:color="325889"/>
              <w:bottom w:val="single" w:sz="8" w:color="98A3B8"/>
            </w:tcBorders>
          </w:tcPr>
          <w:p>
            <w:pPr>
              <w:spacing w:after="0"/>
              <w:rPr>
                <w:sz w:val="5"/>
                <w:szCs w:val="5"/>
                <w:color w:val="auto"/>
              </w:rPr>
            </w:pPr>
          </w:p>
        </w:tc>
        <w:tc>
          <w:tcPr>
            <w:tcW w:w="60" w:type="dxa"/>
            <w:vAlign w:val="bottom"/>
            <w:tcBorders>
              <w:top w:val="single" w:sz="8" w:color="325889"/>
              <w:bottom w:val="single" w:sz="8" w:color="98A3B8"/>
            </w:tcBorders>
          </w:tcPr>
          <w:p>
            <w:pPr>
              <w:spacing w:after="0"/>
              <w:rPr>
                <w:sz w:val="5"/>
                <w:szCs w:val="5"/>
                <w:color w:val="auto"/>
              </w:rPr>
            </w:pPr>
          </w:p>
        </w:tc>
        <w:tc>
          <w:tcPr>
            <w:tcW w:w="20" w:type="dxa"/>
            <w:vAlign w:val="bottom"/>
            <w:tcBorders>
              <w:top w:val="single" w:sz="8" w:color="325889"/>
              <w:bottom w:val="single" w:sz="8" w:color="98A3B8"/>
            </w:tcBorders>
          </w:tcPr>
          <w:p>
            <w:pPr>
              <w:spacing w:after="0"/>
              <w:rPr>
                <w:sz w:val="5"/>
                <w:szCs w:val="5"/>
                <w:color w:val="auto"/>
              </w:rPr>
            </w:pPr>
          </w:p>
        </w:tc>
        <w:tc>
          <w:tcPr>
            <w:tcW w:w="240" w:type="dxa"/>
            <w:vAlign w:val="bottom"/>
            <w:tcBorders>
              <w:top w:val="single" w:sz="8" w:color="325889"/>
              <w:bottom w:val="single" w:sz="8" w:color="98A3B8"/>
            </w:tcBorders>
          </w:tcPr>
          <w:p>
            <w:pPr>
              <w:spacing w:after="0"/>
              <w:rPr>
                <w:sz w:val="5"/>
                <w:szCs w:val="5"/>
                <w:color w:val="auto"/>
              </w:rPr>
            </w:pPr>
          </w:p>
        </w:tc>
        <w:tc>
          <w:tcPr>
            <w:tcW w:w="40" w:type="dxa"/>
            <w:vAlign w:val="bottom"/>
            <w:tcBorders>
              <w:top w:val="single" w:sz="8" w:color="325889"/>
              <w:bottom w:val="single" w:sz="8" w:color="98A3B8"/>
            </w:tcBorders>
          </w:tcPr>
          <w:p>
            <w:pPr>
              <w:spacing w:after="0"/>
              <w:rPr>
                <w:sz w:val="5"/>
                <w:szCs w:val="5"/>
                <w:color w:val="auto"/>
              </w:rPr>
            </w:pPr>
          </w:p>
        </w:tc>
        <w:tc>
          <w:tcPr>
            <w:tcW w:w="280" w:type="dxa"/>
            <w:vAlign w:val="bottom"/>
            <w:tcBorders>
              <w:top w:val="single" w:sz="8" w:color="325889"/>
              <w:bottom w:val="single" w:sz="8" w:color="98A3B8"/>
            </w:tcBorders>
          </w:tcPr>
          <w:p>
            <w:pPr>
              <w:spacing w:after="0"/>
              <w:rPr>
                <w:sz w:val="5"/>
                <w:szCs w:val="5"/>
                <w:color w:val="auto"/>
              </w:rPr>
            </w:pPr>
          </w:p>
        </w:tc>
        <w:tc>
          <w:tcPr>
            <w:tcW w:w="500" w:type="dxa"/>
            <w:vAlign w:val="bottom"/>
            <w:tcBorders>
              <w:top w:val="single" w:sz="8" w:color="325889"/>
              <w:bottom w:val="single" w:sz="8" w:color="98A3B8"/>
            </w:tcBorders>
          </w:tcPr>
          <w:p>
            <w:pPr>
              <w:spacing w:after="0"/>
              <w:rPr>
                <w:sz w:val="5"/>
                <w:szCs w:val="5"/>
                <w:color w:val="auto"/>
              </w:rPr>
            </w:pPr>
          </w:p>
        </w:tc>
        <w:tc>
          <w:tcPr>
            <w:tcW w:w="100" w:type="dxa"/>
            <w:vAlign w:val="bottom"/>
            <w:tcBorders>
              <w:top w:val="single" w:sz="8" w:color="325889"/>
              <w:bottom w:val="single" w:sz="8" w:color="98A3B8"/>
            </w:tcBorders>
          </w:tcPr>
          <w:p>
            <w:pPr>
              <w:spacing w:after="0"/>
              <w:rPr>
                <w:sz w:val="5"/>
                <w:szCs w:val="5"/>
                <w:color w:val="auto"/>
              </w:rPr>
            </w:pPr>
          </w:p>
        </w:tc>
        <w:tc>
          <w:tcPr>
            <w:tcW w:w="60" w:type="dxa"/>
            <w:vAlign w:val="bottom"/>
            <w:tcBorders>
              <w:top w:val="single" w:sz="8" w:color="325889"/>
              <w:bottom w:val="single" w:sz="8" w:color="98A3B8"/>
            </w:tcBorders>
          </w:tcPr>
          <w:p>
            <w:pPr>
              <w:spacing w:after="0"/>
              <w:rPr>
                <w:sz w:val="5"/>
                <w:szCs w:val="5"/>
                <w:color w:val="auto"/>
              </w:rPr>
            </w:pPr>
          </w:p>
        </w:tc>
        <w:tc>
          <w:tcPr>
            <w:tcW w:w="400" w:type="dxa"/>
            <w:vAlign w:val="bottom"/>
            <w:tcBorders>
              <w:top w:val="single" w:sz="8" w:color="325889"/>
              <w:bottom w:val="single" w:sz="8" w:color="98A3B8"/>
            </w:tcBorders>
          </w:tcPr>
          <w:p>
            <w:pPr>
              <w:spacing w:after="0"/>
              <w:rPr>
                <w:sz w:val="5"/>
                <w:szCs w:val="5"/>
                <w:color w:val="auto"/>
              </w:rPr>
            </w:pPr>
          </w:p>
        </w:tc>
        <w:tc>
          <w:tcPr>
            <w:tcW w:w="300" w:type="dxa"/>
            <w:vAlign w:val="bottom"/>
            <w:tcBorders>
              <w:top w:val="single" w:sz="8" w:color="325889"/>
              <w:bottom w:val="single" w:sz="8" w:color="98A3B8"/>
            </w:tcBorders>
          </w:tcPr>
          <w:p>
            <w:pPr>
              <w:spacing w:after="0"/>
              <w:rPr>
                <w:sz w:val="5"/>
                <w:szCs w:val="5"/>
                <w:color w:val="auto"/>
              </w:rPr>
            </w:pPr>
          </w:p>
        </w:tc>
        <w:tc>
          <w:tcPr>
            <w:tcW w:w="80" w:type="dxa"/>
            <w:vAlign w:val="bottom"/>
            <w:tcBorders>
              <w:top w:val="single" w:sz="8" w:color="325889"/>
              <w:bottom w:val="single" w:sz="8" w:color="98A3B8"/>
            </w:tcBorders>
          </w:tcPr>
          <w:p>
            <w:pPr>
              <w:spacing w:after="0"/>
              <w:rPr>
                <w:sz w:val="5"/>
                <w:szCs w:val="5"/>
                <w:color w:val="auto"/>
              </w:rPr>
            </w:pPr>
          </w:p>
        </w:tc>
        <w:tc>
          <w:tcPr>
            <w:tcW w:w="60" w:type="dxa"/>
            <w:vAlign w:val="bottom"/>
            <w:tcBorders>
              <w:top w:val="single" w:sz="8" w:color="325889"/>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120" w:type="dxa"/>
            <w:vAlign w:val="bottom"/>
            <w:tcBorders>
              <w:bottom w:val="single" w:sz="8" w:color="98A3B8"/>
            </w:tcBorders>
          </w:tcPr>
          <w:p>
            <w:pPr>
              <w:spacing w:after="0"/>
              <w:rPr>
                <w:sz w:val="5"/>
                <w:szCs w:val="5"/>
                <w:color w:val="auto"/>
              </w:rPr>
            </w:pPr>
          </w:p>
        </w:tc>
        <w:tc>
          <w:tcPr>
            <w:tcW w:w="40" w:type="dxa"/>
            <w:vAlign w:val="bottom"/>
            <w:tcBorders>
              <w:bottom w:val="single" w:sz="8" w:color="98A3B8"/>
            </w:tcBorders>
          </w:tcPr>
          <w:p>
            <w:pPr>
              <w:spacing w:after="0"/>
              <w:rPr>
                <w:sz w:val="5"/>
                <w:szCs w:val="5"/>
                <w:color w:val="auto"/>
              </w:rPr>
            </w:pPr>
          </w:p>
        </w:tc>
        <w:tc>
          <w:tcPr>
            <w:tcW w:w="1020" w:type="dxa"/>
            <w:vAlign w:val="bottom"/>
            <w:tcBorders>
              <w:bottom w:val="single" w:sz="8" w:color="98A3B8"/>
            </w:tcBorders>
          </w:tcPr>
          <w:p>
            <w:pPr>
              <w:spacing w:after="0"/>
              <w:rPr>
                <w:sz w:val="5"/>
                <w:szCs w:val="5"/>
                <w:color w:val="auto"/>
              </w:rPr>
            </w:pPr>
          </w:p>
        </w:tc>
        <w:tc>
          <w:tcPr>
            <w:tcW w:w="720" w:type="dxa"/>
            <w:vAlign w:val="bottom"/>
            <w:tcBorders>
              <w:bottom w:val="single" w:sz="8" w:color="98A3B8"/>
            </w:tcBorders>
          </w:tcPr>
          <w:p>
            <w:pPr>
              <w:spacing w:after="0"/>
              <w:rPr>
                <w:sz w:val="5"/>
                <w:szCs w:val="5"/>
                <w:color w:val="auto"/>
              </w:rPr>
            </w:pPr>
          </w:p>
        </w:tc>
        <w:tc>
          <w:tcPr>
            <w:tcW w:w="140" w:type="dxa"/>
            <w:vAlign w:val="bottom"/>
            <w:tcBorders>
              <w:bottom w:val="single" w:sz="8" w:color="98A3B8"/>
            </w:tcBorders>
          </w:tcPr>
          <w:p>
            <w:pPr>
              <w:spacing w:after="0"/>
              <w:rPr>
                <w:sz w:val="5"/>
                <w:szCs w:val="5"/>
                <w:color w:val="auto"/>
              </w:rPr>
            </w:pPr>
          </w:p>
        </w:tc>
        <w:tc>
          <w:tcPr>
            <w:tcW w:w="2760" w:type="dxa"/>
            <w:vAlign w:val="bottom"/>
            <w:tcBorders>
              <w:bottom w:val="single" w:sz="8" w:color="98A3B8"/>
            </w:tcBorders>
          </w:tcPr>
          <w:p>
            <w:pPr>
              <w:spacing w:after="0"/>
              <w:rPr>
                <w:sz w:val="5"/>
                <w:szCs w:val="5"/>
                <w:color w:val="auto"/>
              </w:rPr>
            </w:pPr>
          </w:p>
        </w:tc>
        <w:tc>
          <w:tcPr>
            <w:tcW w:w="800" w:type="dxa"/>
            <w:vAlign w:val="bottom"/>
            <w:tcBorders>
              <w:bottom w:val="single" w:sz="8" w:color="98A3B8"/>
            </w:tcBorders>
          </w:tcPr>
          <w:p>
            <w:pPr>
              <w:spacing w:after="0"/>
              <w:rPr>
                <w:sz w:val="5"/>
                <w:szCs w:val="5"/>
                <w:color w:val="auto"/>
              </w:rPr>
            </w:pPr>
          </w:p>
        </w:tc>
        <w:tc>
          <w:tcPr>
            <w:tcW w:w="820" w:type="dxa"/>
            <w:vAlign w:val="bottom"/>
            <w:tcBorders>
              <w:bottom w:val="single" w:sz="8" w:color="98A3B8"/>
            </w:tcBorders>
          </w:tcPr>
          <w:p>
            <w:pPr>
              <w:spacing w:after="0"/>
              <w:rPr>
                <w:sz w:val="5"/>
                <w:szCs w:val="5"/>
                <w:color w:val="auto"/>
              </w:rPr>
            </w:pPr>
          </w:p>
        </w:tc>
        <w:tc>
          <w:tcPr>
            <w:tcW w:w="80" w:type="dxa"/>
            <w:vAlign w:val="bottom"/>
            <w:tcBorders>
              <w:bottom w:val="single" w:sz="8" w:color="98A3B8"/>
            </w:tcBorders>
          </w:tcPr>
          <w:p>
            <w:pPr>
              <w:spacing w:after="0"/>
              <w:rPr>
                <w:sz w:val="5"/>
                <w:szCs w:val="5"/>
                <w:color w:val="auto"/>
              </w:rPr>
            </w:pPr>
          </w:p>
        </w:tc>
        <w:tc>
          <w:tcPr>
            <w:tcW w:w="80" w:type="dxa"/>
            <w:vAlign w:val="bottom"/>
            <w:tcBorders>
              <w:bottom w:val="single" w:sz="8" w:color="98A3B8"/>
            </w:tcBorders>
          </w:tcPr>
          <w:p>
            <w:pPr>
              <w:spacing w:after="0"/>
              <w:rPr>
                <w:sz w:val="5"/>
                <w:szCs w:val="5"/>
                <w:color w:val="auto"/>
              </w:rPr>
            </w:pPr>
          </w:p>
        </w:tc>
        <w:tc>
          <w:tcPr>
            <w:tcW w:w="100" w:type="dxa"/>
            <w:vAlign w:val="bottom"/>
            <w:tcBorders>
              <w:top w:val="single" w:sz="8" w:color="0000EE"/>
              <w:bottom w:val="single" w:sz="8" w:color="98A3B8"/>
            </w:tcBorders>
          </w:tcPr>
          <w:p>
            <w:pPr>
              <w:spacing w:after="0"/>
              <w:rPr>
                <w:sz w:val="5"/>
                <w:szCs w:val="5"/>
                <w:color w:val="auto"/>
              </w:rPr>
            </w:pPr>
          </w:p>
        </w:tc>
      </w:tr>
      <w:tr>
        <w:trPr>
          <w:trHeight w:val="194"/>
        </w:trPr>
        <w:tc>
          <w:tcPr>
            <w:tcW w:w="10360" w:type="dxa"/>
            <w:vAlign w:val="bottom"/>
            <w:gridSpan w:val="38"/>
          </w:tcPr>
          <w:p>
            <w:pPr>
              <w:spacing w:after="0"/>
              <w:rPr>
                <w:rFonts w:ascii="Arial" w:cs="Arial" w:eastAsia="Arial" w:hAnsi="Arial"/>
                <w:sz w:val="15"/>
                <w:szCs w:val="15"/>
                <w:b w:val="1"/>
                <w:bCs w:val="1"/>
                <w:color w:val="0000EE"/>
              </w:rPr>
            </w:pPr>
            <w:hyperlink w:anchor="page8">
              <w:r>
                <w:rPr>
                  <w:rFonts w:ascii="Arial" w:cs="Arial" w:eastAsia="Arial" w:hAnsi="Arial"/>
                  <w:sz w:val="15"/>
                  <w:szCs w:val="15"/>
                  <w:b w:val="1"/>
                  <w:bCs w:val="1"/>
                  <w:color w:val="0000EE"/>
                </w:rPr>
                <w:t>Proposal 1: Election of Directors</w:t>
              </w:r>
            </w:hyperlink>
          </w:p>
        </w:tc>
        <w:tc>
          <w:tcPr>
            <w:tcW w:w="1080" w:type="dxa"/>
            <w:vAlign w:val="bottom"/>
            <w:gridSpan w:val="4"/>
          </w:tcPr>
          <w:p>
            <w:pPr>
              <w:jc w:val="right"/>
              <w:spacing w:after="0"/>
              <w:rPr>
                <w:rFonts w:ascii="Arial" w:cs="Arial" w:eastAsia="Arial" w:hAnsi="Arial"/>
                <w:sz w:val="15"/>
                <w:szCs w:val="15"/>
                <w:b w:val="1"/>
                <w:bCs w:val="1"/>
                <w:color w:val="0000EE"/>
              </w:rPr>
            </w:pPr>
            <w:hyperlink w:anchor="page8">
              <w:r>
                <w:rPr>
                  <w:rFonts w:ascii="Arial" w:cs="Arial" w:eastAsia="Arial" w:hAnsi="Arial"/>
                  <w:sz w:val="15"/>
                  <w:szCs w:val="15"/>
                  <w:b w:val="1"/>
                  <w:bCs w:val="1"/>
                  <w:color w:val="0000EE"/>
                </w:rPr>
                <w:t>6</w:t>
              </w:r>
            </w:hyperlink>
          </w:p>
        </w:tc>
      </w:tr>
      <w:tr>
        <w:trPr>
          <w:trHeight w:val="20"/>
        </w:trPr>
        <w:tc>
          <w:tcPr>
            <w:tcW w:w="6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65"/>
        </w:trPr>
        <w:tc>
          <w:tcPr>
            <w:tcW w:w="10360" w:type="dxa"/>
            <w:vAlign w:val="bottom"/>
            <w:gridSpan w:val="38"/>
          </w:tcPr>
          <w:p>
            <w:pPr>
              <w:spacing w:after="0"/>
              <w:rPr>
                <w:rFonts w:ascii="Arial" w:cs="Arial" w:eastAsia="Arial" w:hAnsi="Arial"/>
                <w:sz w:val="15"/>
                <w:szCs w:val="15"/>
                <w:b w:val="1"/>
                <w:bCs w:val="1"/>
                <w:color w:val="0000EE"/>
              </w:rPr>
            </w:pPr>
            <w:hyperlink w:anchor="page15">
              <w:r>
                <w:rPr>
                  <w:rFonts w:ascii="Arial" w:cs="Arial" w:eastAsia="Arial" w:hAnsi="Arial"/>
                  <w:sz w:val="15"/>
                  <w:szCs w:val="15"/>
                  <w:b w:val="1"/>
                  <w:bCs w:val="1"/>
                  <w:color w:val="0000EE"/>
                </w:rPr>
                <w:t>Board Structure and Independence</w:t>
              </w:r>
            </w:hyperlink>
          </w:p>
        </w:tc>
        <w:tc>
          <w:tcPr>
            <w:tcW w:w="1080" w:type="dxa"/>
            <w:vAlign w:val="bottom"/>
            <w:gridSpan w:val="4"/>
          </w:tcPr>
          <w:p>
            <w:pPr>
              <w:jc w:val="right"/>
              <w:spacing w:after="0"/>
              <w:rPr>
                <w:rFonts w:ascii="Arial" w:cs="Arial" w:eastAsia="Arial" w:hAnsi="Arial"/>
                <w:sz w:val="15"/>
                <w:szCs w:val="15"/>
                <w:b w:val="1"/>
                <w:bCs w:val="1"/>
                <w:color w:val="0000EE"/>
              </w:rPr>
            </w:pPr>
            <w:hyperlink w:anchor="page15">
              <w:r>
                <w:rPr>
                  <w:rFonts w:ascii="Arial" w:cs="Arial" w:eastAsia="Arial" w:hAnsi="Arial"/>
                  <w:sz w:val="15"/>
                  <w:szCs w:val="15"/>
                  <w:b w:val="1"/>
                  <w:bCs w:val="1"/>
                  <w:color w:val="0000EE"/>
                </w:rPr>
                <w:t>13</w:t>
              </w:r>
            </w:hyperlink>
          </w:p>
        </w:tc>
      </w:tr>
      <w:tr>
        <w:trPr>
          <w:trHeight w:val="265"/>
        </w:trPr>
        <w:tc>
          <w:tcPr>
            <w:tcW w:w="2560" w:type="dxa"/>
            <w:vAlign w:val="bottom"/>
            <w:tcBorders>
              <w:top w:val="single" w:sz="8" w:color="0000EE"/>
            </w:tcBorders>
            <w:gridSpan w:val="18"/>
          </w:tcPr>
          <w:p>
            <w:pPr>
              <w:spacing w:after="0"/>
              <w:rPr>
                <w:rFonts w:ascii="Arial" w:cs="Arial" w:eastAsia="Arial" w:hAnsi="Arial"/>
                <w:sz w:val="15"/>
                <w:szCs w:val="15"/>
                <w:b w:val="1"/>
                <w:bCs w:val="1"/>
                <w:color w:val="0000EE"/>
              </w:rPr>
            </w:pPr>
            <w:hyperlink w:anchor="page16">
              <w:r>
                <w:rPr>
                  <w:rFonts w:ascii="Arial" w:cs="Arial" w:eastAsia="Arial" w:hAnsi="Arial"/>
                  <w:sz w:val="15"/>
                  <w:szCs w:val="15"/>
                  <w:b w:val="1"/>
                  <w:bCs w:val="1"/>
                  <w:color w:val="0000EE"/>
                </w:rPr>
                <w:t>Board Committees</w:t>
              </w:r>
            </w:hyperlink>
          </w:p>
        </w:tc>
        <w:tc>
          <w:tcPr>
            <w:tcW w:w="7800" w:type="dxa"/>
            <w:vAlign w:val="bottom"/>
            <w:gridSpan w:val="20"/>
          </w:tcPr>
          <w:p>
            <w:pPr>
              <w:spacing w:after="0"/>
              <w:rPr>
                <w:sz w:val="23"/>
                <w:szCs w:val="23"/>
                <w:color w:val="auto"/>
              </w:rPr>
            </w:pPr>
          </w:p>
        </w:tc>
        <w:tc>
          <w:tcPr>
            <w:tcW w:w="900" w:type="dxa"/>
            <w:vAlign w:val="bottom"/>
            <w:gridSpan w:val="2"/>
          </w:tcPr>
          <w:p>
            <w:pPr>
              <w:spacing w:after="0"/>
              <w:rPr>
                <w:sz w:val="23"/>
                <w:szCs w:val="23"/>
                <w:color w:val="auto"/>
              </w:rPr>
            </w:pPr>
          </w:p>
        </w:tc>
        <w:tc>
          <w:tcPr>
            <w:tcW w:w="180" w:type="dxa"/>
            <w:vAlign w:val="bottom"/>
            <w:tcBorders>
              <w:top w:val="single" w:sz="8" w:color="0000EE"/>
            </w:tcBorders>
            <w:gridSpan w:val="2"/>
          </w:tcPr>
          <w:p>
            <w:pPr>
              <w:jc w:val="right"/>
              <w:spacing w:after="0"/>
              <w:rPr>
                <w:rFonts w:ascii="Arial" w:cs="Arial" w:eastAsia="Arial" w:hAnsi="Arial"/>
                <w:sz w:val="15"/>
                <w:szCs w:val="15"/>
                <w:b w:val="1"/>
                <w:bCs w:val="1"/>
                <w:color w:val="0000EE"/>
                <w:w w:val="95"/>
              </w:rPr>
            </w:pPr>
            <w:hyperlink w:anchor="page16">
              <w:r>
                <w:rPr>
                  <w:rFonts w:ascii="Arial" w:cs="Arial" w:eastAsia="Arial" w:hAnsi="Arial"/>
                  <w:sz w:val="15"/>
                  <w:szCs w:val="15"/>
                  <w:b w:val="1"/>
                  <w:bCs w:val="1"/>
                  <w:color w:val="0000EE"/>
                  <w:w w:val="95"/>
                </w:rPr>
                <w:t>14</w:t>
              </w:r>
            </w:hyperlink>
          </w:p>
        </w:tc>
      </w:tr>
      <w:tr>
        <w:trPr>
          <w:trHeight w:val="20"/>
        </w:trPr>
        <w:tc>
          <w:tcPr>
            <w:tcW w:w="6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65"/>
        </w:trPr>
        <w:tc>
          <w:tcPr>
            <w:tcW w:w="10360" w:type="dxa"/>
            <w:vAlign w:val="bottom"/>
            <w:gridSpan w:val="38"/>
          </w:tcPr>
          <w:p>
            <w:pPr>
              <w:spacing w:after="0"/>
              <w:rPr>
                <w:rFonts w:ascii="Arial" w:cs="Arial" w:eastAsia="Arial" w:hAnsi="Arial"/>
                <w:sz w:val="15"/>
                <w:szCs w:val="15"/>
                <w:b w:val="1"/>
                <w:bCs w:val="1"/>
                <w:color w:val="0000EE"/>
              </w:rPr>
            </w:pPr>
            <w:hyperlink w:anchor="page18">
              <w:r>
                <w:rPr>
                  <w:rFonts w:ascii="Arial" w:cs="Arial" w:eastAsia="Arial" w:hAnsi="Arial"/>
                  <w:sz w:val="15"/>
                  <w:szCs w:val="15"/>
                  <w:b w:val="1"/>
                  <w:bCs w:val="1"/>
                  <w:color w:val="0000EE"/>
                </w:rPr>
                <w:t>Corporate Governance</w:t>
              </w:r>
            </w:hyperlink>
          </w:p>
        </w:tc>
        <w:tc>
          <w:tcPr>
            <w:tcW w:w="1080" w:type="dxa"/>
            <w:vAlign w:val="bottom"/>
            <w:gridSpan w:val="4"/>
          </w:tcPr>
          <w:p>
            <w:pPr>
              <w:jc w:val="right"/>
              <w:spacing w:after="0"/>
              <w:rPr>
                <w:rFonts w:ascii="Arial" w:cs="Arial" w:eastAsia="Arial" w:hAnsi="Arial"/>
                <w:sz w:val="15"/>
                <w:szCs w:val="15"/>
                <w:b w:val="1"/>
                <w:bCs w:val="1"/>
                <w:color w:val="0000EE"/>
              </w:rPr>
            </w:pPr>
            <w:hyperlink w:anchor="page18">
              <w:r>
                <w:rPr>
                  <w:rFonts w:ascii="Arial" w:cs="Arial" w:eastAsia="Arial" w:hAnsi="Arial"/>
                  <w:sz w:val="15"/>
                  <w:szCs w:val="15"/>
                  <w:b w:val="1"/>
                  <w:bCs w:val="1"/>
                  <w:color w:val="0000EE"/>
                </w:rPr>
                <w:t>16</w:t>
              </w:r>
            </w:hyperlink>
          </w:p>
        </w:tc>
      </w:tr>
      <w:tr>
        <w:trPr>
          <w:trHeight w:val="20"/>
        </w:trPr>
        <w:tc>
          <w:tcPr>
            <w:tcW w:w="6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65"/>
        </w:trPr>
        <w:tc>
          <w:tcPr>
            <w:tcW w:w="10360" w:type="dxa"/>
            <w:vAlign w:val="bottom"/>
            <w:gridSpan w:val="38"/>
          </w:tcPr>
          <w:p>
            <w:pPr>
              <w:spacing w:after="0"/>
              <w:rPr>
                <w:rFonts w:ascii="Arial" w:cs="Arial" w:eastAsia="Arial" w:hAnsi="Arial"/>
                <w:sz w:val="15"/>
                <w:szCs w:val="15"/>
                <w:b w:val="1"/>
                <w:bCs w:val="1"/>
                <w:color w:val="0000EE"/>
              </w:rPr>
            </w:pPr>
            <w:hyperlink w:anchor="page20">
              <w:r>
                <w:rPr>
                  <w:rFonts w:ascii="Arial" w:cs="Arial" w:eastAsia="Arial" w:hAnsi="Arial"/>
                  <w:sz w:val="15"/>
                  <w:szCs w:val="15"/>
                  <w:b w:val="1"/>
                  <w:bCs w:val="1"/>
                  <w:color w:val="0000EE"/>
                </w:rPr>
                <w:t>Director Compensation</w:t>
              </w:r>
            </w:hyperlink>
          </w:p>
        </w:tc>
        <w:tc>
          <w:tcPr>
            <w:tcW w:w="1080" w:type="dxa"/>
            <w:vAlign w:val="bottom"/>
            <w:gridSpan w:val="4"/>
          </w:tcPr>
          <w:p>
            <w:pPr>
              <w:jc w:val="right"/>
              <w:spacing w:after="0"/>
              <w:rPr>
                <w:rFonts w:ascii="Arial" w:cs="Arial" w:eastAsia="Arial" w:hAnsi="Arial"/>
                <w:sz w:val="15"/>
                <w:szCs w:val="15"/>
                <w:b w:val="1"/>
                <w:bCs w:val="1"/>
                <w:color w:val="0000EE"/>
              </w:rPr>
            </w:pPr>
            <w:hyperlink w:anchor="page20">
              <w:r>
                <w:rPr>
                  <w:rFonts w:ascii="Arial" w:cs="Arial" w:eastAsia="Arial" w:hAnsi="Arial"/>
                  <w:sz w:val="15"/>
                  <w:szCs w:val="15"/>
                  <w:b w:val="1"/>
                  <w:bCs w:val="1"/>
                  <w:color w:val="0000EE"/>
                </w:rPr>
                <w:t>18</w:t>
              </w:r>
            </w:hyperlink>
          </w:p>
        </w:tc>
      </w:tr>
      <w:tr>
        <w:trPr>
          <w:trHeight w:val="265"/>
        </w:trPr>
        <w:tc>
          <w:tcPr>
            <w:tcW w:w="1700" w:type="dxa"/>
            <w:vAlign w:val="bottom"/>
            <w:tcBorders>
              <w:top w:val="single" w:sz="8" w:color="0000EE"/>
            </w:tcBorders>
            <w:gridSpan w:val="9"/>
          </w:tcPr>
          <w:p>
            <w:pPr>
              <w:spacing w:after="0"/>
              <w:rPr>
                <w:rFonts w:ascii="Arial" w:cs="Arial" w:eastAsia="Arial" w:hAnsi="Arial"/>
                <w:sz w:val="15"/>
                <w:szCs w:val="15"/>
                <w:b w:val="1"/>
                <w:bCs w:val="1"/>
                <w:color w:val="0000EE"/>
              </w:rPr>
            </w:pPr>
            <w:hyperlink w:anchor="page22">
              <w:r>
                <w:rPr>
                  <w:rFonts w:ascii="Arial" w:cs="Arial" w:eastAsia="Arial" w:hAnsi="Arial"/>
                  <w:sz w:val="15"/>
                  <w:szCs w:val="15"/>
                  <w:b w:val="1"/>
                  <w:bCs w:val="1"/>
                  <w:color w:val="0000EE"/>
                </w:rPr>
                <w:t>Executive Officers</w:t>
              </w:r>
            </w:hyperlink>
          </w:p>
        </w:tc>
        <w:tc>
          <w:tcPr>
            <w:tcW w:w="8660" w:type="dxa"/>
            <w:vAlign w:val="bottom"/>
            <w:gridSpan w:val="29"/>
          </w:tcPr>
          <w:p>
            <w:pPr>
              <w:spacing w:after="0"/>
              <w:rPr>
                <w:sz w:val="23"/>
                <w:szCs w:val="23"/>
                <w:color w:val="auto"/>
              </w:rPr>
            </w:pPr>
          </w:p>
        </w:tc>
        <w:tc>
          <w:tcPr>
            <w:tcW w:w="900" w:type="dxa"/>
            <w:vAlign w:val="bottom"/>
            <w:gridSpan w:val="2"/>
          </w:tcPr>
          <w:p>
            <w:pPr>
              <w:spacing w:after="0"/>
              <w:rPr>
                <w:sz w:val="23"/>
                <w:szCs w:val="23"/>
                <w:color w:val="auto"/>
              </w:rPr>
            </w:pPr>
          </w:p>
        </w:tc>
        <w:tc>
          <w:tcPr>
            <w:tcW w:w="180" w:type="dxa"/>
            <w:vAlign w:val="bottom"/>
            <w:tcBorders>
              <w:top w:val="single" w:sz="8" w:color="0000EE"/>
            </w:tcBorders>
            <w:gridSpan w:val="2"/>
          </w:tcPr>
          <w:p>
            <w:pPr>
              <w:jc w:val="right"/>
              <w:spacing w:after="0"/>
              <w:rPr>
                <w:rFonts w:ascii="Arial" w:cs="Arial" w:eastAsia="Arial" w:hAnsi="Arial"/>
                <w:sz w:val="15"/>
                <w:szCs w:val="15"/>
                <w:b w:val="1"/>
                <w:bCs w:val="1"/>
                <w:color w:val="0000EE"/>
                <w:w w:val="95"/>
              </w:rPr>
            </w:pPr>
            <w:hyperlink w:anchor="page22">
              <w:r>
                <w:rPr>
                  <w:rFonts w:ascii="Arial" w:cs="Arial" w:eastAsia="Arial" w:hAnsi="Arial"/>
                  <w:sz w:val="15"/>
                  <w:szCs w:val="15"/>
                  <w:b w:val="1"/>
                  <w:bCs w:val="1"/>
                  <w:color w:val="0000EE"/>
                  <w:w w:val="95"/>
                </w:rPr>
                <w:t>20</w:t>
              </w:r>
            </w:hyperlink>
          </w:p>
        </w:tc>
      </w:tr>
      <w:tr>
        <w:trPr>
          <w:trHeight w:val="20"/>
        </w:trPr>
        <w:tc>
          <w:tcPr>
            <w:tcW w:w="6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65"/>
        </w:trPr>
        <w:tc>
          <w:tcPr>
            <w:tcW w:w="10360" w:type="dxa"/>
            <w:vAlign w:val="bottom"/>
            <w:gridSpan w:val="38"/>
          </w:tcPr>
          <w:p>
            <w:pPr>
              <w:spacing w:after="0"/>
              <w:rPr>
                <w:rFonts w:ascii="Arial" w:cs="Arial" w:eastAsia="Arial" w:hAnsi="Arial"/>
                <w:sz w:val="15"/>
                <w:szCs w:val="15"/>
                <w:b w:val="1"/>
                <w:bCs w:val="1"/>
                <w:color w:val="325889"/>
              </w:rPr>
            </w:pPr>
            <w:hyperlink w:anchor="page23">
              <w:r>
                <w:rPr>
                  <w:rFonts w:ascii="Arial" w:cs="Arial" w:eastAsia="Arial" w:hAnsi="Arial"/>
                  <w:sz w:val="15"/>
                  <w:szCs w:val="15"/>
                  <w:b w:val="1"/>
                  <w:bCs w:val="1"/>
                  <w:color w:val="325889"/>
                </w:rPr>
                <w:t>EXECUTIVE COMPENSATION</w:t>
              </w:r>
            </w:hyperlink>
          </w:p>
        </w:tc>
        <w:tc>
          <w:tcPr>
            <w:tcW w:w="1080" w:type="dxa"/>
            <w:vAlign w:val="bottom"/>
            <w:gridSpan w:val="4"/>
          </w:tcPr>
          <w:p>
            <w:pPr>
              <w:jc w:val="right"/>
              <w:spacing w:after="0"/>
              <w:rPr>
                <w:rFonts w:ascii="Arial" w:cs="Arial" w:eastAsia="Arial" w:hAnsi="Arial"/>
                <w:sz w:val="15"/>
                <w:szCs w:val="15"/>
                <w:b w:val="1"/>
                <w:bCs w:val="1"/>
                <w:color w:val="0000EE"/>
              </w:rPr>
            </w:pPr>
            <w:hyperlink w:anchor="page23">
              <w:r>
                <w:rPr>
                  <w:rFonts w:ascii="Arial" w:cs="Arial" w:eastAsia="Arial" w:hAnsi="Arial"/>
                  <w:sz w:val="15"/>
                  <w:szCs w:val="15"/>
                  <w:b w:val="1"/>
                  <w:bCs w:val="1"/>
                  <w:color w:val="0000EE"/>
                </w:rPr>
                <w:t>21</w:t>
              </w:r>
            </w:hyperlink>
          </w:p>
        </w:tc>
      </w:tr>
      <w:tr>
        <w:trPr>
          <w:trHeight w:val="63"/>
        </w:trPr>
        <w:tc>
          <w:tcPr>
            <w:tcW w:w="680" w:type="dxa"/>
            <w:vAlign w:val="bottom"/>
            <w:tcBorders>
              <w:top w:val="single" w:sz="8" w:color="325889"/>
              <w:bottom w:val="single" w:sz="8" w:color="98A3B8"/>
            </w:tcBorders>
          </w:tcPr>
          <w:p>
            <w:pPr>
              <w:spacing w:after="0"/>
              <w:rPr>
                <w:sz w:val="5"/>
                <w:szCs w:val="5"/>
                <w:color w:val="auto"/>
              </w:rPr>
            </w:pPr>
          </w:p>
        </w:tc>
        <w:tc>
          <w:tcPr>
            <w:tcW w:w="320" w:type="dxa"/>
            <w:vAlign w:val="bottom"/>
            <w:tcBorders>
              <w:top w:val="single" w:sz="8" w:color="325889"/>
              <w:bottom w:val="single" w:sz="8" w:color="98A3B8"/>
            </w:tcBorders>
          </w:tcPr>
          <w:p>
            <w:pPr>
              <w:spacing w:after="0"/>
              <w:rPr>
                <w:sz w:val="5"/>
                <w:szCs w:val="5"/>
                <w:color w:val="auto"/>
              </w:rPr>
            </w:pPr>
          </w:p>
        </w:tc>
        <w:tc>
          <w:tcPr>
            <w:tcW w:w="20" w:type="dxa"/>
            <w:vAlign w:val="bottom"/>
            <w:tcBorders>
              <w:top w:val="single" w:sz="8" w:color="325889"/>
              <w:bottom w:val="single" w:sz="8" w:color="98A3B8"/>
            </w:tcBorders>
          </w:tcPr>
          <w:p>
            <w:pPr>
              <w:spacing w:after="0"/>
              <w:rPr>
                <w:sz w:val="5"/>
                <w:szCs w:val="5"/>
                <w:color w:val="auto"/>
              </w:rPr>
            </w:pPr>
          </w:p>
        </w:tc>
        <w:tc>
          <w:tcPr>
            <w:tcW w:w="80" w:type="dxa"/>
            <w:vAlign w:val="bottom"/>
            <w:tcBorders>
              <w:top w:val="single" w:sz="8" w:color="325889"/>
              <w:bottom w:val="single" w:sz="8" w:color="98A3B8"/>
            </w:tcBorders>
          </w:tcPr>
          <w:p>
            <w:pPr>
              <w:spacing w:after="0"/>
              <w:rPr>
                <w:sz w:val="5"/>
                <w:szCs w:val="5"/>
                <w:color w:val="auto"/>
              </w:rPr>
            </w:pPr>
          </w:p>
        </w:tc>
        <w:tc>
          <w:tcPr>
            <w:tcW w:w="180" w:type="dxa"/>
            <w:vAlign w:val="bottom"/>
            <w:tcBorders>
              <w:top w:val="single" w:sz="8" w:color="325889"/>
              <w:bottom w:val="single" w:sz="8" w:color="98A3B8"/>
            </w:tcBorders>
          </w:tcPr>
          <w:p>
            <w:pPr>
              <w:spacing w:after="0"/>
              <w:rPr>
                <w:sz w:val="5"/>
                <w:szCs w:val="5"/>
                <w:color w:val="auto"/>
              </w:rPr>
            </w:pPr>
          </w:p>
        </w:tc>
        <w:tc>
          <w:tcPr>
            <w:tcW w:w="80" w:type="dxa"/>
            <w:vAlign w:val="bottom"/>
            <w:tcBorders>
              <w:top w:val="single" w:sz="8" w:color="325889"/>
              <w:bottom w:val="single" w:sz="8" w:color="98A3B8"/>
            </w:tcBorders>
          </w:tcPr>
          <w:p>
            <w:pPr>
              <w:spacing w:after="0"/>
              <w:rPr>
                <w:sz w:val="5"/>
                <w:szCs w:val="5"/>
                <w:color w:val="auto"/>
              </w:rPr>
            </w:pPr>
          </w:p>
        </w:tc>
        <w:tc>
          <w:tcPr>
            <w:tcW w:w="120" w:type="dxa"/>
            <w:vAlign w:val="bottom"/>
            <w:tcBorders>
              <w:top w:val="single" w:sz="8" w:color="325889"/>
              <w:bottom w:val="single" w:sz="8" w:color="98A3B8"/>
            </w:tcBorders>
          </w:tcPr>
          <w:p>
            <w:pPr>
              <w:spacing w:after="0"/>
              <w:rPr>
                <w:sz w:val="5"/>
                <w:szCs w:val="5"/>
                <w:color w:val="auto"/>
              </w:rPr>
            </w:pPr>
          </w:p>
        </w:tc>
        <w:tc>
          <w:tcPr>
            <w:tcW w:w="180" w:type="dxa"/>
            <w:vAlign w:val="bottom"/>
            <w:tcBorders>
              <w:top w:val="single" w:sz="8" w:color="325889"/>
              <w:bottom w:val="single" w:sz="8" w:color="98A3B8"/>
            </w:tcBorders>
          </w:tcPr>
          <w:p>
            <w:pPr>
              <w:spacing w:after="0"/>
              <w:rPr>
                <w:sz w:val="5"/>
                <w:szCs w:val="5"/>
                <w:color w:val="auto"/>
              </w:rPr>
            </w:pPr>
          </w:p>
        </w:tc>
        <w:tc>
          <w:tcPr>
            <w:tcW w:w="40" w:type="dxa"/>
            <w:vAlign w:val="bottom"/>
            <w:tcBorders>
              <w:top w:val="single" w:sz="8" w:color="325889"/>
              <w:bottom w:val="single" w:sz="8" w:color="98A3B8"/>
            </w:tcBorders>
          </w:tcPr>
          <w:p>
            <w:pPr>
              <w:spacing w:after="0"/>
              <w:rPr>
                <w:sz w:val="5"/>
                <w:szCs w:val="5"/>
                <w:color w:val="auto"/>
              </w:rPr>
            </w:pPr>
          </w:p>
        </w:tc>
        <w:tc>
          <w:tcPr>
            <w:tcW w:w="60" w:type="dxa"/>
            <w:vAlign w:val="bottom"/>
            <w:tcBorders>
              <w:top w:val="single" w:sz="8" w:color="325889"/>
              <w:bottom w:val="single" w:sz="8" w:color="98A3B8"/>
            </w:tcBorders>
          </w:tcPr>
          <w:p>
            <w:pPr>
              <w:spacing w:after="0"/>
              <w:rPr>
                <w:sz w:val="5"/>
                <w:szCs w:val="5"/>
                <w:color w:val="auto"/>
              </w:rPr>
            </w:pPr>
          </w:p>
        </w:tc>
        <w:tc>
          <w:tcPr>
            <w:tcW w:w="40" w:type="dxa"/>
            <w:vAlign w:val="bottom"/>
            <w:tcBorders>
              <w:top w:val="single" w:sz="8" w:color="325889"/>
              <w:bottom w:val="single" w:sz="8" w:color="98A3B8"/>
            </w:tcBorders>
          </w:tcPr>
          <w:p>
            <w:pPr>
              <w:spacing w:after="0"/>
              <w:rPr>
                <w:sz w:val="5"/>
                <w:szCs w:val="5"/>
                <w:color w:val="auto"/>
              </w:rPr>
            </w:pPr>
          </w:p>
        </w:tc>
        <w:tc>
          <w:tcPr>
            <w:tcW w:w="300" w:type="dxa"/>
            <w:vAlign w:val="bottom"/>
            <w:tcBorders>
              <w:top w:val="single" w:sz="8" w:color="325889"/>
              <w:bottom w:val="single" w:sz="8" w:color="98A3B8"/>
            </w:tcBorders>
          </w:tcPr>
          <w:p>
            <w:pPr>
              <w:spacing w:after="0"/>
              <w:rPr>
                <w:sz w:val="5"/>
                <w:szCs w:val="5"/>
                <w:color w:val="auto"/>
              </w:rPr>
            </w:pPr>
          </w:p>
        </w:tc>
        <w:tc>
          <w:tcPr>
            <w:tcW w:w="60" w:type="dxa"/>
            <w:vAlign w:val="bottom"/>
            <w:tcBorders>
              <w:top w:val="single" w:sz="8" w:color="325889"/>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160" w:type="dxa"/>
            <w:vAlign w:val="bottom"/>
            <w:tcBorders>
              <w:bottom w:val="single" w:sz="8" w:color="98A3B8"/>
            </w:tcBorders>
          </w:tcPr>
          <w:p>
            <w:pPr>
              <w:spacing w:after="0"/>
              <w:rPr>
                <w:sz w:val="5"/>
                <w:szCs w:val="5"/>
                <w:color w:val="auto"/>
              </w:rPr>
            </w:pPr>
          </w:p>
        </w:tc>
        <w:tc>
          <w:tcPr>
            <w:tcW w:w="80" w:type="dxa"/>
            <w:vAlign w:val="bottom"/>
            <w:tcBorders>
              <w:bottom w:val="single" w:sz="8" w:color="98A3B8"/>
            </w:tcBorders>
          </w:tcPr>
          <w:p>
            <w:pPr>
              <w:spacing w:after="0"/>
              <w:rPr>
                <w:sz w:val="5"/>
                <w:szCs w:val="5"/>
                <w:color w:val="auto"/>
              </w:rPr>
            </w:pPr>
          </w:p>
        </w:tc>
        <w:tc>
          <w:tcPr>
            <w:tcW w:w="40" w:type="dxa"/>
            <w:vAlign w:val="bottom"/>
            <w:tcBorders>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20" w:type="dxa"/>
            <w:vAlign w:val="bottom"/>
            <w:tcBorders>
              <w:bottom w:val="single" w:sz="8" w:color="98A3B8"/>
            </w:tcBorders>
          </w:tcPr>
          <w:p>
            <w:pPr>
              <w:spacing w:after="0"/>
              <w:rPr>
                <w:sz w:val="5"/>
                <w:szCs w:val="5"/>
                <w:color w:val="auto"/>
              </w:rPr>
            </w:pPr>
          </w:p>
        </w:tc>
        <w:tc>
          <w:tcPr>
            <w:tcW w:w="240" w:type="dxa"/>
            <w:vAlign w:val="bottom"/>
            <w:tcBorders>
              <w:bottom w:val="single" w:sz="8" w:color="98A3B8"/>
            </w:tcBorders>
          </w:tcPr>
          <w:p>
            <w:pPr>
              <w:spacing w:after="0"/>
              <w:rPr>
                <w:sz w:val="5"/>
                <w:szCs w:val="5"/>
                <w:color w:val="auto"/>
              </w:rPr>
            </w:pPr>
          </w:p>
        </w:tc>
        <w:tc>
          <w:tcPr>
            <w:tcW w:w="40" w:type="dxa"/>
            <w:vAlign w:val="bottom"/>
            <w:tcBorders>
              <w:bottom w:val="single" w:sz="8" w:color="98A3B8"/>
            </w:tcBorders>
          </w:tcPr>
          <w:p>
            <w:pPr>
              <w:spacing w:after="0"/>
              <w:rPr>
                <w:sz w:val="5"/>
                <w:szCs w:val="5"/>
                <w:color w:val="auto"/>
              </w:rPr>
            </w:pPr>
          </w:p>
        </w:tc>
        <w:tc>
          <w:tcPr>
            <w:tcW w:w="280" w:type="dxa"/>
            <w:vAlign w:val="bottom"/>
            <w:tcBorders>
              <w:bottom w:val="single" w:sz="8" w:color="98A3B8"/>
            </w:tcBorders>
          </w:tcPr>
          <w:p>
            <w:pPr>
              <w:spacing w:after="0"/>
              <w:rPr>
                <w:sz w:val="5"/>
                <w:szCs w:val="5"/>
                <w:color w:val="auto"/>
              </w:rPr>
            </w:pPr>
          </w:p>
        </w:tc>
        <w:tc>
          <w:tcPr>
            <w:tcW w:w="500" w:type="dxa"/>
            <w:vAlign w:val="bottom"/>
            <w:tcBorders>
              <w:bottom w:val="single" w:sz="8" w:color="98A3B8"/>
            </w:tcBorders>
          </w:tcPr>
          <w:p>
            <w:pPr>
              <w:spacing w:after="0"/>
              <w:rPr>
                <w:sz w:val="5"/>
                <w:szCs w:val="5"/>
                <w:color w:val="auto"/>
              </w:rPr>
            </w:pPr>
          </w:p>
        </w:tc>
        <w:tc>
          <w:tcPr>
            <w:tcW w:w="100" w:type="dxa"/>
            <w:vAlign w:val="bottom"/>
            <w:tcBorders>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400" w:type="dxa"/>
            <w:vAlign w:val="bottom"/>
            <w:tcBorders>
              <w:bottom w:val="single" w:sz="8" w:color="98A3B8"/>
            </w:tcBorders>
          </w:tcPr>
          <w:p>
            <w:pPr>
              <w:spacing w:after="0"/>
              <w:rPr>
                <w:sz w:val="5"/>
                <w:szCs w:val="5"/>
                <w:color w:val="auto"/>
              </w:rPr>
            </w:pPr>
          </w:p>
        </w:tc>
        <w:tc>
          <w:tcPr>
            <w:tcW w:w="300" w:type="dxa"/>
            <w:vAlign w:val="bottom"/>
            <w:tcBorders>
              <w:bottom w:val="single" w:sz="8" w:color="98A3B8"/>
            </w:tcBorders>
          </w:tcPr>
          <w:p>
            <w:pPr>
              <w:spacing w:after="0"/>
              <w:rPr>
                <w:sz w:val="5"/>
                <w:szCs w:val="5"/>
                <w:color w:val="auto"/>
              </w:rPr>
            </w:pPr>
          </w:p>
        </w:tc>
        <w:tc>
          <w:tcPr>
            <w:tcW w:w="80" w:type="dxa"/>
            <w:vAlign w:val="bottom"/>
            <w:tcBorders>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120" w:type="dxa"/>
            <w:vAlign w:val="bottom"/>
            <w:tcBorders>
              <w:bottom w:val="single" w:sz="8" w:color="98A3B8"/>
            </w:tcBorders>
          </w:tcPr>
          <w:p>
            <w:pPr>
              <w:spacing w:after="0"/>
              <w:rPr>
                <w:sz w:val="5"/>
                <w:szCs w:val="5"/>
                <w:color w:val="auto"/>
              </w:rPr>
            </w:pPr>
          </w:p>
        </w:tc>
        <w:tc>
          <w:tcPr>
            <w:tcW w:w="40" w:type="dxa"/>
            <w:vAlign w:val="bottom"/>
            <w:tcBorders>
              <w:bottom w:val="single" w:sz="8" w:color="98A3B8"/>
            </w:tcBorders>
          </w:tcPr>
          <w:p>
            <w:pPr>
              <w:spacing w:after="0"/>
              <w:rPr>
                <w:sz w:val="5"/>
                <w:szCs w:val="5"/>
                <w:color w:val="auto"/>
              </w:rPr>
            </w:pPr>
          </w:p>
        </w:tc>
        <w:tc>
          <w:tcPr>
            <w:tcW w:w="1020" w:type="dxa"/>
            <w:vAlign w:val="bottom"/>
            <w:tcBorders>
              <w:bottom w:val="single" w:sz="8" w:color="98A3B8"/>
            </w:tcBorders>
          </w:tcPr>
          <w:p>
            <w:pPr>
              <w:spacing w:after="0"/>
              <w:rPr>
                <w:sz w:val="5"/>
                <w:szCs w:val="5"/>
                <w:color w:val="auto"/>
              </w:rPr>
            </w:pPr>
          </w:p>
        </w:tc>
        <w:tc>
          <w:tcPr>
            <w:tcW w:w="720" w:type="dxa"/>
            <w:vAlign w:val="bottom"/>
            <w:tcBorders>
              <w:bottom w:val="single" w:sz="8" w:color="98A3B8"/>
            </w:tcBorders>
          </w:tcPr>
          <w:p>
            <w:pPr>
              <w:spacing w:after="0"/>
              <w:rPr>
                <w:sz w:val="5"/>
                <w:szCs w:val="5"/>
                <w:color w:val="auto"/>
              </w:rPr>
            </w:pPr>
          </w:p>
        </w:tc>
        <w:tc>
          <w:tcPr>
            <w:tcW w:w="140" w:type="dxa"/>
            <w:vAlign w:val="bottom"/>
            <w:tcBorders>
              <w:bottom w:val="single" w:sz="8" w:color="98A3B8"/>
            </w:tcBorders>
          </w:tcPr>
          <w:p>
            <w:pPr>
              <w:spacing w:after="0"/>
              <w:rPr>
                <w:sz w:val="5"/>
                <w:szCs w:val="5"/>
                <w:color w:val="auto"/>
              </w:rPr>
            </w:pPr>
          </w:p>
        </w:tc>
        <w:tc>
          <w:tcPr>
            <w:tcW w:w="2760" w:type="dxa"/>
            <w:vAlign w:val="bottom"/>
            <w:tcBorders>
              <w:bottom w:val="single" w:sz="8" w:color="98A3B8"/>
            </w:tcBorders>
          </w:tcPr>
          <w:p>
            <w:pPr>
              <w:spacing w:after="0"/>
              <w:rPr>
                <w:sz w:val="5"/>
                <w:szCs w:val="5"/>
                <w:color w:val="auto"/>
              </w:rPr>
            </w:pPr>
          </w:p>
        </w:tc>
        <w:tc>
          <w:tcPr>
            <w:tcW w:w="800" w:type="dxa"/>
            <w:vAlign w:val="bottom"/>
            <w:tcBorders>
              <w:bottom w:val="single" w:sz="8" w:color="98A3B8"/>
            </w:tcBorders>
          </w:tcPr>
          <w:p>
            <w:pPr>
              <w:spacing w:after="0"/>
              <w:rPr>
                <w:sz w:val="5"/>
                <w:szCs w:val="5"/>
                <w:color w:val="auto"/>
              </w:rPr>
            </w:pPr>
          </w:p>
        </w:tc>
        <w:tc>
          <w:tcPr>
            <w:tcW w:w="820" w:type="dxa"/>
            <w:vAlign w:val="bottom"/>
            <w:tcBorders>
              <w:bottom w:val="single" w:sz="8" w:color="98A3B8"/>
            </w:tcBorders>
          </w:tcPr>
          <w:p>
            <w:pPr>
              <w:spacing w:after="0"/>
              <w:rPr>
                <w:sz w:val="5"/>
                <w:szCs w:val="5"/>
                <w:color w:val="auto"/>
              </w:rPr>
            </w:pPr>
          </w:p>
        </w:tc>
        <w:tc>
          <w:tcPr>
            <w:tcW w:w="80" w:type="dxa"/>
            <w:vAlign w:val="bottom"/>
            <w:tcBorders>
              <w:bottom w:val="single" w:sz="8" w:color="98A3B8"/>
            </w:tcBorders>
          </w:tcPr>
          <w:p>
            <w:pPr>
              <w:spacing w:after="0"/>
              <w:rPr>
                <w:sz w:val="5"/>
                <w:szCs w:val="5"/>
                <w:color w:val="auto"/>
              </w:rPr>
            </w:pPr>
          </w:p>
        </w:tc>
        <w:tc>
          <w:tcPr>
            <w:tcW w:w="80" w:type="dxa"/>
            <w:vAlign w:val="bottom"/>
            <w:tcBorders>
              <w:top w:val="single" w:sz="8" w:color="0000EE"/>
              <w:bottom w:val="single" w:sz="8" w:color="98A3B8"/>
            </w:tcBorders>
          </w:tcPr>
          <w:p>
            <w:pPr>
              <w:spacing w:after="0"/>
              <w:rPr>
                <w:sz w:val="5"/>
                <w:szCs w:val="5"/>
                <w:color w:val="auto"/>
              </w:rPr>
            </w:pPr>
          </w:p>
        </w:tc>
        <w:tc>
          <w:tcPr>
            <w:tcW w:w="100" w:type="dxa"/>
            <w:vAlign w:val="bottom"/>
            <w:tcBorders>
              <w:top w:val="single" w:sz="8" w:color="0000EE"/>
              <w:bottom w:val="single" w:sz="8" w:color="98A3B8"/>
            </w:tcBorders>
          </w:tcPr>
          <w:p>
            <w:pPr>
              <w:spacing w:after="0"/>
              <w:rPr>
                <w:sz w:val="5"/>
                <w:szCs w:val="5"/>
                <w:color w:val="auto"/>
              </w:rPr>
            </w:pPr>
          </w:p>
        </w:tc>
      </w:tr>
      <w:tr>
        <w:trPr>
          <w:trHeight w:val="194"/>
        </w:trPr>
        <w:tc>
          <w:tcPr>
            <w:tcW w:w="10360" w:type="dxa"/>
            <w:vAlign w:val="bottom"/>
            <w:gridSpan w:val="38"/>
          </w:tcPr>
          <w:p>
            <w:pPr>
              <w:spacing w:after="0"/>
              <w:rPr>
                <w:rFonts w:ascii="Arial" w:cs="Arial" w:eastAsia="Arial" w:hAnsi="Arial"/>
                <w:sz w:val="15"/>
                <w:szCs w:val="15"/>
                <w:b w:val="1"/>
                <w:bCs w:val="1"/>
                <w:color w:val="0000EE"/>
              </w:rPr>
            </w:pPr>
            <w:hyperlink w:anchor="page23">
              <w:r>
                <w:rPr>
                  <w:rFonts w:ascii="Arial" w:cs="Arial" w:eastAsia="Arial" w:hAnsi="Arial"/>
                  <w:sz w:val="15"/>
                  <w:szCs w:val="15"/>
                  <w:b w:val="1"/>
                  <w:bCs w:val="1"/>
                  <w:color w:val="0000EE"/>
                </w:rPr>
                <w:t>Proposal 2: Advisory Vote on the Compensation of our Named Executive Officers</w:t>
              </w:r>
            </w:hyperlink>
          </w:p>
        </w:tc>
        <w:tc>
          <w:tcPr>
            <w:tcW w:w="1080" w:type="dxa"/>
            <w:vAlign w:val="bottom"/>
            <w:gridSpan w:val="4"/>
          </w:tcPr>
          <w:p>
            <w:pPr>
              <w:jc w:val="right"/>
              <w:spacing w:after="0"/>
              <w:rPr>
                <w:rFonts w:ascii="Arial" w:cs="Arial" w:eastAsia="Arial" w:hAnsi="Arial"/>
                <w:sz w:val="15"/>
                <w:szCs w:val="15"/>
                <w:b w:val="1"/>
                <w:bCs w:val="1"/>
                <w:color w:val="0000EE"/>
              </w:rPr>
            </w:pPr>
            <w:hyperlink w:anchor="page23">
              <w:r>
                <w:rPr>
                  <w:rFonts w:ascii="Arial" w:cs="Arial" w:eastAsia="Arial" w:hAnsi="Arial"/>
                  <w:sz w:val="15"/>
                  <w:szCs w:val="15"/>
                  <w:b w:val="1"/>
                  <w:bCs w:val="1"/>
                  <w:color w:val="0000EE"/>
                </w:rPr>
                <w:t>21</w:t>
              </w:r>
            </w:hyperlink>
          </w:p>
        </w:tc>
      </w:tr>
      <w:tr>
        <w:trPr>
          <w:trHeight w:val="265"/>
        </w:trPr>
        <w:tc>
          <w:tcPr>
            <w:tcW w:w="5940" w:type="dxa"/>
            <w:vAlign w:val="bottom"/>
            <w:tcBorders>
              <w:top w:val="single" w:sz="8" w:color="0000EE"/>
            </w:tcBorders>
            <w:gridSpan w:val="34"/>
          </w:tcPr>
          <w:p>
            <w:pPr>
              <w:spacing w:after="0"/>
              <w:rPr>
                <w:rFonts w:ascii="Arial" w:cs="Arial" w:eastAsia="Arial" w:hAnsi="Arial"/>
                <w:sz w:val="15"/>
                <w:szCs w:val="15"/>
                <w:b w:val="1"/>
                <w:bCs w:val="1"/>
                <w:color w:val="0000EE"/>
              </w:rPr>
            </w:pPr>
            <w:hyperlink w:anchor="page23">
              <w:r>
                <w:rPr>
                  <w:rFonts w:ascii="Arial" w:cs="Arial" w:eastAsia="Arial" w:hAnsi="Arial"/>
                  <w:sz w:val="15"/>
                  <w:szCs w:val="15"/>
                  <w:b w:val="1"/>
                  <w:bCs w:val="1"/>
                  <w:color w:val="0000EE"/>
                </w:rPr>
                <w:t>Compensation Committee Report</w:t>
              </w:r>
            </w:hyperlink>
          </w:p>
        </w:tc>
        <w:tc>
          <w:tcPr>
            <w:tcW w:w="4420" w:type="dxa"/>
            <w:vAlign w:val="bottom"/>
            <w:gridSpan w:val="4"/>
          </w:tcPr>
          <w:p>
            <w:pPr>
              <w:spacing w:after="0"/>
              <w:rPr>
                <w:sz w:val="23"/>
                <w:szCs w:val="23"/>
                <w:color w:val="auto"/>
              </w:rPr>
            </w:pPr>
          </w:p>
        </w:tc>
        <w:tc>
          <w:tcPr>
            <w:tcW w:w="900" w:type="dxa"/>
            <w:vAlign w:val="bottom"/>
            <w:gridSpan w:val="2"/>
          </w:tcPr>
          <w:p>
            <w:pPr>
              <w:spacing w:after="0"/>
              <w:rPr>
                <w:sz w:val="23"/>
                <w:szCs w:val="23"/>
                <w:color w:val="auto"/>
              </w:rPr>
            </w:pPr>
          </w:p>
        </w:tc>
        <w:tc>
          <w:tcPr>
            <w:tcW w:w="180" w:type="dxa"/>
            <w:vAlign w:val="bottom"/>
            <w:tcBorders>
              <w:top w:val="single" w:sz="8" w:color="0000EE"/>
            </w:tcBorders>
            <w:gridSpan w:val="2"/>
          </w:tcPr>
          <w:p>
            <w:pPr>
              <w:jc w:val="right"/>
              <w:spacing w:after="0"/>
              <w:rPr>
                <w:rFonts w:ascii="Arial" w:cs="Arial" w:eastAsia="Arial" w:hAnsi="Arial"/>
                <w:sz w:val="15"/>
                <w:szCs w:val="15"/>
                <w:b w:val="1"/>
                <w:bCs w:val="1"/>
                <w:color w:val="0000EE"/>
                <w:w w:val="95"/>
              </w:rPr>
            </w:pPr>
            <w:hyperlink w:anchor="page23">
              <w:r>
                <w:rPr>
                  <w:rFonts w:ascii="Arial" w:cs="Arial" w:eastAsia="Arial" w:hAnsi="Arial"/>
                  <w:sz w:val="15"/>
                  <w:szCs w:val="15"/>
                  <w:b w:val="1"/>
                  <w:bCs w:val="1"/>
                  <w:color w:val="0000EE"/>
                  <w:w w:val="95"/>
                </w:rPr>
                <w:t>21</w:t>
              </w:r>
            </w:hyperlink>
          </w:p>
        </w:tc>
      </w:tr>
      <w:tr>
        <w:trPr>
          <w:trHeight w:val="20"/>
        </w:trPr>
        <w:tc>
          <w:tcPr>
            <w:tcW w:w="6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65"/>
        </w:trPr>
        <w:tc>
          <w:tcPr>
            <w:tcW w:w="10360" w:type="dxa"/>
            <w:vAlign w:val="bottom"/>
            <w:gridSpan w:val="38"/>
          </w:tcPr>
          <w:p>
            <w:pPr>
              <w:spacing w:after="0"/>
              <w:rPr>
                <w:rFonts w:ascii="Arial" w:cs="Arial" w:eastAsia="Arial" w:hAnsi="Arial"/>
                <w:sz w:val="15"/>
                <w:szCs w:val="15"/>
                <w:b w:val="1"/>
                <w:bCs w:val="1"/>
                <w:color w:val="0000EE"/>
              </w:rPr>
            </w:pPr>
            <w:hyperlink w:anchor="page23">
              <w:r>
                <w:rPr>
                  <w:rFonts w:ascii="Arial" w:cs="Arial" w:eastAsia="Arial" w:hAnsi="Arial"/>
                  <w:sz w:val="15"/>
                  <w:szCs w:val="15"/>
                  <w:b w:val="1"/>
                  <w:bCs w:val="1"/>
                  <w:color w:val="0000EE"/>
                </w:rPr>
                <w:t>Compensation Discussion and Analysis</w:t>
              </w:r>
            </w:hyperlink>
          </w:p>
        </w:tc>
        <w:tc>
          <w:tcPr>
            <w:tcW w:w="1080" w:type="dxa"/>
            <w:vAlign w:val="bottom"/>
            <w:gridSpan w:val="4"/>
          </w:tcPr>
          <w:p>
            <w:pPr>
              <w:jc w:val="right"/>
              <w:spacing w:after="0"/>
              <w:rPr>
                <w:rFonts w:ascii="Arial" w:cs="Arial" w:eastAsia="Arial" w:hAnsi="Arial"/>
                <w:sz w:val="15"/>
                <w:szCs w:val="15"/>
                <w:b w:val="1"/>
                <w:bCs w:val="1"/>
                <w:color w:val="0000EE"/>
              </w:rPr>
            </w:pPr>
            <w:hyperlink w:anchor="page23">
              <w:r>
                <w:rPr>
                  <w:rFonts w:ascii="Arial" w:cs="Arial" w:eastAsia="Arial" w:hAnsi="Arial"/>
                  <w:sz w:val="15"/>
                  <w:szCs w:val="15"/>
                  <w:b w:val="1"/>
                  <w:bCs w:val="1"/>
                  <w:color w:val="0000EE"/>
                </w:rPr>
                <w:t>21</w:t>
              </w:r>
            </w:hyperlink>
          </w:p>
        </w:tc>
      </w:tr>
      <w:tr>
        <w:trPr>
          <w:trHeight w:val="265"/>
        </w:trPr>
        <w:tc>
          <w:tcPr>
            <w:tcW w:w="2920" w:type="dxa"/>
            <w:vAlign w:val="bottom"/>
            <w:tcBorders>
              <w:top w:val="single" w:sz="8" w:color="0000EE"/>
            </w:tcBorders>
            <w:gridSpan w:val="22"/>
          </w:tcPr>
          <w:p>
            <w:pPr>
              <w:spacing w:after="0"/>
              <w:rPr>
                <w:rFonts w:ascii="Arial" w:cs="Arial" w:eastAsia="Arial" w:hAnsi="Arial"/>
                <w:sz w:val="15"/>
                <w:szCs w:val="15"/>
                <w:b w:val="1"/>
                <w:bCs w:val="1"/>
                <w:color w:val="0000EE"/>
              </w:rPr>
            </w:pPr>
            <w:hyperlink w:anchor="page41">
              <w:r>
                <w:rPr>
                  <w:rFonts w:ascii="Arial" w:cs="Arial" w:eastAsia="Arial" w:hAnsi="Arial"/>
                  <w:sz w:val="15"/>
                  <w:szCs w:val="15"/>
                  <w:b w:val="1"/>
                  <w:bCs w:val="1"/>
                  <w:color w:val="0000EE"/>
                </w:rPr>
                <w:t>Executive Compensation Tables</w:t>
              </w:r>
            </w:hyperlink>
          </w:p>
        </w:tc>
        <w:tc>
          <w:tcPr>
            <w:tcW w:w="7440" w:type="dxa"/>
            <w:vAlign w:val="bottom"/>
            <w:gridSpan w:val="16"/>
          </w:tcPr>
          <w:p>
            <w:pPr>
              <w:spacing w:after="0"/>
              <w:rPr>
                <w:sz w:val="23"/>
                <w:szCs w:val="23"/>
                <w:color w:val="auto"/>
              </w:rPr>
            </w:pPr>
          </w:p>
        </w:tc>
        <w:tc>
          <w:tcPr>
            <w:tcW w:w="900" w:type="dxa"/>
            <w:vAlign w:val="bottom"/>
            <w:gridSpan w:val="2"/>
          </w:tcPr>
          <w:p>
            <w:pPr>
              <w:spacing w:after="0"/>
              <w:rPr>
                <w:sz w:val="23"/>
                <w:szCs w:val="23"/>
                <w:color w:val="auto"/>
              </w:rPr>
            </w:pPr>
          </w:p>
        </w:tc>
        <w:tc>
          <w:tcPr>
            <w:tcW w:w="180" w:type="dxa"/>
            <w:vAlign w:val="bottom"/>
            <w:tcBorders>
              <w:top w:val="single" w:sz="8" w:color="0000EE"/>
            </w:tcBorders>
            <w:gridSpan w:val="2"/>
          </w:tcPr>
          <w:p>
            <w:pPr>
              <w:jc w:val="right"/>
              <w:spacing w:after="0"/>
              <w:rPr>
                <w:rFonts w:ascii="Arial" w:cs="Arial" w:eastAsia="Arial" w:hAnsi="Arial"/>
                <w:sz w:val="15"/>
                <w:szCs w:val="15"/>
                <w:b w:val="1"/>
                <w:bCs w:val="1"/>
                <w:color w:val="0000EE"/>
                <w:w w:val="95"/>
              </w:rPr>
            </w:pPr>
            <w:hyperlink w:anchor="page41">
              <w:r>
                <w:rPr>
                  <w:rFonts w:ascii="Arial" w:cs="Arial" w:eastAsia="Arial" w:hAnsi="Arial"/>
                  <w:sz w:val="15"/>
                  <w:szCs w:val="15"/>
                  <w:b w:val="1"/>
                  <w:bCs w:val="1"/>
                  <w:color w:val="0000EE"/>
                  <w:w w:val="95"/>
                </w:rPr>
                <w:t>39</w:t>
              </w:r>
            </w:hyperlink>
          </w:p>
        </w:tc>
      </w:tr>
      <w:tr>
        <w:trPr>
          <w:trHeight w:val="265"/>
        </w:trPr>
        <w:tc>
          <w:tcPr>
            <w:tcW w:w="2380" w:type="dxa"/>
            <w:vAlign w:val="bottom"/>
            <w:tcBorders>
              <w:top w:val="single" w:sz="8" w:color="0000EE"/>
            </w:tcBorders>
            <w:gridSpan w:val="15"/>
          </w:tcPr>
          <w:p>
            <w:pPr>
              <w:spacing w:after="0"/>
              <w:rPr>
                <w:rFonts w:ascii="Arial" w:cs="Arial" w:eastAsia="Arial" w:hAnsi="Arial"/>
                <w:sz w:val="15"/>
                <w:szCs w:val="15"/>
                <w:b w:val="1"/>
                <w:bCs w:val="1"/>
                <w:color w:val="325889"/>
              </w:rPr>
            </w:pPr>
            <w:hyperlink w:anchor="page52">
              <w:r>
                <w:rPr>
                  <w:rFonts w:ascii="Arial" w:cs="Arial" w:eastAsia="Arial" w:hAnsi="Arial"/>
                  <w:sz w:val="15"/>
                  <w:szCs w:val="15"/>
                  <w:b w:val="1"/>
                  <w:bCs w:val="1"/>
                  <w:color w:val="325889"/>
                </w:rPr>
                <w:t>CHARTER AMENDMENT</w:t>
              </w:r>
            </w:hyperlink>
          </w:p>
        </w:tc>
        <w:tc>
          <w:tcPr>
            <w:tcW w:w="7980" w:type="dxa"/>
            <w:vAlign w:val="bottom"/>
            <w:gridSpan w:val="23"/>
          </w:tcPr>
          <w:p>
            <w:pPr>
              <w:spacing w:after="0"/>
              <w:rPr>
                <w:sz w:val="23"/>
                <w:szCs w:val="23"/>
                <w:color w:val="auto"/>
              </w:rPr>
            </w:pPr>
          </w:p>
        </w:tc>
        <w:tc>
          <w:tcPr>
            <w:tcW w:w="900" w:type="dxa"/>
            <w:vAlign w:val="bottom"/>
            <w:gridSpan w:val="2"/>
          </w:tcPr>
          <w:p>
            <w:pPr>
              <w:spacing w:after="0"/>
              <w:rPr>
                <w:sz w:val="23"/>
                <w:szCs w:val="23"/>
                <w:color w:val="auto"/>
              </w:rPr>
            </w:pPr>
          </w:p>
        </w:tc>
        <w:tc>
          <w:tcPr>
            <w:tcW w:w="180" w:type="dxa"/>
            <w:vAlign w:val="bottom"/>
            <w:tcBorders>
              <w:top w:val="single" w:sz="8" w:color="0000EE"/>
            </w:tcBorders>
            <w:gridSpan w:val="2"/>
          </w:tcPr>
          <w:p>
            <w:pPr>
              <w:jc w:val="right"/>
              <w:spacing w:after="0"/>
              <w:rPr>
                <w:rFonts w:ascii="Arial" w:cs="Arial" w:eastAsia="Arial" w:hAnsi="Arial"/>
                <w:sz w:val="15"/>
                <w:szCs w:val="15"/>
                <w:b w:val="1"/>
                <w:bCs w:val="1"/>
                <w:color w:val="0000EE"/>
                <w:w w:val="95"/>
              </w:rPr>
            </w:pPr>
            <w:hyperlink w:anchor="page52">
              <w:r>
                <w:rPr>
                  <w:rFonts w:ascii="Arial" w:cs="Arial" w:eastAsia="Arial" w:hAnsi="Arial"/>
                  <w:sz w:val="15"/>
                  <w:szCs w:val="15"/>
                  <w:b w:val="1"/>
                  <w:bCs w:val="1"/>
                  <w:color w:val="0000EE"/>
                  <w:w w:val="95"/>
                </w:rPr>
                <w:t>50</w:t>
              </w:r>
            </w:hyperlink>
          </w:p>
        </w:tc>
      </w:tr>
      <w:tr>
        <w:trPr>
          <w:trHeight w:val="63"/>
        </w:trPr>
        <w:tc>
          <w:tcPr>
            <w:tcW w:w="680" w:type="dxa"/>
            <w:vAlign w:val="bottom"/>
            <w:tcBorders>
              <w:top w:val="single" w:sz="8" w:color="325889"/>
              <w:bottom w:val="single" w:sz="8" w:color="98A3B8"/>
            </w:tcBorders>
          </w:tcPr>
          <w:p>
            <w:pPr>
              <w:spacing w:after="0"/>
              <w:rPr>
                <w:sz w:val="5"/>
                <w:szCs w:val="5"/>
                <w:color w:val="auto"/>
              </w:rPr>
            </w:pPr>
          </w:p>
        </w:tc>
        <w:tc>
          <w:tcPr>
            <w:tcW w:w="320" w:type="dxa"/>
            <w:vAlign w:val="bottom"/>
            <w:tcBorders>
              <w:top w:val="single" w:sz="8" w:color="325889"/>
              <w:bottom w:val="single" w:sz="8" w:color="98A3B8"/>
            </w:tcBorders>
          </w:tcPr>
          <w:p>
            <w:pPr>
              <w:spacing w:after="0"/>
              <w:rPr>
                <w:sz w:val="5"/>
                <w:szCs w:val="5"/>
                <w:color w:val="auto"/>
              </w:rPr>
            </w:pPr>
          </w:p>
        </w:tc>
        <w:tc>
          <w:tcPr>
            <w:tcW w:w="20" w:type="dxa"/>
            <w:vAlign w:val="bottom"/>
            <w:tcBorders>
              <w:top w:val="single" w:sz="8" w:color="325889"/>
              <w:bottom w:val="single" w:sz="8" w:color="98A3B8"/>
            </w:tcBorders>
          </w:tcPr>
          <w:p>
            <w:pPr>
              <w:spacing w:after="0"/>
              <w:rPr>
                <w:sz w:val="5"/>
                <w:szCs w:val="5"/>
                <w:color w:val="auto"/>
              </w:rPr>
            </w:pPr>
          </w:p>
        </w:tc>
        <w:tc>
          <w:tcPr>
            <w:tcW w:w="80" w:type="dxa"/>
            <w:vAlign w:val="bottom"/>
            <w:tcBorders>
              <w:top w:val="single" w:sz="8" w:color="325889"/>
              <w:bottom w:val="single" w:sz="8" w:color="98A3B8"/>
            </w:tcBorders>
          </w:tcPr>
          <w:p>
            <w:pPr>
              <w:spacing w:after="0"/>
              <w:rPr>
                <w:sz w:val="5"/>
                <w:szCs w:val="5"/>
                <w:color w:val="auto"/>
              </w:rPr>
            </w:pPr>
          </w:p>
        </w:tc>
        <w:tc>
          <w:tcPr>
            <w:tcW w:w="180" w:type="dxa"/>
            <w:vAlign w:val="bottom"/>
            <w:tcBorders>
              <w:top w:val="single" w:sz="8" w:color="325889"/>
              <w:bottom w:val="single" w:sz="8" w:color="98A3B8"/>
            </w:tcBorders>
          </w:tcPr>
          <w:p>
            <w:pPr>
              <w:spacing w:after="0"/>
              <w:rPr>
                <w:sz w:val="5"/>
                <w:szCs w:val="5"/>
                <w:color w:val="auto"/>
              </w:rPr>
            </w:pPr>
          </w:p>
        </w:tc>
        <w:tc>
          <w:tcPr>
            <w:tcW w:w="80" w:type="dxa"/>
            <w:vAlign w:val="bottom"/>
            <w:tcBorders>
              <w:top w:val="single" w:sz="8" w:color="325889"/>
              <w:bottom w:val="single" w:sz="8" w:color="98A3B8"/>
            </w:tcBorders>
          </w:tcPr>
          <w:p>
            <w:pPr>
              <w:spacing w:after="0"/>
              <w:rPr>
                <w:sz w:val="5"/>
                <w:szCs w:val="5"/>
                <w:color w:val="auto"/>
              </w:rPr>
            </w:pPr>
          </w:p>
        </w:tc>
        <w:tc>
          <w:tcPr>
            <w:tcW w:w="120" w:type="dxa"/>
            <w:vAlign w:val="bottom"/>
            <w:tcBorders>
              <w:top w:val="single" w:sz="8" w:color="325889"/>
              <w:bottom w:val="single" w:sz="8" w:color="98A3B8"/>
            </w:tcBorders>
          </w:tcPr>
          <w:p>
            <w:pPr>
              <w:spacing w:after="0"/>
              <w:rPr>
                <w:sz w:val="5"/>
                <w:szCs w:val="5"/>
                <w:color w:val="auto"/>
              </w:rPr>
            </w:pPr>
          </w:p>
        </w:tc>
        <w:tc>
          <w:tcPr>
            <w:tcW w:w="180" w:type="dxa"/>
            <w:vAlign w:val="bottom"/>
            <w:tcBorders>
              <w:top w:val="single" w:sz="8" w:color="325889"/>
              <w:bottom w:val="single" w:sz="8" w:color="98A3B8"/>
            </w:tcBorders>
          </w:tcPr>
          <w:p>
            <w:pPr>
              <w:spacing w:after="0"/>
              <w:rPr>
                <w:sz w:val="5"/>
                <w:szCs w:val="5"/>
                <w:color w:val="auto"/>
              </w:rPr>
            </w:pPr>
          </w:p>
        </w:tc>
        <w:tc>
          <w:tcPr>
            <w:tcW w:w="40" w:type="dxa"/>
            <w:vAlign w:val="bottom"/>
            <w:tcBorders>
              <w:top w:val="single" w:sz="8" w:color="325889"/>
              <w:bottom w:val="single" w:sz="8" w:color="98A3B8"/>
            </w:tcBorders>
          </w:tcPr>
          <w:p>
            <w:pPr>
              <w:spacing w:after="0"/>
              <w:rPr>
                <w:sz w:val="5"/>
                <w:szCs w:val="5"/>
                <w:color w:val="auto"/>
              </w:rPr>
            </w:pPr>
          </w:p>
        </w:tc>
        <w:tc>
          <w:tcPr>
            <w:tcW w:w="60" w:type="dxa"/>
            <w:vAlign w:val="bottom"/>
            <w:tcBorders>
              <w:top w:val="single" w:sz="8" w:color="325889"/>
              <w:bottom w:val="single" w:sz="8" w:color="98A3B8"/>
            </w:tcBorders>
          </w:tcPr>
          <w:p>
            <w:pPr>
              <w:spacing w:after="0"/>
              <w:rPr>
                <w:sz w:val="5"/>
                <w:szCs w:val="5"/>
                <w:color w:val="auto"/>
              </w:rPr>
            </w:pPr>
          </w:p>
        </w:tc>
        <w:tc>
          <w:tcPr>
            <w:tcW w:w="40" w:type="dxa"/>
            <w:vAlign w:val="bottom"/>
            <w:tcBorders>
              <w:top w:val="single" w:sz="8" w:color="325889"/>
              <w:bottom w:val="single" w:sz="8" w:color="98A3B8"/>
            </w:tcBorders>
          </w:tcPr>
          <w:p>
            <w:pPr>
              <w:spacing w:after="0"/>
              <w:rPr>
                <w:sz w:val="5"/>
                <w:szCs w:val="5"/>
                <w:color w:val="auto"/>
              </w:rPr>
            </w:pPr>
          </w:p>
        </w:tc>
        <w:tc>
          <w:tcPr>
            <w:tcW w:w="300" w:type="dxa"/>
            <w:vAlign w:val="bottom"/>
            <w:tcBorders>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160" w:type="dxa"/>
            <w:vAlign w:val="bottom"/>
            <w:tcBorders>
              <w:bottom w:val="single" w:sz="8" w:color="98A3B8"/>
            </w:tcBorders>
          </w:tcPr>
          <w:p>
            <w:pPr>
              <w:spacing w:after="0"/>
              <w:rPr>
                <w:sz w:val="5"/>
                <w:szCs w:val="5"/>
                <w:color w:val="auto"/>
              </w:rPr>
            </w:pPr>
          </w:p>
        </w:tc>
        <w:tc>
          <w:tcPr>
            <w:tcW w:w="80" w:type="dxa"/>
            <w:vAlign w:val="bottom"/>
            <w:tcBorders>
              <w:bottom w:val="single" w:sz="8" w:color="98A3B8"/>
            </w:tcBorders>
          </w:tcPr>
          <w:p>
            <w:pPr>
              <w:spacing w:after="0"/>
              <w:rPr>
                <w:sz w:val="5"/>
                <w:szCs w:val="5"/>
                <w:color w:val="auto"/>
              </w:rPr>
            </w:pPr>
          </w:p>
        </w:tc>
        <w:tc>
          <w:tcPr>
            <w:tcW w:w="40" w:type="dxa"/>
            <w:vAlign w:val="bottom"/>
            <w:tcBorders>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20" w:type="dxa"/>
            <w:vAlign w:val="bottom"/>
            <w:tcBorders>
              <w:bottom w:val="single" w:sz="8" w:color="98A3B8"/>
            </w:tcBorders>
          </w:tcPr>
          <w:p>
            <w:pPr>
              <w:spacing w:after="0"/>
              <w:rPr>
                <w:sz w:val="5"/>
                <w:szCs w:val="5"/>
                <w:color w:val="auto"/>
              </w:rPr>
            </w:pPr>
          </w:p>
        </w:tc>
        <w:tc>
          <w:tcPr>
            <w:tcW w:w="240" w:type="dxa"/>
            <w:vAlign w:val="bottom"/>
            <w:tcBorders>
              <w:bottom w:val="single" w:sz="8" w:color="98A3B8"/>
            </w:tcBorders>
          </w:tcPr>
          <w:p>
            <w:pPr>
              <w:spacing w:after="0"/>
              <w:rPr>
                <w:sz w:val="5"/>
                <w:szCs w:val="5"/>
                <w:color w:val="auto"/>
              </w:rPr>
            </w:pPr>
          </w:p>
        </w:tc>
        <w:tc>
          <w:tcPr>
            <w:tcW w:w="40" w:type="dxa"/>
            <w:vAlign w:val="bottom"/>
            <w:tcBorders>
              <w:bottom w:val="single" w:sz="8" w:color="98A3B8"/>
            </w:tcBorders>
          </w:tcPr>
          <w:p>
            <w:pPr>
              <w:spacing w:after="0"/>
              <w:rPr>
                <w:sz w:val="5"/>
                <w:szCs w:val="5"/>
                <w:color w:val="auto"/>
              </w:rPr>
            </w:pPr>
          </w:p>
        </w:tc>
        <w:tc>
          <w:tcPr>
            <w:tcW w:w="280" w:type="dxa"/>
            <w:vAlign w:val="bottom"/>
            <w:tcBorders>
              <w:bottom w:val="single" w:sz="8" w:color="98A3B8"/>
            </w:tcBorders>
          </w:tcPr>
          <w:p>
            <w:pPr>
              <w:spacing w:after="0"/>
              <w:rPr>
                <w:sz w:val="5"/>
                <w:szCs w:val="5"/>
                <w:color w:val="auto"/>
              </w:rPr>
            </w:pPr>
          </w:p>
        </w:tc>
        <w:tc>
          <w:tcPr>
            <w:tcW w:w="500" w:type="dxa"/>
            <w:vAlign w:val="bottom"/>
            <w:tcBorders>
              <w:bottom w:val="single" w:sz="8" w:color="98A3B8"/>
            </w:tcBorders>
          </w:tcPr>
          <w:p>
            <w:pPr>
              <w:spacing w:after="0"/>
              <w:rPr>
                <w:sz w:val="5"/>
                <w:szCs w:val="5"/>
                <w:color w:val="auto"/>
              </w:rPr>
            </w:pPr>
          </w:p>
        </w:tc>
        <w:tc>
          <w:tcPr>
            <w:tcW w:w="100" w:type="dxa"/>
            <w:vAlign w:val="bottom"/>
            <w:tcBorders>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400" w:type="dxa"/>
            <w:vAlign w:val="bottom"/>
            <w:tcBorders>
              <w:bottom w:val="single" w:sz="8" w:color="98A3B8"/>
            </w:tcBorders>
          </w:tcPr>
          <w:p>
            <w:pPr>
              <w:spacing w:after="0"/>
              <w:rPr>
                <w:sz w:val="5"/>
                <w:szCs w:val="5"/>
                <w:color w:val="auto"/>
              </w:rPr>
            </w:pPr>
          </w:p>
        </w:tc>
        <w:tc>
          <w:tcPr>
            <w:tcW w:w="300" w:type="dxa"/>
            <w:vAlign w:val="bottom"/>
            <w:tcBorders>
              <w:bottom w:val="single" w:sz="8" w:color="98A3B8"/>
            </w:tcBorders>
          </w:tcPr>
          <w:p>
            <w:pPr>
              <w:spacing w:after="0"/>
              <w:rPr>
                <w:sz w:val="5"/>
                <w:szCs w:val="5"/>
                <w:color w:val="auto"/>
              </w:rPr>
            </w:pPr>
          </w:p>
        </w:tc>
        <w:tc>
          <w:tcPr>
            <w:tcW w:w="80" w:type="dxa"/>
            <w:vAlign w:val="bottom"/>
            <w:tcBorders>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120" w:type="dxa"/>
            <w:vAlign w:val="bottom"/>
            <w:tcBorders>
              <w:bottom w:val="single" w:sz="8" w:color="98A3B8"/>
            </w:tcBorders>
          </w:tcPr>
          <w:p>
            <w:pPr>
              <w:spacing w:after="0"/>
              <w:rPr>
                <w:sz w:val="5"/>
                <w:szCs w:val="5"/>
                <w:color w:val="auto"/>
              </w:rPr>
            </w:pPr>
          </w:p>
        </w:tc>
        <w:tc>
          <w:tcPr>
            <w:tcW w:w="40" w:type="dxa"/>
            <w:vAlign w:val="bottom"/>
            <w:tcBorders>
              <w:bottom w:val="single" w:sz="8" w:color="98A3B8"/>
            </w:tcBorders>
          </w:tcPr>
          <w:p>
            <w:pPr>
              <w:spacing w:after="0"/>
              <w:rPr>
                <w:sz w:val="5"/>
                <w:szCs w:val="5"/>
                <w:color w:val="auto"/>
              </w:rPr>
            </w:pPr>
          </w:p>
        </w:tc>
        <w:tc>
          <w:tcPr>
            <w:tcW w:w="1020" w:type="dxa"/>
            <w:vAlign w:val="bottom"/>
            <w:tcBorders>
              <w:bottom w:val="single" w:sz="8" w:color="98A3B8"/>
            </w:tcBorders>
          </w:tcPr>
          <w:p>
            <w:pPr>
              <w:spacing w:after="0"/>
              <w:rPr>
                <w:sz w:val="5"/>
                <w:szCs w:val="5"/>
                <w:color w:val="auto"/>
              </w:rPr>
            </w:pPr>
          </w:p>
        </w:tc>
        <w:tc>
          <w:tcPr>
            <w:tcW w:w="720" w:type="dxa"/>
            <w:vAlign w:val="bottom"/>
            <w:tcBorders>
              <w:bottom w:val="single" w:sz="8" w:color="98A3B8"/>
            </w:tcBorders>
          </w:tcPr>
          <w:p>
            <w:pPr>
              <w:spacing w:after="0"/>
              <w:rPr>
                <w:sz w:val="5"/>
                <w:szCs w:val="5"/>
                <w:color w:val="auto"/>
              </w:rPr>
            </w:pPr>
          </w:p>
        </w:tc>
        <w:tc>
          <w:tcPr>
            <w:tcW w:w="140" w:type="dxa"/>
            <w:vAlign w:val="bottom"/>
            <w:tcBorders>
              <w:bottom w:val="single" w:sz="8" w:color="98A3B8"/>
            </w:tcBorders>
          </w:tcPr>
          <w:p>
            <w:pPr>
              <w:spacing w:after="0"/>
              <w:rPr>
                <w:sz w:val="5"/>
                <w:szCs w:val="5"/>
                <w:color w:val="auto"/>
              </w:rPr>
            </w:pPr>
          </w:p>
        </w:tc>
        <w:tc>
          <w:tcPr>
            <w:tcW w:w="2760" w:type="dxa"/>
            <w:vAlign w:val="bottom"/>
            <w:tcBorders>
              <w:bottom w:val="single" w:sz="8" w:color="98A3B8"/>
            </w:tcBorders>
          </w:tcPr>
          <w:p>
            <w:pPr>
              <w:spacing w:after="0"/>
              <w:rPr>
                <w:sz w:val="5"/>
                <w:szCs w:val="5"/>
                <w:color w:val="auto"/>
              </w:rPr>
            </w:pPr>
          </w:p>
        </w:tc>
        <w:tc>
          <w:tcPr>
            <w:tcW w:w="800" w:type="dxa"/>
            <w:vAlign w:val="bottom"/>
            <w:tcBorders>
              <w:bottom w:val="single" w:sz="8" w:color="98A3B8"/>
            </w:tcBorders>
          </w:tcPr>
          <w:p>
            <w:pPr>
              <w:spacing w:after="0"/>
              <w:rPr>
                <w:sz w:val="5"/>
                <w:szCs w:val="5"/>
                <w:color w:val="auto"/>
              </w:rPr>
            </w:pPr>
          </w:p>
        </w:tc>
        <w:tc>
          <w:tcPr>
            <w:tcW w:w="820" w:type="dxa"/>
            <w:vAlign w:val="bottom"/>
            <w:tcBorders>
              <w:bottom w:val="single" w:sz="8" w:color="98A3B8"/>
            </w:tcBorders>
          </w:tcPr>
          <w:p>
            <w:pPr>
              <w:spacing w:after="0"/>
              <w:rPr>
                <w:sz w:val="5"/>
                <w:szCs w:val="5"/>
                <w:color w:val="auto"/>
              </w:rPr>
            </w:pPr>
          </w:p>
        </w:tc>
        <w:tc>
          <w:tcPr>
            <w:tcW w:w="80" w:type="dxa"/>
            <w:vAlign w:val="bottom"/>
            <w:tcBorders>
              <w:bottom w:val="single" w:sz="8" w:color="98A3B8"/>
            </w:tcBorders>
          </w:tcPr>
          <w:p>
            <w:pPr>
              <w:spacing w:after="0"/>
              <w:rPr>
                <w:sz w:val="5"/>
                <w:szCs w:val="5"/>
                <w:color w:val="auto"/>
              </w:rPr>
            </w:pPr>
          </w:p>
        </w:tc>
        <w:tc>
          <w:tcPr>
            <w:tcW w:w="80" w:type="dxa"/>
            <w:vAlign w:val="bottom"/>
            <w:tcBorders>
              <w:top w:val="single" w:sz="8" w:color="0000EE"/>
              <w:bottom w:val="single" w:sz="8" w:color="98A3B8"/>
            </w:tcBorders>
          </w:tcPr>
          <w:p>
            <w:pPr>
              <w:spacing w:after="0"/>
              <w:rPr>
                <w:sz w:val="5"/>
                <w:szCs w:val="5"/>
                <w:color w:val="auto"/>
              </w:rPr>
            </w:pPr>
          </w:p>
        </w:tc>
        <w:tc>
          <w:tcPr>
            <w:tcW w:w="100" w:type="dxa"/>
            <w:vAlign w:val="bottom"/>
            <w:tcBorders>
              <w:top w:val="single" w:sz="8" w:color="0000EE"/>
              <w:bottom w:val="single" w:sz="8" w:color="98A3B8"/>
            </w:tcBorders>
          </w:tcPr>
          <w:p>
            <w:pPr>
              <w:spacing w:after="0"/>
              <w:rPr>
                <w:sz w:val="5"/>
                <w:szCs w:val="5"/>
                <w:color w:val="auto"/>
              </w:rPr>
            </w:pPr>
          </w:p>
        </w:tc>
      </w:tr>
      <w:tr>
        <w:trPr>
          <w:trHeight w:val="194"/>
        </w:trPr>
        <w:tc>
          <w:tcPr>
            <w:tcW w:w="4760" w:type="dxa"/>
            <w:vAlign w:val="bottom"/>
            <w:tcBorders>
              <w:bottom w:val="single" w:sz="8" w:color="0000EE"/>
            </w:tcBorders>
            <w:gridSpan w:val="31"/>
          </w:tcPr>
          <w:p>
            <w:pPr>
              <w:spacing w:after="0"/>
              <w:rPr>
                <w:rFonts w:ascii="Arial" w:cs="Arial" w:eastAsia="Arial" w:hAnsi="Arial"/>
                <w:sz w:val="15"/>
                <w:szCs w:val="15"/>
                <w:b w:val="1"/>
                <w:bCs w:val="1"/>
                <w:color w:val="0000EE"/>
              </w:rPr>
            </w:pPr>
            <w:hyperlink w:anchor="page52">
              <w:r>
                <w:rPr>
                  <w:rFonts w:ascii="Arial" w:cs="Arial" w:eastAsia="Arial" w:hAnsi="Arial"/>
                  <w:sz w:val="15"/>
                  <w:szCs w:val="15"/>
                  <w:b w:val="1"/>
                  <w:bCs w:val="1"/>
                  <w:color w:val="0000EE"/>
                </w:rPr>
                <w:t>Proposal 3: Charter Amendment to Declassify Board of Directors</w:t>
              </w:r>
            </w:hyperlink>
          </w:p>
        </w:tc>
        <w:tc>
          <w:tcPr>
            <w:tcW w:w="5600" w:type="dxa"/>
            <w:vAlign w:val="bottom"/>
            <w:gridSpan w:val="7"/>
          </w:tcPr>
          <w:p>
            <w:pPr>
              <w:spacing w:after="0"/>
              <w:rPr>
                <w:sz w:val="16"/>
                <w:szCs w:val="16"/>
                <w:color w:val="auto"/>
              </w:rPr>
            </w:pPr>
          </w:p>
        </w:tc>
        <w:tc>
          <w:tcPr>
            <w:tcW w:w="900" w:type="dxa"/>
            <w:vAlign w:val="bottom"/>
            <w:gridSpan w:val="2"/>
          </w:tcPr>
          <w:p>
            <w:pPr>
              <w:spacing w:after="0"/>
              <w:rPr>
                <w:sz w:val="16"/>
                <w:szCs w:val="16"/>
                <w:color w:val="auto"/>
              </w:rPr>
            </w:pPr>
          </w:p>
        </w:tc>
        <w:tc>
          <w:tcPr>
            <w:tcW w:w="180" w:type="dxa"/>
            <w:vAlign w:val="bottom"/>
            <w:tcBorders>
              <w:bottom w:val="single" w:sz="8" w:color="0000EE"/>
            </w:tcBorders>
            <w:gridSpan w:val="2"/>
          </w:tcPr>
          <w:p>
            <w:pPr>
              <w:jc w:val="right"/>
              <w:spacing w:after="0"/>
              <w:rPr>
                <w:rFonts w:ascii="Arial" w:cs="Arial" w:eastAsia="Arial" w:hAnsi="Arial"/>
                <w:sz w:val="15"/>
                <w:szCs w:val="15"/>
                <w:b w:val="1"/>
                <w:bCs w:val="1"/>
                <w:color w:val="0000EE"/>
                <w:w w:val="95"/>
              </w:rPr>
            </w:pPr>
            <w:hyperlink w:anchor="page52">
              <w:r>
                <w:rPr>
                  <w:rFonts w:ascii="Arial" w:cs="Arial" w:eastAsia="Arial" w:hAnsi="Arial"/>
                  <w:sz w:val="15"/>
                  <w:szCs w:val="15"/>
                  <w:b w:val="1"/>
                  <w:bCs w:val="1"/>
                  <w:color w:val="0000EE"/>
                  <w:w w:val="95"/>
                </w:rPr>
                <w:t>50</w:t>
              </w:r>
            </w:hyperlink>
          </w:p>
        </w:tc>
      </w:tr>
      <w:tr>
        <w:trPr>
          <w:trHeight w:val="265"/>
        </w:trPr>
        <w:tc>
          <w:tcPr>
            <w:tcW w:w="10360" w:type="dxa"/>
            <w:vAlign w:val="bottom"/>
            <w:gridSpan w:val="38"/>
          </w:tcPr>
          <w:p>
            <w:pPr>
              <w:spacing w:after="0"/>
              <w:rPr>
                <w:rFonts w:ascii="Arial" w:cs="Arial" w:eastAsia="Arial" w:hAnsi="Arial"/>
                <w:sz w:val="15"/>
                <w:szCs w:val="15"/>
                <w:b w:val="1"/>
                <w:bCs w:val="1"/>
                <w:color w:val="325889"/>
              </w:rPr>
            </w:pPr>
            <w:hyperlink w:anchor="page53">
              <w:r>
                <w:rPr>
                  <w:rFonts w:ascii="Arial" w:cs="Arial" w:eastAsia="Arial" w:hAnsi="Arial"/>
                  <w:sz w:val="15"/>
                  <w:szCs w:val="15"/>
                  <w:b w:val="1"/>
                  <w:bCs w:val="1"/>
                  <w:color w:val="325889"/>
                </w:rPr>
                <w:t>AUDIT COMMITTEE MATTERS</w:t>
              </w:r>
            </w:hyperlink>
          </w:p>
        </w:tc>
        <w:tc>
          <w:tcPr>
            <w:tcW w:w="1080" w:type="dxa"/>
            <w:vAlign w:val="bottom"/>
            <w:gridSpan w:val="4"/>
          </w:tcPr>
          <w:p>
            <w:pPr>
              <w:jc w:val="right"/>
              <w:spacing w:after="0"/>
              <w:rPr>
                <w:rFonts w:ascii="Arial" w:cs="Arial" w:eastAsia="Arial" w:hAnsi="Arial"/>
                <w:sz w:val="15"/>
                <w:szCs w:val="15"/>
                <w:b w:val="1"/>
                <w:bCs w:val="1"/>
                <w:color w:val="0000EE"/>
              </w:rPr>
            </w:pPr>
            <w:hyperlink w:anchor="page53">
              <w:r>
                <w:rPr>
                  <w:rFonts w:ascii="Arial" w:cs="Arial" w:eastAsia="Arial" w:hAnsi="Arial"/>
                  <w:sz w:val="15"/>
                  <w:szCs w:val="15"/>
                  <w:b w:val="1"/>
                  <w:bCs w:val="1"/>
                  <w:color w:val="0000EE"/>
                </w:rPr>
                <w:t>51</w:t>
              </w:r>
            </w:hyperlink>
          </w:p>
        </w:tc>
      </w:tr>
      <w:tr>
        <w:trPr>
          <w:trHeight w:val="63"/>
        </w:trPr>
        <w:tc>
          <w:tcPr>
            <w:tcW w:w="680" w:type="dxa"/>
            <w:vAlign w:val="bottom"/>
            <w:tcBorders>
              <w:top w:val="single" w:sz="8" w:color="325889"/>
              <w:bottom w:val="single" w:sz="8" w:color="98A3B8"/>
            </w:tcBorders>
          </w:tcPr>
          <w:p>
            <w:pPr>
              <w:spacing w:after="0"/>
              <w:rPr>
                <w:sz w:val="5"/>
                <w:szCs w:val="5"/>
                <w:color w:val="auto"/>
              </w:rPr>
            </w:pPr>
          </w:p>
        </w:tc>
        <w:tc>
          <w:tcPr>
            <w:tcW w:w="320" w:type="dxa"/>
            <w:vAlign w:val="bottom"/>
            <w:tcBorders>
              <w:top w:val="single" w:sz="8" w:color="325889"/>
              <w:bottom w:val="single" w:sz="8" w:color="98A3B8"/>
            </w:tcBorders>
          </w:tcPr>
          <w:p>
            <w:pPr>
              <w:spacing w:after="0"/>
              <w:rPr>
                <w:sz w:val="5"/>
                <w:szCs w:val="5"/>
                <w:color w:val="auto"/>
              </w:rPr>
            </w:pPr>
          </w:p>
        </w:tc>
        <w:tc>
          <w:tcPr>
            <w:tcW w:w="20" w:type="dxa"/>
            <w:vAlign w:val="bottom"/>
            <w:tcBorders>
              <w:top w:val="single" w:sz="8" w:color="325889"/>
              <w:bottom w:val="single" w:sz="8" w:color="98A3B8"/>
            </w:tcBorders>
          </w:tcPr>
          <w:p>
            <w:pPr>
              <w:spacing w:after="0"/>
              <w:rPr>
                <w:sz w:val="5"/>
                <w:szCs w:val="5"/>
                <w:color w:val="auto"/>
              </w:rPr>
            </w:pPr>
          </w:p>
        </w:tc>
        <w:tc>
          <w:tcPr>
            <w:tcW w:w="80" w:type="dxa"/>
            <w:vAlign w:val="bottom"/>
            <w:tcBorders>
              <w:top w:val="single" w:sz="8" w:color="325889"/>
              <w:bottom w:val="single" w:sz="8" w:color="98A3B8"/>
            </w:tcBorders>
          </w:tcPr>
          <w:p>
            <w:pPr>
              <w:spacing w:after="0"/>
              <w:rPr>
                <w:sz w:val="5"/>
                <w:szCs w:val="5"/>
                <w:color w:val="auto"/>
              </w:rPr>
            </w:pPr>
          </w:p>
        </w:tc>
        <w:tc>
          <w:tcPr>
            <w:tcW w:w="180" w:type="dxa"/>
            <w:vAlign w:val="bottom"/>
            <w:tcBorders>
              <w:top w:val="single" w:sz="8" w:color="325889"/>
              <w:bottom w:val="single" w:sz="8" w:color="98A3B8"/>
            </w:tcBorders>
          </w:tcPr>
          <w:p>
            <w:pPr>
              <w:spacing w:after="0"/>
              <w:rPr>
                <w:sz w:val="5"/>
                <w:szCs w:val="5"/>
                <w:color w:val="auto"/>
              </w:rPr>
            </w:pPr>
          </w:p>
        </w:tc>
        <w:tc>
          <w:tcPr>
            <w:tcW w:w="80" w:type="dxa"/>
            <w:vAlign w:val="bottom"/>
            <w:tcBorders>
              <w:top w:val="single" w:sz="8" w:color="325889"/>
              <w:bottom w:val="single" w:sz="8" w:color="98A3B8"/>
            </w:tcBorders>
          </w:tcPr>
          <w:p>
            <w:pPr>
              <w:spacing w:after="0"/>
              <w:rPr>
                <w:sz w:val="5"/>
                <w:szCs w:val="5"/>
                <w:color w:val="auto"/>
              </w:rPr>
            </w:pPr>
          </w:p>
        </w:tc>
        <w:tc>
          <w:tcPr>
            <w:tcW w:w="120" w:type="dxa"/>
            <w:vAlign w:val="bottom"/>
            <w:tcBorders>
              <w:top w:val="single" w:sz="8" w:color="325889"/>
              <w:bottom w:val="single" w:sz="8" w:color="98A3B8"/>
            </w:tcBorders>
          </w:tcPr>
          <w:p>
            <w:pPr>
              <w:spacing w:after="0"/>
              <w:rPr>
                <w:sz w:val="5"/>
                <w:szCs w:val="5"/>
                <w:color w:val="auto"/>
              </w:rPr>
            </w:pPr>
          </w:p>
        </w:tc>
        <w:tc>
          <w:tcPr>
            <w:tcW w:w="180" w:type="dxa"/>
            <w:vAlign w:val="bottom"/>
            <w:tcBorders>
              <w:top w:val="single" w:sz="8" w:color="325889"/>
              <w:bottom w:val="single" w:sz="8" w:color="98A3B8"/>
            </w:tcBorders>
          </w:tcPr>
          <w:p>
            <w:pPr>
              <w:spacing w:after="0"/>
              <w:rPr>
                <w:sz w:val="5"/>
                <w:szCs w:val="5"/>
                <w:color w:val="auto"/>
              </w:rPr>
            </w:pPr>
          </w:p>
        </w:tc>
        <w:tc>
          <w:tcPr>
            <w:tcW w:w="40" w:type="dxa"/>
            <w:vAlign w:val="bottom"/>
            <w:tcBorders>
              <w:top w:val="single" w:sz="8" w:color="325889"/>
              <w:bottom w:val="single" w:sz="8" w:color="98A3B8"/>
            </w:tcBorders>
          </w:tcPr>
          <w:p>
            <w:pPr>
              <w:spacing w:after="0"/>
              <w:rPr>
                <w:sz w:val="5"/>
                <w:szCs w:val="5"/>
                <w:color w:val="auto"/>
              </w:rPr>
            </w:pPr>
          </w:p>
        </w:tc>
        <w:tc>
          <w:tcPr>
            <w:tcW w:w="60" w:type="dxa"/>
            <w:vAlign w:val="bottom"/>
            <w:tcBorders>
              <w:top w:val="single" w:sz="8" w:color="325889"/>
              <w:bottom w:val="single" w:sz="8" w:color="98A3B8"/>
            </w:tcBorders>
          </w:tcPr>
          <w:p>
            <w:pPr>
              <w:spacing w:after="0"/>
              <w:rPr>
                <w:sz w:val="5"/>
                <w:szCs w:val="5"/>
                <w:color w:val="auto"/>
              </w:rPr>
            </w:pPr>
          </w:p>
        </w:tc>
        <w:tc>
          <w:tcPr>
            <w:tcW w:w="40" w:type="dxa"/>
            <w:vAlign w:val="bottom"/>
            <w:tcBorders>
              <w:top w:val="single" w:sz="8" w:color="325889"/>
              <w:bottom w:val="single" w:sz="8" w:color="98A3B8"/>
            </w:tcBorders>
          </w:tcPr>
          <w:p>
            <w:pPr>
              <w:spacing w:after="0"/>
              <w:rPr>
                <w:sz w:val="5"/>
                <w:szCs w:val="5"/>
                <w:color w:val="auto"/>
              </w:rPr>
            </w:pPr>
          </w:p>
        </w:tc>
        <w:tc>
          <w:tcPr>
            <w:tcW w:w="300" w:type="dxa"/>
            <w:vAlign w:val="bottom"/>
            <w:tcBorders>
              <w:top w:val="single" w:sz="8" w:color="325889"/>
              <w:bottom w:val="single" w:sz="8" w:color="98A3B8"/>
            </w:tcBorders>
          </w:tcPr>
          <w:p>
            <w:pPr>
              <w:spacing w:after="0"/>
              <w:rPr>
                <w:sz w:val="5"/>
                <w:szCs w:val="5"/>
                <w:color w:val="auto"/>
              </w:rPr>
            </w:pPr>
          </w:p>
        </w:tc>
        <w:tc>
          <w:tcPr>
            <w:tcW w:w="60" w:type="dxa"/>
            <w:vAlign w:val="bottom"/>
            <w:tcBorders>
              <w:top w:val="single" w:sz="8" w:color="325889"/>
              <w:bottom w:val="single" w:sz="8" w:color="98A3B8"/>
            </w:tcBorders>
          </w:tcPr>
          <w:p>
            <w:pPr>
              <w:spacing w:after="0"/>
              <w:rPr>
                <w:sz w:val="5"/>
                <w:szCs w:val="5"/>
                <w:color w:val="auto"/>
              </w:rPr>
            </w:pPr>
          </w:p>
        </w:tc>
        <w:tc>
          <w:tcPr>
            <w:tcW w:w="60" w:type="dxa"/>
            <w:vAlign w:val="bottom"/>
            <w:tcBorders>
              <w:top w:val="single" w:sz="8" w:color="325889"/>
              <w:bottom w:val="single" w:sz="8" w:color="98A3B8"/>
            </w:tcBorders>
          </w:tcPr>
          <w:p>
            <w:pPr>
              <w:spacing w:after="0"/>
              <w:rPr>
                <w:sz w:val="5"/>
                <w:szCs w:val="5"/>
                <w:color w:val="auto"/>
              </w:rPr>
            </w:pPr>
          </w:p>
        </w:tc>
        <w:tc>
          <w:tcPr>
            <w:tcW w:w="160" w:type="dxa"/>
            <w:vAlign w:val="bottom"/>
            <w:tcBorders>
              <w:bottom w:val="single" w:sz="8" w:color="98A3B8"/>
            </w:tcBorders>
          </w:tcPr>
          <w:p>
            <w:pPr>
              <w:spacing w:after="0"/>
              <w:rPr>
                <w:sz w:val="5"/>
                <w:szCs w:val="5"/>
                <w:color w:val="auto"/>
              </w:rPr>
            </w:pPr>
          </w:p>
        </w:tc>
        <w:tc>
          <w:tcPr>
            <w:tcW w:w="80" w:type="dxa"/>
            <w:vAlign w:val="bottom"/>
            <w:tcBorders>
              <w:bottom w:val="single" w:sz="8" w:color="98A3B8"/>
            </w:tcBorders>
          </w:tcPr>
          <w:p>
            <w:pPr>
              <w:spacing w:after="0"/>
              <w:rPr>
                <w:sz w:val="5"/>
                <w:szCs w:val="5"/>
                <w:color w:val="auto"/>
              </w:rPr>
            </w:pPr>
          </w:p>
        </w:tc>
        <w:tc>
          <w:tcPr>
            <w:tcW w:w="40" w:type="dxa"/>
            <w:vAlign w:val="bottom"/>
            <w:tcBorders>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20" w:type="dxa"/>
            <w:vAlign w:val="bottom"/>
            <w:tcBorders>
              <w:bottom w:val="single" w:sz="8" w:color="98A3B8"/>
            </w:tcBorders>
          </w:tcPr>
          <w:p>
            <w:pPr>
              <w:spacing w:after="0"/>
              <w:rPr>
                <w:sz w:val="5"/>
                <w:szCs w:val="5"/>
                <w:color w:val="auto"/>
              </w:rPr>
            </w:pPr>
          </w:p>
        </w:tc>
        <w:tc>
          <w:tcPr>
            <w:tcW w:w="240" w:type="dxa"/>
            <w:vAlign w:val="bottom"/>
            <w:tcBorders>
              <w:bottom w:val="single" w:sz="8" w:color="98A3B8"/>
            </w:tcBorders>
          </w:tcPr>
          <w:p>
            <w:pPr>
              <w:spacing w:after="0"/>
              <w:rPr>
                <w:sz w:val="5"/>
                <w:szCs w:val="5"/>
                <w:color w:val="auto"/>
              </w:rPr>
            </w:pPr>
          </w:p>
        </w:tc>
        <w:tc>
          <w:tcPr>
            <w:tcW w:w="40" w:type="dxa"/>
            <w:vAlign w:val="bottom"/>
            <w:tcBorders>
              <w:bottom w:val="single" w:sz="8" w:color="98A3B8"/>
            </w:tcBorders>
          </w:tcPr>
          <w:p>
            <w:pPr>
              <w:spacing w:after="0"/>
              <w:rPr>
                <w:sz w:val="5"/>
                <w:szCs w:val="5"/>
                <w:color w:val="auto"/>
              </w:rPr>
            </w:pPr>
          </w:p>
        </w:tc>
        <w:tc>
          <w:tcPr>
            <w:tcW w:w="280" w:type="dxa"/>
            <w:vAlign w:val="bottom"/>
            <w:tcBorders>
              <w:bottom w:val="single" w:sz="8" w:color="98A3B8"/>
            </w:tcBorders>
          </w:tcPr>
          <w:p>
            <w:pPr>
              <w:spacing w:after="0"/>
              <w:rPr>
                <w:sz w:val="5"/>
                <w:szCs w:val="5"/>
                <w:color w:val="auto"/>
              </w:rPr>
            </w:pPr>
          </w:p>
        </w:tc>
        <w:tc>
          <w:tcPr>
            <w:tcW w:w="500" w:type="dxa"/>
            <w:vAlign w:val="bottom"/>
            <w:tcBorders>
              <w:bottom w:val="single" w:sz="8" w:color="98A3B8"/>
            </w:tcBorders>
          </w:tcPr>
          <w:p>
            <w:pPr>
              <w:spacing w:after="0"/>
              <w:rPr>
                <w:sz w:val="5"/>
                <w:szCs w:val="5"/>
                <w:color w:val="auto"/>
              </w:rPr>
            </w:pPr>
          </w:p>
        </w:tc>
        <w:tc>
          <w:tcPr>
            <w:tcW w:w="100" w:type="dxa"/>
            <w:vAlign w:val="bottom"/>
            <w:tcBorders>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400" w:type="dxa"/>
            <w:vAlign w:val="bottom"/>
            <w:tcBorders>
              <w:bottom w:val="single" w:sz="8" w:color="98A3B8"/>
            </w:tcBorders>
          </w:tcPr>
          <w:p>
            <w:pPr>
              <w:spacing w:after="0"/>
              <w:rPr>
                <w:sz w:val="5"/>
                <w:szCs w:val="5"/>
                <w:color w:val="auto"/>
              </w:rPr>
            </w:pPr>
          </w:p>
        </w:tc>
        <w:tc>
          <w:tcPr>
            <w:tcW w:w="300" w:type="dxa"/>
            <w:vAlign w:val="bottom"/>
            <w:tcBorders>
              <w:bottom w:val="single" w:sz="8" w:color="98A3B8"/>
            </w:tcBorders>
          </w:tcPr>
          <w:p>
            <w:pPr>
              <w:spacing w:after="0"/>
              <w:rPr>
                <w:sz w:val="5"/>
                <w:szCs w:val="5"/>
                <w:color w:val="auto"/>
              </w:rPr>
            </w:pPr>
          </w:p>
        </w:tc>
        <w:tc>
          <w:tcPr>
            <w:tcW w:w="80" w:type="dxa"/>
            <w:vAlign w:val="bottom"/>
            <w:tcBorders>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120" w:type="dxa"/>
            <w:vAlign w:val="bottom"/>
            <w:tcBorders>
              <w:bottom w:val="single" w:sz="8" w:color="98A3B8"/>
            </w:tcBorders>
          </w:tcPr>
          <w:p>
            <w:pPr>
              <w:spacing w:after="0"/>
              <w:rPr>
                <w:sz w:val="5"/>
                <w:szCs w:val="5"/>
                <w:color w:val="auto"/>
              </w:rPr>
            </w:pPr>
          </w:p>
        </w:tc>
        <w:tc>
          <w:tcPr>
            <w:tcW w:w="40" w:type="dxa"/>
            <w:vAlign w:val="bottom"/>
            <w:tcBorders>
              <w:bottom w:val="single" w:sz="8" w:color="98A3B8"/>
            </w:tcBorders>
          </w:tcPr>
          <w:p>
            <w:pPr>
              <w:spacing w:after="0"/>
              <w:rPr>
                <w:sz w:val="5"/>
                <w:szCs w:val="5"/>
                <w:color w:val="auto"/>
              </w:rPr>
            </w:pPr>
          </w:p>
        </w:tc>
        <w:tc>
          <w:tcPr>
            <w:tcW w:w="1020" w:type="dxa"/>
            <w:vAlign w:val="bottom"/>
            <w:tcBorders>
              <w:bottom w:val="single" w:sz="8" w:color="98A3B8"/>
            </w:tcBorders>
          </w:tcPr>
          <w:p>
            <w:pPr>
              <w:spacing w:after="0"/>
              <w:rPr>
                <w:sz w:val="5"/>
                <w:szCs w:val="5"/>
                <w:color w:val="auto"/>
              </w:rPr>
            </w:pPr>
          </w:p>
        </w:tc>
        <w:tc>
          <w:tcPr>
            <w:tcW w:w="720" w:type="dxa"/>
            <w:vAlign w:val="bottom"/>
            <w:tcBorders>
              <w:bottom w:val="single" w:sz="8" w:color="98A3B8"/>
            </w:tcBorders>
          </w:tcPr>
          <w:p>
            <w:pPr>
              <w:spacing w:after="0"/>
              <w:rPr>
                <w:sz w:val="5"/>
                <w:szCs w:val="5"/>
                <w:color w:val="auto"/>
              </w:rPr>
            </w:pPr>
          </w:p>
        </w:tc>
        <w:tc>
          <w:tcPr>
            <w:tcW w:w="140" w:type="dxa"/>
            <w:vAlign w:val="bottom"/>
            <w:tcBorders>
              <w:bottom w:val="single" w:sz="8" w:color="98A3B8"/>
            </w:tcBorders>
          </w:tcPr>
          <w:p>
            <w:pPr>
              <w:spacing w:after="0"/>
              <w:rPr>
                <w:sz w:val="5"/>
                <w:szCs w:val="5"/>
                <w:color w:val="auto"/>
              </w:rPr>
            </w:pPr>
          </w:p>
        </w:tc>
        <w:tc>
          <w:tcPr>
            <w:tcW w:w="2760" w:type="dxa"/>
            <w:vAlign w:val="bottom"/>
            <w:tcBorders>
              <w:bottom w:val="single" w:sz="8" w:color="98A3B8"/>
            </w:tcBorders>
          </w:tcPr>
          <w:p>
            <w:pPr>
              <w:spacing w:after="0"/>
              <w:rPr>
                <w:sz w:val="5"/>
                <w:szCs w:val="5"/>
                <w:color w:val="auto"/>
              </w:rPr>
            </w:pPr>
          </w:p>
        </w:tc>
        <w:tc>
          <w:tcPr>
            <w:tcW w:w="800" w:type="dxa"/>
            <w:vAlign w:val="bottom"/>
            <w:tcBorders>
              <w:bottom w:val="single" w:sz="8" w:color="98A3B8"/>
            </w:tcBorders>
          </w:tcPr>
          <w:p>
            <w:pPr>
              <w:spacing w:after="0"/>
              <w:rPr>
                <w:sz w:val="5"/>
                <w:szCs w:val="5"/>
                <w:color w:val="auto"/>
              </w:rPr>
            </w:pPr>
          </w:p>
        </w:tc>
        <w:tc>
          <w:tcPr>
            <w:tcW w:w="820" w:type="dxa"/>
            <w:vAlign w:val="bottom"/>
            <w:tcBorders>
              <w:bottom w:val="single" w:sz="8" w:color="98A3B8"/>
            </w:tcBorders>
          </w:tcPr>
          <w:p>
            <w:pPr>
              <w:spacing w:after="0"/>
              <w:rPr>
                <w:sz w:val="5"/>
                <w:szCs w:val="5"/>
                <w:color w:val="auto"/>
              </w:rPr>
            </w:pPr>
          </w:p>
        </w:tc>
        <w:tc>
          <w:tcPr>
            <w:tcW w:w="80" w:type="dxa"/>
            <w:vAlign w:val="bottom"/>
            <w:tcBorders>
              <w:bottom w:val="single" w:sz="8" w:color="98A3B8"/>
            </w:tcBorders>
          </w:tcPr>
          <w:p>
            <w:pPr>
              <w:spacing w:after="0"/>
              <w:rPr>
                <w:sz w:val="5"/>
                <w:szCs w:val="5"/>
                <w:color w:val="auto"/>
              </w:rPr>
            </w:pPr>
          </w:p>
        </w:tc>
        <w:tc>
          <w:tcPr>
            <w:tcW w:w="80" w:type="dxa"/>
            <w:vAlign w:val="bottom"/>
            <w:tcBorders>
              <w:top w:val="single" w:sz="8" w:color="0000EE"/>
              <w:bottom w:val="single" w:sz="8" w:color="98A3B8"/>
            </w:tcBorders>
          </w:tcPr>
          <w:p>
            <w:pPr>
              <w:spacing w:after="0"/>
              <w:rPr>
                <w:sz w:val="5"/>
                <w:szCs w:val="5"/>
                <w:color w:val="auto"/>
              </w:rPr>
            </w:pPr>
          </w:p>
        </w:tc>
        <w:tc>
          <w:tcPr>
            <w:tcW w:w="100" w:type="dxa"/>
            <w:vAlign w:val="bottom"/>
            <w:tcBorders>
              <w:top w:val="single" w:sz="8" w:color="0000EE"/>
              <w:bottom w:val="single" w:sz="8" w:color="98A3B8"/>
            </w:tcBorders>
          </w:tcPr>
          <w:p>
            <w:pPr>
              <w:spacing w:after="0"/>
              <w:rPr>
                <w:sz w:val="5"/>
                <w:szCs w:val="5"/>
                <w:color w:val="auto"/>
              </w:rPr>
            </w:pPr>
          </w:p>
        </w:tc>
      </w:tr>
      <w:tr>
        <w:trPr>
          <w:trHeight w:val="194"/>
        </w:trPr>
        <w:tc>
          <w:tcPr>
            <w:tcW w:w="6800" w:type="dxa"/>
            <w:vAlign w:val="bottom"/>
            <w:tcBorders>
              <w:bottom w:val="single" w:sz="8" w:color="0000EE"/>
            </w:tcBorders>
            <w:gridSpan w:val="36"/>
          </w:tcPr>
          <w:p>
            <w:pPr>
              <w:spacing w:after="0"/>
              <w:rPr>
                <w:rFonts w:ascii="Arial" w:cs="Arial" w:eastAsia="Arial" w:hAnsi="Arial"/>
                <w:sz w:val="15"/>
                <w:szCs w:val="15"/>
                <w:b w:val="1"/>
                <w:bCs w:val="1"/>
                <w:color w:val="0000EE"/>
              </w:rPr>
            </w:pPr>
            <w:hyperlink w:anchor="page53">
              <w:r>
                <w:rPr>
                  <w:rFonts w:ascii="Arial" w:cs="Arial" w:eastAsia="Arial" w:hAnsi="Arial"/>
                  <w:sz w:val="15"/>
                  <w:szCs w:val="15"/>
                  <w:b w:val="1"/>
                  <w:bCs w:val="1"/>
                  <w:color w:val="0000EE"/>
                </w:rPr>
                <w:t>Proposal 4: Ratification of Appointment of Independent Registered Public Accounting Firm</w:t>
              </w:r>
            </w:hyperlink>
          </w:p>
        </w:tc>
        <w:tc>
          <w:tcPr>
            <w:tcW w:w="3560" w:type="dxa"/>
            <w:vAlign w:val="bottom"/>
            <w:gridSpan w:val="2"/>
          </w:tcPr>
          <w:p>
            <w:pPr>
              <w:spacing w:after="0"/>
              <w:rPr>
                <w:sz w:val="16"/>
                <w:szCs w:val="16"/>
                <w:color w:val="auto"/>
              </w:rPr>
            </w:pPr>
          </w:p>
        </w:tc>
        <w:tc>
          <w:tcPr>
            <w:tcW w:w="900" w:type="dxa"/>
            <w:vAlign w:val="bottom"/>
            <w:gridSpan w:val="2"/>
          </w:tcPr>
          <w:p>
            <w:pPr>
              <w:spacing w:after="0"/>
              <w:rPr>
                <w:sz w:val="16"/>
                <w:szCs w:val="16"/>
                <w:color w:val="auto"/>
              </w:rPr>
            </w:pPr>
          </w:p>
        </w:tc>
        <w:tc>
          <w:tcPr>
            <w:tcW w:w="180" w:type="dxa"/>
            <w:vAlign w:val="bottom"/>
            <w:tcBorders>
              <w:bottom w:val="single" w:sz="8" w:color="0000EE"/>
            </w:tcBorders>
            <w:gridSpan w:val="2"/>
          </w:tcPr>
          <w:p>
            <w:pPr>
              <w:jc w:val="right"/>
              <w:spacing w:after="0"/>
              <w:rPr>
                <w:rFonts w:ascii="Arial" w:cs="Arial" w:eastAsia="Arial" w:hAnsi="Arial"/>
                <w:sz w:val="15"/>
                <w:szCs w:val="15"/>
                <w:b w:val="1"/>
                <w:bCs w:val="1"/>
                <w:color w:val="0000EE"/>
                <w:w w:val="95"/>
              </w:rPr>
            </w:pPr>
            <w:hyperlink w:anchor="page53">
              <w:r>
                <w:rPr>
                  <w:rFonts w:ascii="Arial" w:cs="Arial" w:eastAsia="Arial" w:hAnsi="Arial"/>
                  <w:sz w:val="15"/>
                  <w:szCs w:val="15"/>
                  <w:b w:val="1"/>
                  <w:bCs w:val="1"/>
                  <w:color w:val="0000EE"/>
                  <w:w w:val="95"/>
                </w:rPr>
                <w:t>51</w:t>
              </w:r>
            </w:hyperlink>
          </w:p>
        </w:tc>
      </w:tr>
      <w:tr>
        <w:trPr>
          <w:trHeight w:val="265"/>
        </w:trPr>
        <w:tc>
          <w:tcPr>
            <w:tcW w:w="10360" w:type="dxa"/>
            <w:vAlign w:val="bottom"/>
            <w:gridSpan w:val="38"/>
          </w:tcPr>
          <w:p>
            <w:pPr>
              <w:spacing w:after="0"/>
              <w:rPr>
                <w:rFonts w:ascii="Arial" w:cs="Arial" w:eastAsia="Arial" w:hAnsi="Arial"/>
                <w:sz w:val="15"/>
                <w:szCs w:val="15"/>
                <w:b w:val="1"/>
                <w:bCs w:val="1"/>
                <w:color w:val="0000EE"/>
              </w:rPr>
            </w:pPr>
            <w:hyperlink w:anchor="page53">
              <w:r>
                <w:rPr>
                  <w:rFonts w:ascii="Arial" w:cs="Arial" w:eastAsia="Arial" w:hAnsi="Arial"/>
                  <w:sz w:val="15"/>
                  <w:szCs w:val="15"/>
                  <w:b w:val="1"/>
                  <w:bCs w:val="1"/>
                  <w:color w:val="0000EE"/>
                </w:rPr>
                <w:t>Audit Committee Report</w:t>
              </w:r>
            </w:hyperlink>
          </w:p>
        </w:tc>
        <w:tc>
          <w:tcPr>
            <w:tcW w:w="1080" w:type="dxa"/>
            <w:vAlign w:val="bottom"/>
            <w:gridSpan w:val="4"/>
          </w:tcPr>
          <w:p>
            <w:pPr>
              <w:jc w:val="right"/>
              <w:spacing w:after="0"/>
              <w:rPr>
                <w:rFonts w:ascii="Arial" w:cs="Arial" w:eastAsia="Arial" w:hAnsi="Arial"/>
                <w:sz w:val="15"/>
                <w:szCs w:val="15"/>
                <w:b w:val="1"/>
                <w:bCs w:val="1"/>
                <w:color w:val="0000EE"/>
              </w:rPr>
            </w:pPr>
            <w:hyperlink w:anchor="page53">
              <w:r>
                <w:rPr>
                  <w:rFonts w:ascii="Arial" w:cs="Arial" w:eastAsia="Arial" w:hAnsi="Arial"/>
                  <w:sz w:val="15"/>
                  <w:szCs w:val="15"/>
                  <w:b w:val="1"/>
                  <w:bCs w:val="1"/>
                  <w:color w:val="0000EE"/>
                </w:rPr>
                <w:t>51</w:t>
              </w:r>
            </w:hyperlink>
          </w:p>
        </w:tc>
      </w:tr>
      <w:tr>
        <w:trPr>
          <w:trHeight w:val="265"/>
        </w:trPr>
        <w:tc>
          <w:tcPr>
            <w:tcW w:w="1100" w:type="dxa"/>
            <w:vAlign w:val="bottom"/>
            <w:tcBorders>
              <w:top w:val="single" w:sz="8" w:color="0000EE"/>
              <w:bottom w:val="single" w:sz="8" w:color="0000EE"/>
            </w:tcBorders>
            <w:gridSpan w:val="4"/>
          </w:tcPr>
          <w:p>
            <w:pPr>
              <w:spacing w:after="0"/>
              <w:rPr>
                <w:rFonts w:ascii="Arial" w:cs="Arial" w:eastAsia="Arial" w:hAnsi="Arial"/>
                <w:sz w:val="15"/>
                <w:szCs w:val="15"/>
                <w:b w:val="1"/>
                <w:bCs w:val="1"/>
                <w:color w:val="0000EE"/>
              </w:rPr>
            </w:pPr>
            <w:hyperlink w:anchor="page54">
              <w:r>
                <w:rPr>
                  <w:rFonts w:ascii="Arial" w:cs="Arial" w:eastAsia="Arial" w:hAnsi="Arial"/>
                  <w:sz w:val="15"/>
                  <w:szCs w:val="15"/>
                  <w:b w:val="1"/>
                  <w:bCs w:val="1"/>
                  <w:color w:val="0000EE"/>
                </w:rPr>
                <w:t>Fee Disclosure</w:t>
              </w:r>
            </w:hyperlink>
          </w:p>
        </w:tc>
        <w:tc>
          <w:tcPr>
            <w:tcW w:w="660" w:type="dxa"/>
            <w:vAlign w:val="bottom"/>
            <w:tcBorders>
              <w:top w:val="single" w:sz="8" w:color="0000EE"/>
            </w:tcBorders>
            <w:gridSpan w:val="6"/>
          </w:tcPr>
          <w:p>
            <w:pPr>
              <w:spacing w:after="0"/>
              <w:rPr>
                <w:sz w:val="23"/>
                <w:szCs w:val="23"/>
                <w:color w:val="auto"/>
              </w:rPr>
            </w:pPr>
          </w:p>
        </w:tc>
        <w:tc>
          <w:tcPr>
            <w:tcW w:w="8600" w:type="dxa"/>
            <w:vAlign w:val="bottom"/>
            <w:gridSpan w:val="28"/>
          </w:tcPr>
          <w:p>
            <w:pPr>
              <w:spacing w:after="0"/>
              <w:rPr>
                <w:sz w:val="23"/>
                <w:szCs w:val="23"/>
                <w:color w:val="auto"/>
              </w:rPr>
            </w:pPr>
          </w:p>
        </w:tc>
        <w:tc>
          <w:tcPr>
            <w:tcW w:w="900" w:type="dxa"/>
            <w:vAlign w:val="bottom"/>
            <w:gridSpan w:val="2"/>
          </w:tcPr>
          <w:p>
            <w:pPr>
              <w:spacing w:after="0"/>
              <w:rPr>
                <w:sz w:val="23"/>
                <w:szCs w:val="23"/>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5"/>
                <w:szCs w:val="15"/>
                <w:b w:val="1"/>
                <w:bCs w:val="1"/>
                <w:color w:val="0000EE"/>
                <w:w w:val="95"/>
              </w:rPr>
            </w:pPr>
            <w:hyperlink w:anchor="page54">
              <w:r>
                <w:rPr>
                  <w:rFonts w:ascii="Arial" w:cs="Arial" w:eastAsia="Arial" w:hAnsi="Arial"/>
                  <w:sz w:val="15"/>
                  <w:szCs w:val="15"/>
                  <w:b w:val="1"/>
                  <w:bCs w:val="1"/>
                  <w:color w:val="0000EE"/>
                  <w:w w:val="95"/>
                </w:rPr>
                <w:t>52</w:t>
              </w:r>
            </w:hyperlink>
          </w:p>
        </w:tc>
      </w:tr>
      <w:tr>
        <w:trPr>
          <w:trHeight w:val="265"/>
        </w:trPr>
        <w:tc>
          <w:tcPr>
            <w:tcW w:w="4560" w:type="dxa"/>
            <w:vAlign w:val="bottom"/>
            <w:tcBorders>
              <w:bottom w:val="single" w:sz="8" w:color="0000EE"/>
            </w:tcBorders>
            <w:gridSpan w:val="28"/>
          </w:tcPr>
          <w:p>
            <w:pPr>
              <w:spacing w:after="0"/>
              <w:rPr>
                <w:rFonts w:ascii="Arial" w:cs="Arial" w:eastAsia="Arial" w:hAnsi="Arial"/>
                <w:sz w:val="15"/>
                <w:szCs w:val="15"/>
                <w:b w:val="1"/>
                <w:bCs w:val="1"/>
                <w:color w:val="0000EE"/>
              </w:rPr>
            </w:pPr>
            <w:hyperlink w:anchor="page54">
              <w:r>
                <w:rPr>
                  <w:rFonts w:ascii="Arial" w:cs="Arial" w:eastAsia="Arial" w:hAnsi="Arial"/>
                  <w:sz w:val="15"/>
                  <w:szCs w:val="15"/>
                  <w:b w:val="1"/>
                  <w:bCs w:val="1"/>
                  <w:color w:val="0000EE"/>
                </w:rPr>
                <w:t>Pre-Approval Policies and Procedures of our Audit Committee</w:t>
              </w:r>
            </w:hyperlink>
          </w:p>
        </w:tc>
        <w:tc>
          <w:tcPr>
            <w:tcW w:w="5800" w:type="dxa"/>
            <w:vAlign w:val="bottom"/>
            <w:gridSpan w:val="10"/>
          </w:tcPr>
          <w:p>
            <w:pPr>
              <w:spacing w:after="0"/>
              <w:rPr>
                <w:sz w:val="23"/>
                <w:szCs w:val="23"/>
                <w:color w:val="auto"/>
              </w:rPr>
            </w:pPr>
          </w:p>
        </w:tc>
        <w:tc>
          <w:tcPr>
            <w:tcW w:w="900" w:type="dxa"/>
            <w:vAlign w:val="bottom"/>
            <w:gridSpan w:val="2"/>
          </w:tcPr>
          <w:p>
            <w:pPr>
              <w:spacing w:after="0"/>
              <w:rPr>
                <w:sz w:val="23"/>
                <w:szCs w:val="23"/>
                <w:color w:val="auto"/>
              </w:rPr>
            </w:pPr>
          </w:p>
        </w:tc>
        <w:tc>
          <w:tcPr>
            <w:tcW w:w="180" w:type="dxa"/>
            <w:vAlign w:val="bottom"/>
            <w:tcBorders>
              <w:bottom w:val="single" w:sz="8" w:color="0000EE"/>
            </w:tcBorders>
            <w:gridSpan w:val="2"/>
          </w:tcPr>
          <w:p>
            <w:pPr>
              <w:jc w:val="right"/>
              <w:spacing w:after="0"/>
              <w:rPr>
                <w:rFonts w:ascii="Arial" w:cs="Arial" w:eastAsia="Arial" w:hAnsi="Arial"/>
                <w:sz w:val="15"/>
                <w:szCs w:val="15"/>
                <w:b w:val="1"/>
                <w:bCs w:val="1"/>
                <w:color w:val="0000EE"/>
                <w:w w:val="95"/>
              </w:rPr>
            </w:pPr>
            <w:hyperlink w:anchor="page54">
              <w:r>
                <w:rPr>
                  <w:rFonts w:ascii="Arial" w:cs="Arial" w:eastAsia="Arial" w:hAnsi="Arial"/>
                  <w:sz w:val="15"/>
                  <w:szCs w:val="15"/>
                  <w:b w:val="1"/>
                  <w:bCs w:val="1"/>
                  <w:color w:val="0000EE"/>
                  <w:w w:val="95"/>
                </w:rPr>
                <w:t>52</w:t>
              </w:r>
            </w:hyperlink>
          </w:p>
        </w:tc>
      </w:tr>
      <w:tr>
        <w:trPr>
          <w:trHeight w:val="265"/>
        </w:trPr>
        <w:tc>
          <w:tcPr>
            <w:tcW w:w="10360" w:type="dxa"/>
            <w:vAlign w:val="bottom"/>
            <w:gridSpan w:val="38"/>
          </w:tcPr>
          <w:p>
            <w:pPr>
              <w:spacing w:after="0"/>
              <w:rPr>
                <w:rFonts w:ascii="Arial" w:cs="Arial" w:eastAsia="Arial" w:hAnsi="Arial"/>
                <w:sz w:val="15"/>
                <w:szCs w:val="15"/>
                <w:b w:val="1"/>
                <w:bCs w:val="1"/>
                <w:color w:val="325889"/>
              </w:rPr>
            </w:pPr>
            <w:hyperlink w:anchor="page55">
              <w:r>
                <w:rPr>
                  <w:rFonts w:ascii="Arial" w:cs="Arial" w:eastAsia="Arial" w:hAnsi="Arial"/>
                  <w:sz w:val="15"/>
                  <w:szCs w:val="15"/>
                  <w:b w:val="1"/>
                  <w:bCs w:val="1"/>
                  <w:color w:val="325889"/>
                </w:rPr>
                <w:t>SAY-ON-FREQUENCY PROPOSAL</w:t>
              </w:r>
            </w:hyperlink>
          </w:p>
        </w:tc>
        <w:tc>
          <w:tcPr>
            <w:tcW w:w="1080" w:type="dxa"/>
            <w:vAlign w:val="bottom"/>
            <w:gridSpan w:val="4"/>
          </w:tcPr>
          <w:p>
            <w:pPr>
              <w:jc w:val="right"/>
              <w:spacing w:after="0"/>
              <w:rPr>
                <w:rFonts w:ascii="Arial" w:cs="Arial" w:eastAsia="Arial" w:hAnsi="Arial"/>
                <w:sz w:val="15"/>
                <w:szCs w:val="15"/>
                <w:b w:val="1"/>
                <w:bCs w:val="1"/>
                <w:color w:val="0000EE"/>
              </w:rPr>
            </w:pPr>
            <w:hyperlink w:anchor="page55">
              <w:r>
                <w:rPr>
                  <w:rFonts w:ascii="Arial" w:cs="Arial" w:eastAsia="Arial" w:hAnsi="Arial"/>
                  <w:sz w:val="15"/>
                  <w:szCs w:val="15"/>
                  <w:b w:val="1"/>
                  <w:bCs w:val="1"/>
                  <w:color w:val="0000EE"/>
                </w:rPr>
                <w:t>53</w:t>
              </w:r>
            </w:hyperlink>
          </w:p>
        </w:tc>
      </w:tr>
      <w:tr>
        <w:trPr>
          <w:trHeight w:val="63"/>
        </w:trPr>
        <w:tc>
          <w:tcPr>
            <w:tcW w:w="680" w:type="dxa"/>
            <w:vAlign w:val="bottom"/>
            <w:tcBorders>
              <w:top w:val="single" w:sz="8" w:color="325889"/>
              <w:bottom w:val="single" w:sz="8" w:color="98A3B8"/>
            </w:tcBorders>
          </w:tcPr>
          <w:p>
            <w:pPr>
              <w:spacing w:after="0"/>
              <w:rPr>
                <w:sz w:val="5"/>
                <w:szCs w:val="5"/>
                <w:color w:val="auto"/>
              </w:rPr>
            </w:pPr>
          </w:p>
        </w:tc>
        <w:tc>
          <w:tcPr>
            <w:tcW w:w="320" w:type="dxa"/>
            <w:vAlign w:val="bottom"/>
            <w:tcBorders>
              <w:top w:val="single" w:sz="8" w:color="325889"/>
              <w:bottom w:val="single" w:sz="8" w:color="98A3B8"/>
            </w:tcBorders>
          </w:tcPr>
          <w:p>
            <w:pPr>
              <w:spacing w:after="0"/>
              <w:rPr>
                <w:sz w:val="5"/>
                <w:szCs w:val="5"/>
                <w:color w:val="auto"/>
              </w:rPr>
            </w:pPr>
          </w:p>
        </w:tc>
        <w:tc>
          <w:tcPr>
            <w:tcW w:w="20" w:type="dxa"/>
            <w:vAlign w:val="bottom"/>
            <w:tcBorders>
              <w:top w:val="single" w:sz="8" w:color="325889"/>
              <w:bottom w:val="single" w:sz="8" w:color="98A3B8"/>
            </w:tcBorders>
          </w:tcPr>
          <w:p>
            <w:pPr>
              <w:spacing w:after="0"/>
              <w:rPr>
                <w:sz w:val="5"/>
                <w:szCs w:val="5"/>
                <w:color w:val="auto"/>
              </w:rPr>
            </w:pPr>
          </w:p>
        </w:tc>
        <w:tc>
          <w:tcPr>
            <w:tcW w:w="80" w:type="dxa"/>
            <w:vAlign w:val="bottom"/>
            <w:tcBorders>
              <w:top w:val="single" w:sz="8" w:color="325889"/>
              <w:bottom w:val="single" w:sz="8" w:color="98A3B8"/>
            </w:tcBorders>
          </w:tcPr>
          <w:p>
            <w:pPr>
              <w:spacing w:after="0"/>
              <w:rPr>
                <w:sz w:val="5"/>
                <w:szCs w:val="5"/>
                <w:color w:val="auto"/>
              </w:rPr>
            </w:pPr>
          </w:p>
        </w:tc>
        <w:tc>
          <w:tcPr>
            <w:tcW w:w="180" w:type="dxa"/>
            <w:vAlign w:val="bottom"/>
            <w:tcBorders>
              <w:top w:val="single" w:sz="8" w:color="325889"/>
              <w:bottom w:val="single" w:sz="8" w:color="98A3B8"/>
            </w:tcBorders>
          </w:tcPr>
          <w:p>
            <w:pPr>
              <w:spacing w:after="0"/>
              <w:rPr>
                <w:sz w:val="5"/>
                <w:szCs w:val="5"/>
                <w:color w:val="auto"/>
              </w:rPr>
            </w:pPr>
          </w:p>
        </w:tc>
        <w:tc>
          <w:tcPr>
            <w:tcW w:w="80" w:type="dxa"/>
            <w:vAlign w:val="bottom"/>
            <w:tcBorders>
              <w:top w:val="single" w:sz="8" w:color="325889"/>
              <w:bottom w:val="single" w:sz="8" w:color="98A3B8"/>
            </w:tcBorders>
          </w:tcPr>
          <w:p>
            <w:pPr>
              <w:spacing w:after="0"/>
              <w:rPr>
                <w:sz w:val="5"/>
                <w:szCs w:val="5"/>
                <w:color w:val="auto"/>
              </w:rPr>
            </w:pPr>
          </w:p>
        </w:tc>
        <w:tc>
          <w:tcPr>
            <w:tcW w:w="120" w:type="dxa"/>
            <w:vAlign w:val="bottom"/>
            <w:tcBorders>
              <w:top w:val="single" w:sz="8" w:color="325889"/>
              <w:bottom w:val="single" w:sz="8" w:color="98A3B8"/>
            </w:tcBorders>
          </w:tcPr>
          <w:p>
            <w:pPr>
              <w:spacing w:after="0"/>
              <w:rPr>
                <w:sz w:val="5"/>
                <w:szCs w:val="5"/>
                <w:color w:val="auto"/>
              </w:rPr>
            </w:pPr>
          </w:p>
        </w:tc>
        <w:tc>
          <w:tcPr>
            <w:tcW w:w="180" w:type="dxa"/>
            <w:vAlign w:val="bottom"/>
            <w:tcBorders>
              <w:top w:val="single" w:sz="8" w:color="325889"/>
              <w:bottom w:val="single" w:sz="8" w:color="98A3B8"/>
            </w:tcBorders>
          </w:tcPr>
          <w:p>
            <w:pPr>
              <w:spacing w:after="0"/>
              <w:rPr>
                <w:sz w:val="5"/>
                <w:szCs w:val="5"/>
                <w:color w:val="auto"/>
              </w:rPr>
            </w:pPr>
          </w:p>
        </w:tc>
        <w:tc>
          <w:tcPr>
            <w:tcW w:w="40" w:type="dxa"/>
            <w:vAlign w:val="bottom"/>
            <w:tcBorders>
              <w:top w:val="single" w:sz="8" w:color="325889"/>
              <w:bottom w:val="single" w:sz="8" w:color="98A3B8"/>
            </w:tcBorders>
          </w:tcPr>
          <w:p>
            <w:pPr>
              <w:spacing w:after="0"/>
              <w:rPr>
                <w:sz w:val="5"/>
                <w:szCs w:val="5"/>
                <w:color w:val="auto"/>
              </w:rPr>
            </w:pPr>
          </w:p>
        </w:tc>
        <w:tc>
          <w:tcPr>
            <w:tcW w:w="60" w:type="dxa"/>
            <w:vAlign w:val="bottom"/>
            <w:tcBorders>
              <w:top w:val="single" w:sz="8" w:color="325889"/>
              <w:bottom w:val="single" w:sz="8" w:color="98A3B8"/>
            </w:tcBorders>
          </w:tcPr>
          <w:p>
            <w:pPr>
              <w:spacing w:after="0"/>
              <w:rPr>
                <w:sz w:val="5"/>
                <w:szCs w:val="5"/>
                <w:color w:val="auto"/>
              </w:rPr>
            </w:pPr>
          </w:p>
        </w:tc>
        <w:tc>
          <w:tcPr>
            <w:tcW w:w="40" w:type="dxa"/>
            <w:vAlign w:val="bottom"/>
            <w:tcBorders>
              <w:top w:val="single" w:sz="8" w:color="325889"/>
              <w:bottom w:val="single" w:sz="8" w:color="98A3B8"/>
            </w:tcBorders>
          </w:tcPr>
          <w:p>
            <w:pPr>
              <w:spacing w:after="0"/>
              <w:rPr>
                <w:sz w:val="5"/>
                <w:szCs w:val="5"/>
                <w:color w:val="auto"/>
              </w:rPr>
            </w:pPr>
          </w:p>
        </w:tc>
        <w:tc>
          <w:tcPr>
            <w:tcW w:w="300" w:type="dxa"/>
            <w:vAlign w:val="bottom"/>
            <w:tcBorders>
              <w:top w:val="single" w:sz="8" w:color="325889"/>
              <w:bottom w:val="single" w:sz="8" w:color="98A3B8"/>
            </w:tcBorders>
          </w:tcPr>
          <w:p>
            <w:pPr>
              <w:spacing w:after="0"/>
              <w:rPr>
                <w:sz w:val="5"/>
                <w:szCs w:val="5"/>
                <w:color w:val="auto"/>
              </w:rPr>
            </w:pPr>
          </w:p>
        </w:tc>
        <w:tc>
          <w:tcPr>
            <w:tcW w:w="60" w:type="dxa"/>
            <w:vAlign w:val="bottom"/>
            <w:tcBorders>
              <w:top w:val="single" w:sz="8" w:color="325889"/>
              <w:bottom w:val="single" w:sz="8" w:color="98A3B8"/>
            </w:tcBorders>
          </w:tcPr>
          <w:p>
            <w:pPr>
              <w:spacing w:after="0"/>
              <w:rPr>
                <w:sz w:val="5"/>
                <w:szCs w:val="5"/>
                <w:color w:val="auto"/>
              </w:rPr>
            </w:pPr>
          </w:p>
        </w:tc>
        <w:tc>
          <w:tcPr>
            <w:tcW w:w="60" w:type="dxa"/>
            <w:vAlign w:val="bottom"/>
            <w:tcBorders>
              <w:top w:val="single" w:sz="8" w:color="325889"/>
              <w:bottom w:val="single" w:sz="8" w:color="98A3B8"/>
            </w:tcBorders>
          </w:tcPr>
          <w:p>
            <w:pPr>
              <w:spacing w:after="0"/>
              <w:rPr>
                <w:sz w:val="5"/>
                <w:szCs w:val="5"/>
                <w:color w:val="auto"/>
              </w:rPr>
            </w:pPr>
          </w:p>
        </w:tc>
        <w:tc>
          <w:tcPr>
            <w:tcW w:w="160" w:type="dxa"/>
            <w:vAlign w:val="bottom"/>
            <w:tcBorders>
              <w:top w:val="single" w:sz="8" w:color="325889"/>
              <w:bottom w:val="single" w:sz="8" w:color="98A3B8"/>
            </w:tcBorders>
          </w:tcPr>
          <w:p>
            <w:pPr>
              <w:spacing w:after="0"/>
              <w:rPr>
                <w:sz w:val="5"/>
                <w:szCs w:val="5"/>
                <w:color w:val="auto"/>
              </w:rPr>
            </w:pPr>
          </w:p>
        </w:tc>
        <w:tc>
          <w:tcPr>
            <w:tcW w:w="80" w:type="dxa"/>
            <w:vAlign w:val="bottom"/>
            <w:tcBorders>
              <w:top w:val="single" w:sz="8" w:color="325889"/>
              <w:bottom w:val="single" w:sz="8" w:color="98A3B8"/>
            </w:tcBorders>
          </w:tcPr>
          <w:p>
            <w:pPr>
              <w:spacing w:after="0"/>
              <w:rPr>
                <w:sz w:val="5"/>
                <w:szCs w:val="5"/>
                <w:color w:val="auto"/>
              </w:rPr>
            </w:pPr>
          </w:p>
        </w:tc>
        <w:tc>
          <w:tcPr>
            <w:tcW w:w="40" w:type="dxa"/>
            <w:vAlign w:val="bottom"/>
            <w:tcBorders>
              <w:top w:val="single" w:sz="8" w:color="325889"/>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20" w:type="dxa"/>
            <w:vAlign w:val="bottom"/>
            <w:tcBorders>
              <w:bottom w:val="single" w:sz="8" w:color="98A3B8"/>
            </w:tcBorders>
          </w:tcPr>
          <w:p>
            <w:pPr>
              <w:spacing w:after="0"/>
              <w:rPr>
                <w:sz w:val="5"/>
                <w:szCs w:val="5"/>
                <w:color w:val="auto"/>
              </w:rPr>
            </w:pPr>
          </w:p>
        </w:tc>
        <w:tc>
          <w:tcPr>
            <w:tcW w:w="240" w:type="dxa"/>
            <w:vAlign w:val="bottom"/>
            <w:tcBorders>
              <w:bottom w:val="single" w:sz="8" w:color="98A3B8"/>
            </w:tcBorders>
          </w:tcPr>
          <w:p>
            <w:pPr>
              <w:spacing w:after="0"/>
              <w:rPr>
                <w:sz w:val="5"/>
                <w:szCs w:val="5"/>
                <w:color w:val="auto"/>
              </w:rPr>
            </w:pPr>
          </w:p>
        </w:tc>
        <w:tc>
          <w:tcPr>
            <w:tcW w:w="40" w:type="dxa"/>
            <w:vAlign w:val="bottom"/>
            <w:tcBorders>
              <w:bottom w:val="single" w:sz="8" w:color="98A3B8"/>
            </w:tcBorders>
          </w:tcPr>
          <w:p>
            <w:pPr>
              <w:spacing w:after="0"/>
              <w:rPr>
                <w:sz w:val="5"/>
                <w:szCs w:val="5"/>
                <w:color w:val="auto"/>
              </w:rPr>
            </w:pPr>
          </w:p>
        </w:tc>
        <w:tc>
          <w:tcPr>
            <w:tcW w:w="280" w:type="dxa"/>
            <w:vAlign w:val="bottom"/>
            <w:tcBorders>
              <w:bottom w:val="single" w:sz="8" w:color="98A3B8"/>
            </w:tcBorders>
          </w:tcPr>
          <w:p>
            <w:pPr>
              <w:spacing w:after="0"/>
              <w:rPr>
                <w:sz w:val="5"/>
                <w:szCs w:val="5"/>
                <w:color w:val="auto"/>
              </w:rPr>
            </w:pPr>
          </w:p>
        </w:tc>
        <w:tc>
          <w:tcPr>
            <w:tcW w:w="500" w:type="dxa"/>
            <w:vAlign w:val="bottom"/>
            <w:tcBorders>
              <w:bottom w:val="single" w:sz="8" w:color="98A3B8"/>
            </w:tcBorders>
          </w:tcPr>
          <w:p>
            <w:pPr>
              <w:spacing w:after="0"/>
              <w:rPr>
                <w:sz w:val="5"/>
                <w:szCs w:val="5"/>
                <w:color w:val="auto"/>
              </w:rPr>
            </w:pPr>
          </w:p>
        </w:tc>
        <w:tc>
          <w:tcPr>
            <w:tcW w:w="100" w:type="dxa"/>
            <w:vAlign w:val="bottom"/>
            <w:tcBorders>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400" w:type="dxa"/>
            <w:vAlign w:val="bottom"/>
            <w:tcBorders>
              <w:bottom w:val="single" w:sz="8" w:color="98A3B8"/>
            </w:tcBorders>
          </w:tcPr>
          <w:p>
            <w:pPr>
              <w:spacing w:after="0"/>
              <w:rPr>
                <w:sz w:val="5"/>
                <w:szCs w:val="5"/>
                <w:color w:val="auto"/>
              </w:rPr>
            </w:pPr>
          </w:p>
        </w:tc>
        <w:tc>
          <w:tcPr>
            <w:tcW w:w="300" w:type="dxa"/>
            <w:vAlign w:val="bottom"/>
            <w:tcBorders>
              <w:bottom w:val="single" w:sz="8" w:color="98A3B8"/>
            </w:tcBorders>
          </w:tcPr>
          <w:p>
            <w:pPr>
              <w:spacing w:after="0"/>
              <w:rPr>
                <w:sz w:val="5"/>
                <w:szCs w:val="5"/>
                <w:color w:val="auto"/>
              </w:rPr>
            </w:pPr>
          </w:p>
        </w:tc>
        <w:tc>
          <w:tcPr>
            <w:tcW w:w="80" w:type="dxa"/>
            <w:vAlign w:val="bottom"/>
            <w:tcBorders>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120" w:type="dxa"/>
            <w:vAlign w:val="bottom"/>
            <w:tcBorders>
              <w:bottom w:val="single" w:sz="8" w:color="98A3B8"/>
            </w:tcBorders>
          </w:tcPr>
          <w:p>
            <w:pPr>
              <w:spacing w:after="0"/>
              <w:rPr>
                <w:sz w:val="5"/>
                <w:szCs w:val="5"/>
                <w:color w:val="auto"/>
              </w:rPr>
            </w:pPr>
          </w:p>
        </w:tc>
        <w:tc>
          <w:tcPr>
            <w:tcW w:w="40" w:type="dxa"/>
            <w:vAlign w:val="bottom"/>
            <w:tcBorders>
              <w:bottom w:val="single" w:sz="8" w:color="98A3B8"/>
            </w:tcBorders>
          </w:tcPr>
          <w:p>
            <w:pPr>
              <w:spacing w:after="0"/>
              <w:rPr>
                <w:sz w:val="5"/>
                <w:szCs w:val="5"/>
                <w:color w:val="auto"/>
              </w:rPr>
            </w:pPr>
          </w:p>
        </w:tc>
        <w:tc>
          <w:tcPr>
            <w:tcW w:w="1020" w:type="dxa"/>
            <w:vAlign w:val="bottom"/>
            <w:tcBorders>
              <w:bottom w:val="single" w:sz="8" w:color="98A3B8"/>
            </w:tcBorders>
          </w:tcPr>
          <w:p>
            <w:pPr>
              <w:spacing w:after="0"/>
              <w:rPr>
                <w:sz w:val="5"/>
                <w:szCs w:val="5"/>
                <w:color w:val="auto"/>
              </w:rPr>
            </w:pPr>
          </w:p>
        </w:tc>
        <w:tc>
          <w:tcPr>
            <w:tcW w:w="720" w:type="dxa"/>
            <w:vAlign w:val="bottom"/>
            <w:tcBorders>
              <w:bottom w:val="single" w:sz="8" w:color="98A3B8"/>
            </w:tcBorders>
          </w:tcPr>
          <w:p>
            <w:pPr>
              <w:spacing w:after="0"/>
              <w:rPr>
                <w:sz w:val="5"/>
                <w:szCs w:val="5"/>
                <w:color w:val="auto"/>
              </w:rPr>
            </w:pPr>
          </w:p>
        </w:tc>
        <w:tc>
          <w:tcPr>
            <w:tcW w:w="140" w:type="dxa"/>
            <w:vAlign w:val="bottom"/>
            <w:tcBorders>
              <w:bottom w:val="single" w:sz="8" w:color="98A3B8"/>
            </w:tcBorders>
          </w:tcPr>
          <w:p>
            <w:pPr>
              <w:spacing w:after="0"/>
              <w:rPr>
                <w:sz w:val="5"/>
                <w:szCs w:val="5"/>
                <w:color w:val="auto"/>
              </w:rPr>
            </w:pPr>
          </w:p>
        </w:tc>
        <w:tc>
          <w:tcPr>
            <w:tcW w:w="2760" w:type="dxa"/>
            <w:vAlign w:val="bottom"/>
            <w:tcBorders>
              <w:bottom w:val="single" w:sz="8" w:color="98A3B8"/>
            </w:tcBorders>
          </w:tcPr>
          <w:p>
            <w:pPr>
              <w:spacing w:after="0"/>
              <w:rPr>
                <w:sz w:val="5"/>
                <w:szCs w:val="5"/>
                <w:color w:val="auto"/>
              </w:rPr>
            </w:pPr>
          </w:p>
        </w:tc>
        <w:tc>
          <w:tcPr>
            <w:tcW w:w="800" w:type="dxa"/>
            <w:vAlign w:val="bottom"/>
            <w:tcBorders>
              <w:bottom w:val="single" w:sz="8" w:color="98A3B8"/>
            </w:tcBorders>
          </w:tcPr>
          <w:p>
            <w:pPr>
              <w:spacing w:after="0"/>
              <w:rPr>
                <w:sz w:val="5"/>
                <w:szCs w:val="5"/>
                <w:color w:val="auto"/>
              </w:rPr>
            </w:pPr>
          </w:p>
        </w:tc>
        <w:tc>
          <w:tcPr>
            <w:tcW w:w="820" w:type="dxa"/>
            <w:vAlign w:val="bottom"/>
            <w:tcBorders>
              <w:bottom w:val="single" w:sz="8" w:color="98A3B8"/>
            </w:tcBorders>
          </w:tcPr>
          <w:p>
            <w:pPr>
              <w:spacing w:after="0"/>
              <w:rPr>
                <w:sz w:val="5"/>
                <w:szCs w:val="5"/>
                <w:color w:val="auto"/>
              </w:rPr>
            </w:pPr>
          </w:p>
        </w:tc>
        <w:tc>
          <w:tcPr>
            <w:tcW w:w="80" w:type="dxa"/>
            <w:vAlign w:val="bottom"/>
            <w:tcBorders>
              <w:bottom w:val="single" w:sz="8" w:color="98A3B8"/>
            </w:tcBorders>
          </w:tcPr>
          <w:p>
            <w:pPr>
              <w:spacing w:after="0"/>
              <w:rPr>
                <w:sz w:val="5"/>
                <w:szCs w:val="5"/>
                <w:color w:val="auto"/>
              </w:rPr>
            </w:pPr>
          </w:p>
        </w:tc>
        <w:tc>
          <w:tcPr>
            <w:tcW w:w="80" w:type="dxa"/>
            <w:vAlign w:val="bottom"/>
            <w:tcBorders>
              <w:top w:val="single" w:sz="8" w:color="0000EE"/>
              <w:bottom w:val="single" w:sz="8" w:color="98A3B8"/>
            </w:tcBorders>
          </w:tcPr>
          <w:p>
            <w:pPr>
              <w:spacing w:after="0"/>
              <w:rPr>
                <w:sz w:val="5"/>
                <w:szCs w:val="5"/>
                <w:color w:val="auto"/>
              </w:rPr>
            </w:pPr>
          </w:p>
        </w:tc>
        <w:tc>
          <w:tcPr>
            <w:tcW w:w="100" w:type="dxa"/>
            <w:vAlign w:val="bottom"/>
            <w:tcBorders>
              <w:top w:val="single" w:sz="8" w:color="0000EE"/>
              <w:bottom w:val="single" w:sz="8" w:color="98A3B8"/>
            </w:tcBorders>
          </w:tcPr>
          <w:p>
            <w:pPr>
              <w:spacing w:after="0"/>
              <w:rPr>
                <w:sz w:val="5"/>
                <w:szCs w:val="5"/>
                <w:color w:val="auto"/>
              </w:rPr>
            </w:pPr>
          </w:p>
        </w:tc>
      </w:tr>
      <w:tr>
        <w:trPr>
          <w:trHeight w:val="205"/>
        </w:trPr>
        <w:tc>
          <w:tcPr>
            <w:tcW w:w="9560" w:type="dxa"/>
            <w:vAlign w:val="bottom"/>
            <w:tcBorders>
              <w:bottom w:val="single" w:sz="8" w:color="0000EE"/>
            </w:tcBorders>
            <w:gridSpan w:val="37"/>
          </w:tcPr>
          <w:p>
            <w:pPr>
              <w:spacing w:after="0"/>
              <w:rPr>
                <w:rFonts w:ascii="Arial" w:cs="Arial" w:eastAsia="Arial" w:hAnsi="Arial"/>
                <w:sz w:val="15"/>
                <w:szCs w:val="15"/>
                <w:b w:val="1"/>
                <w:bCs w:val="1"/>
                <w:color w:val="0000EE"/>
              </w:rPr>
            </w:pPr>
            <w:hyperlink w:anchor="page55">
              <w:r>
                <w:rPr>
                  <w:rFonts w:ascii="Arial" w:cs="Arial" w:eastAsia="Arial" w:hAnsi="Arial"/>
                  <w:sz w:val="15"/>
                  <w:szCs w:val="15"/>
                  <w:b w:val="1"/>
                  <w:bCs w:val="1"/>
                  <w:color w:val="0000EE"/>
                </w:rPr>
                <w:t>Proposal 5: Advisory Vote on the Frequency of Stockholder Advisory Votes on the Compensation of our Named Executive Officers</w:t>
              </w:r>
            </w:hyperlink>
          </w:p>
        </w:tc>
        <w:tc>
          <w:tcPr>
            <w:tcW w:w="80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rPr>
                <w:rFonts w:ascii="Arial" w:cs="Arial" w:eastAsia="Arial" w:hAnsi="Arial"/>
                <w:sz w:val="15"/>
                <w:szCs w:val="15"/>
                <w:b w:val="1"/>
                <w:bCs w:val="1"/>
                <w:color w:val="0000EE"/>
                <w:w w:val="95"/>
              </w:rPr>
            </w:pPr>
            <w:hyperlink w:anchor="page55">
              <w:r>
                <w:rPr>
                  <w:rFonts w:ascii="Arial" w:cs="Arial" w:eastAsia="Arial" w:hAnsi="Arial"/>
                  <w:sz w:val="15"/>
                  <w:szCs w:val="15"/>
                  <w:b w:val="1"/>
                  <w:bCs w:val="1"/>
                  <w:color w:val="0000EE"/>
                  <w:w w:val="95"/>
                </w:rPr>
                <w:t>53</w:t>
              </w:r>
            </w:hyperlink>
          </w:p>
        </w:tc>
      </w:tr>
      <w:tr>
        <w:trPr>
          <w:trHeight w:val="265"/>
        </w:trPr>
        <w:tc>
          <w:tcPr>
            <w:tcW w:w="10360" w:type="dxa"/>
            <w:vAlign w:val="bottom"/>
            <w:gridSpan w:val="38"/>
          </w:tcPr>
          <w:p>
            <w:pPr>
              <w:spacing w:after="0"/>
              <w:rPr>
                <w:rFonts w:ascii="Arial" w:cs="Arial" w:eastAsia="Arial" w:hAnsi="Arial"/>
                <w:sz w:val="15"/>
                <w:szCs w:val="15"/>
                <w:b w:val="1"/>
                <w:bCs w:val="1"/>
                <w:color w:val="325889"/>
              </w:rPr>
            </w:pPr>
            <w:hyperlink w:anchor="page56">
              <w:r>
                <w:rPr>
                  <w:rFonts w:ascii="Arial" w:cs="Arial" w:eastAsia="Arial" w:hAnsi="Arial"/>
                  <w:sz w:val="15"/>
                  <w:szCs w:val="15"/>
                  <w:b w:val="1"/>
                  <w:bCs w:val="1"/>
                  <w:color w:val="325889"/>
                </w:rPr>
                <w:t>STOCKHOLDER PROPOSAL</w:t>
              </w:r>
            </w:hyperlink>
          </w:p>
        </w:tc>
        <w:tc>
          <w:tcPr>
            <w:tcW w:w="1080" w:type="dxa"/>
            <w:vAlign w:val="bottom"/>
            <w:gridSpan w:val="4"/>
          </w:tcPr>
          <w:p>
            <w:pPr>
              <w:jc w:val="right"/>
              <w:spacing w:after="0"/>
              <w:rPr>
                <w:rFonts w:ascii="Arial" w:cs="Arial" w:eastAsia="Arial" w:hAnsi="Arial"/>
                <w:sz w:val="15"/>
                <w:szCs w:val="15"/>
                <w:b w:val="1"/>
                <w:bCs w:val="1"/>
                <w:color w:val="0000EE"/>
              </w:rPr>
            </w:pPr>
            <w:hyperlink w:anchor="page56">
              <w:r>
                <w:rPr>
                  <w:rFonts w:ascii="Arial" w:cs="Arial" w:eastAsia="Arial" w:hAnsi="Arial"/>
                  <w:sz w:val="15"/>
                  <w:szCs w:val="15"/>
                  <w:b w:val="1"/>
                  <w:bCs w:val="1"/>
                  <w:color w:val="0000EE"/>
                </w:rPr>
                <w:t>54</w:t>
              </w:r>
            </w:hyperlink>
          </w:p>
        </w:tc>
      </w:tr>
      <w:tr>
        <w:trPr>
          <w:trHeight w:val="63"/>
        </w:trPr>
        <w:tc>
          <w:tcPr>
            <w:tcW w:w="680" w:type="dxa"/>
            <w:vAlign w:val="bottom"/>
            <w:tcBorders>
              <w:top w:val="single" w:sz="8" w:color="325889"/>
              <w:bottom w:val="single" w:sz="8" w:color="98A3B8"/>
            </w:tcBorders>
          </w:tcPr>
          <w:p>
            <w:pPr>
              <w:spacing w:after="0"/>
              <w:rPr>
                <w:sz w:val="5"/>
                <w:szCs w:val="5"/>
                <w:color w:val="auto"/>
              </w:rPr>
            </w:pPr>
          </w:p>
        </w:tc>
        <w:tc>
          <w:tcPr>
            <w:tcW w:w="320" w:type="dxa"/>
            <w:vAlign w:val="bottom"/>
            <w:tcBorders>
              <w:top w:val="single" w:sz="8" w:color="325889"/>
              <w:bottom w:val="single" w:sz="8" w:color="98A3B8"/>
            </w:tcBorders>
          </w:tcPr>
          <w:p>
            <w:pPr>
              <w:spacing w:after="0"/>
              <w:rPr>
                <w:sz w:val="5"/>
                <w:szCs w:val="5"/>
                <w:color w:val="auto"/>
              </w:rPr>
            </w:pPr>
          </w:p>
        </w:tc>
        <w:tc>
          <w:tcPr>
            <w:tcW w:w="20" w:type="dxa"/>
            <w:vAlign w:val="bottom"/>
            <w:tcBorders>
              <w:top w:val="single" w:sz="8" w:color="325889"/>
              <w:bottom w:val="single" w:sz="8" w:color="98A3B8"/>
            </w:tcBorders>
          </w:tcPr>
          <w:p>
            <w:pPr>
              <w:spacing w:after="0"/>
              <w:rPr>
                <w:sz w:val="5"/>
                <w:szCs w:val="5"/>
                <w:color w:val="auto"/>
              </w:rPr>
            </w:pPr>
          </w:p>
        </w:tc>
        <w:tc>
          <w:tcPr>
            <w:tcW w:w="80" w:type="dxa"/>
            <w:vAlign w:val="bottom"/>
            <w:tcBorders>
              <w:top w:val="single" w:sz="8" w:color="325889"/>
              <w:bottom w:val="single" w:sz="8" w:color="98A3B8"/>
            </w:tcBorders>
          </w:tcPr>
          <w:p>
            <w:pPr>
              <w:spacing w:after="0"/>
              <w:rPr>
                <w:sz w:val="5"/>
                <w:szCs w:val="5"/>
                <w:color w:val="auto"/>
              </w:rPr>
            </w:pPr>
          </w:p>
        </w:tc>
        <w:tc>
          <w:tcPr>
            <w:tcW w:w="180" w:type="dxa"/>
            <w:vAlign w:val="bottom"/>
            <w:tcBorders>
              <w:top w:val="single" w:sz="8" w:color="325889"/>
              <w:bottom w:val="single" w:sz="8" w:color="98A3B8"/>
            </w:tcBorders>
          </w:tcPr>
          <w:p>
            <w:pPr>
              <w:spacing w:after="0"/>
              <w:rPr>
                <w:sz w:val="5"/>
                <w:szCs w:val="5"/>
                <w:color w:val="auto"/>
              </w:rPr>
            </w:pPr>
          </w:p>
        </w:tc>
        <w:tc>
          <w:tcPr>
            <w:tcW w:w="80" w:type="dxa"/>
            <w:vAlign w:val="bottom"/>
            <w:tcBorders>
              <w:top w:val="single" w:sz="8" w:color="325889"/>
              <w:bottom w:val="single" w:sz="8" w:color="98A3B8"/>
            </w:tcBorders>
          </w:tcPr>
          <w:p>
            <w:pPr>
              <w:spacing w:after="0"/>
              <w:rPr>
                <w:sz w:val="5"/>
                <w:szCs w:val="5"/>
                <w:color w:val="auto"/>
              </w:rPr>
            </w:pPr>
          </w:p>
        </w:tc>
        <w:tc>
          <w:tcPr>
            <w:tcW w:w="120" w:type="dxa"/>
            <w:vAlign w:val="bottom"/>
            <w:tcBorders>
              <w:top w:val="single" w:sz="8" w:color="325889"/>
              <w:bottom w:val="single" w:sz="8" w:color="98A3B8"/>
            </w:tcBorders>
          </w:tcPr>
          <w:p>
            <w:pPr>
              <w:spacing w:after="0"/>
              <w:rPr>
                <w:sz w:val="5"/>
                <w:szCs w:val="5"/>
                <w:color w:val="auto"/>
              </w:rPr>
            </w:pPr>
          </w:p>
        </w:tc>
        <w:tc>
          <w:tcPr>
            <w:tcW w:w="180" w:type="dxa"/>
            <w:vAlign w:val="bottom"/>
            <w:tcBorders>
              <w:top w:val="single" w:sz="8" w:color="325889"/>
              <w:bottom w:val="single" w:sz="8" w:color="98A3B8"/>
            </w:tcBorders>
          </w:tcPr>
          <w:p>
            <w:pPr>
              <w:spacing w:after="0"/>
              <w:rPr>
                <w:sz w:val="5"/>
                <w:szCs w:val="5"/>
                <w:color w:val="auto"/>
              </w:rPr>
            </w:pPr>
          </w:p>
        </w:tc>
        <w:tc>
          <w:tcPr>
            <w:tcW w:w="40" w:type="dxa"/>
            <w:vAlign w:val="bottom"/>
            <w:tcBorders>
              <w:top w:val="single" w:sz="8" w:color="325889"/>
              <w:bottom w:val="single" w:sz="8" w:color="98A3B8"/>
            </w:tcBorders>
          </w:tcPr>
          <w:p>
            <w:pPr>
              <w:spacing w:after="0"/>
              <w:rPr>
                <w:sz w:val="5"/>
                <w:szCs w:val="5"/>
                <w:color w:val="auto"/>
              </w:rPr>
            </w:pPr>
          </w:p>
        </w:tc>
        <w:tc>
          <w:tcPr>
            <w:tcW w:w="60" w:type="dxa"/>
            <w:vAlign w:val="bottom"/>
            <w:tcBorders>
              <w:top w:val="single" w:sz="8" w:color="325889"/>
              <w:bottom w:val="single" w:sz="8" w:color="98A3B8"/>
            </w:tcBorders>
          </w:tcPr>
          <w:p>
            <w:pPr>
              <w:spacing w:after="0"/>
              <w:rPr>
                <w:sz w:val="5"/>
                <w:szCs w:val="5"/>
                <w:color w:val="auto"/>
              </w:rPr>
            </w:pPr>
          </w:p>
        </w:tc>
        <w:tc>
          <w:tcPr>
            <w:tcW w:w="40" w:type="dxa"/>
            <w:vAlign w:val="bottom"/>
            <w:tcBorders>
              <w:top w:val="single" w:sz="8" w:color="325889"/>
              <w:bottom w:val="single" w:sz="8" w:color="98A3B8"/>
            </w:tcBorders>
          </w:tcPr>
          <w:p>
            <w:pPr>
              <w:spacing w:after="0"/>
              <w:rPr>
                <w:sz w:val="5"/>
                <w:szCs w:val="5"/>
                <w:color w:val="auto"/>
              </w:rPr>
            </w:pPr>
          </w:p>
        </w:tc>
        <w:tc>
          <w:tcPr>
            <w:tcW w:w="300" w:type="dxa"/>
            <w:vAlign w:val="bottom"/>
            <w:tcBorders>
              <w:top w:val="single" w:sz="8" w:color="325889"/>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160" w:type="dxa"/>
            <w:vAlign w:val="bottom"/>
            <w:tcBorders>
              <w:bottom w:val="single" w:sz="8" w:color="98A3B8"/>
            </w:tcBorders>
          </w:tcPr>
          <w:p>
            <w:pPr>
              <w:spacing w:after="0"/>
              <w:rPr>
                <w:sz w:val="5"/>
                <w:szCs w:val="5"/>
                <w:color w:val="auto"/>
              </w:rPr>
            </w:pPr>
          </w:p>
        </w:tc>
        <w:tc>
          <w:tcPr>
            <w:tcW w:w="80" w:type="dxa"/>
            <w:vAlign w:val="bottom"/>
            <w:tcBorders>
              <w:bottom w:val="single" w:sz="8" w:color="98A3B8"/>
            </w:tcBorders>
          </w:tcPr>
          <w:p>
            <w:pPr>
              <w:spacing w:after="0"/>
              <w:rPr>
                <w:sz w:val="5"/>
                <w:szCs w:val="5"/>
                <w:color w:val="auto"/>
              </w:rPr>
            </w:pPr>
          </w:p>
        </w:tc>
        <w:tc>
          <w:tcPr>
            <w:tcW w:w="40" w:type="dxa"/>
            <w:vAlign w:val="bottom"/>
            <w:tcBorders>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20" w:type="dxa"/>
            <w:vAlign w:val="bottom"/>
            <w:tcBorders>
              <w:bottom w:val="single" w:sz="8" w:color="98A3B8"/>
            </w:tcBorders>
          </w:tcPr>
          <w:p>
            <w:pPr>
              <w:spacing w:after="0"/>
              <w:rPr>
                <w:sz w:val="5"/>
                <w:szCs w:val="5"/>
                <w:color w:val="auto"/>
              </w:rPr>
            </w:pPr>
          </w:p>
        </w:tc>
        <w:tc>
          <w:tcPr>
            <w:tcW w:w="240" w:type="dxa"/>
            <w:vAlign w:val="bottom"/>
            <w:tcBorders>
              <w:bottom w:val="single" w:sz="8" w:color="98A3B8"/>
            </w:tcBorders>
          </w:tcPr>
          <w:p>
            <w:pPr>
              <w:spacing w:after="0"/>
              <w:rPr>
                <w:sz w:val="5"/>
                <w:szCs w:val="5"/>
                <w:color w:val="auto"/>
              </w:rPr>
            </w:pPr>
          </w:p>
        </w:tc>
        <w:tc>
          <w:tcPr>
            <w:tcW w:w="40" w:type="dxa"/>
            <w:vAlign w:val="bottom"/>
            <w:tcBorders>
              <w:bottom w:val="single" w:sz="8" w:color="98A3B8"/>
            </w:tcBorders>
          </w:tcPr>
          <w:p>
            <w:pPr>
              <w:spacing w:after="0"/>
              <w:rPr>
                <w:sz w:val="5"/>
                <w:szCs w:val="5"/>
                <w:color w:val="auto"/>
              </w:rPr>
            </w:pPr>
          </w:p>
        </w:tc>
        <w:tc>
          <w:tcPr>
            <w:tcW w:w="280" w:type="dxa"/>
            <w:vAlign w:val="bottom"/>
            <w:tcBorders>
              <w:bottom w:val="single" w:sz="8" w:color="98A3B8"/>
            </w:tcBorders>
          </w:tcPr>
          <w:p>
            <w:pPr>
              <w:spacing w:after="0"/>
              <w:rPr>
                <w:sz w:val="5"/>
                <w:szCs w:val="5"/>
                <w:color w:val="auto"/>
              </w:rPr>
            </w:pPr>
          </w:p>
        </w:tc>
        <w:tc>
          <w:tcPr>
            <w:tcW w:w="500" w:type="dxa"/>
            <w:vAlign w:val="bottom"/>
            <w:tcBorders>
              <w:bottom w:val="single" w:sz="8" w:color="98A3B8"/>
            </w:tcBorders>
          </w:tcPr>
          <w:p>
            <w:pPr>
              <w:spacing w:after="0"/>
              <w:rPr>
                <w:sz w:val="5"/>
                <w:szCs w:val="5"/>
                <w:color w:val="auto"/>
              </w:rPr>
            </w:pPr>
          </w:p>
        </w:tc>
        <w:tc>
          <w:tcPr>
            <w:tcW w:w="100" w:type="dxa"/>
            <w:vAlign w:val="bottom"/>
            <w:tcBorders>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400" w:type="dxa"/>
            <w:vAlign w:val="bottom"/>
            <w:tcBorders>
              <w:bottom w:val="single" w:sz="8" w:color="98A3B8"/>
            </w:tcBorders>
          </w:tcPr>
          <w:p>
            <w:pPr>
              <w:spacing w:after="0"/>
              <w:rPr>
                <w:sz w:val="5"/>
                <w:szCs w:val="5"/>
                <w:color w:val="auto"/>
              </w:rPr>
            </w:pPr>
          </w:p>
        </w:tc>
        <w:tc>
          <w:tcPr>
            <w:tcW w:w="300" w:type="dxa"/>
            <w:vAlign w:val="bottom"/>
            <w:tcBorders>
              <w:bottom w:val="single" w:sz="8" w:color="98A3B8"/>
            </w:tcBorders>
          </w:tcPr>
          <w:p>
            <w:pPr>
              <w:spacing w:after="0"/>
              <w:rPr>
                <w:sz w:val="5"/>
                <w:szCs w:val="5"/>
                <w:color w:val="auto"/>
              </w:rPr>
            </w:pPr>
          </w:p>
        </w:tc>
        <w:tc>
          <w:tcPr>
            <w:tcW w:w="80" w:type="dxa"/>
            <w:vAlign w:val="bottom"/>
            <w:tcBorders>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120" w:type="dxa"/>
            <w:vAlign w:val="bottom"/>
            <w:tcBorders>
              <w:bottom w:val="single" w:sz="8" w:color="98A3B8"/>
            </w:tcBorders>
          </w:tcPr>
          <w:p>
            <w:pPr>
              <w:spacing w:after="0"/>
              <w:rPr>
                <w:sz w:val="5"/>
                <w:szCs w:val="5"/>
                <w:color w:val="auto"/>
              </w:rPr>
            </w:pPr>
          </w:p>
        </w:tc>
        <w:tc>
          <w:tcPr>
            <w:tcW w:w="40" w:type="dxa"/>
            <w:vAlign w:val="bottom"/>
            <w:tcBorders>
              <w:bottom w:val="single" w:sz="8" w:color="98A3B8"/>
            </w:tcBorders>
          </w:tcPr>
          <w:p>
            <w:pPr>
              <w:spacing w:after="0"/>
              <w:rPr>
                <w:sz w:val="5"/>
                <w:szCs w:val="5"/>
                <w:color w:val="auto"/>
              </w:rPr>
            </w:pPr>
          </w:p>
        </w:tc>
        <w:tc>
          <w:tcPr>
            <w:tcW w:w="1020" w:type="dxa"/>
            <w:vAlign w:val="bottom"/>
            <w:tcBorders>
              <w:bottom w:val="single" w:sz="8" w:color="98A3B8"/>
            </w:tcBorders>
          </w:tcPr>
          <w:p>
            <w:pPr>
              <w:spacing w:after="0"/>
              <w:rPr>
                <w:sz w:val="5"/>
                <w:szCs w:val="5"/>
                <w:color w:val="auto"/>
              </w:rPr>
            </w:pPr>
          </w:p>
        </w:tc>
        <w:tc>
          <w:tcPr>
            <w:tcW w:w="720" w:type="dxa"/>
            <w:vAlign w:val="bottom"/>
            <w:tcBorders>
              <w:bottom w:val="single" w:sz="8" w:color="98A3B8"/>
            </w:tcBorders>
          </w:tcPr>
          <w:p>
            <w:pPr>
              <w:spacing w:after="0"/>
              <w:rPr>
                <w:sz w:val="5"/>
                <w:szCs w:val="5"/>
                <w:color w:val="auto"/>
              </w:rPr>
            </w:pPr>
          </w:p>
        </w:tc>
        <w:tc>
          <w:tcPr>
            <w:tcW w:w="140" w:type="dxa"/>
            <w:vAlign w:val="bottom"/>
            <w:tcBorders>
              <w:bottom w:val="single" w:sz="8" w:color="98A3B8"/>
            </w:tcBorders>
          </w:tcPr>
          <w:p>
            <w:pPr>
              <w:spacing w:after="0"/>
              <w:rPr>
                <w:sz w:val="5"/>
                <w:szCs w:val="5"/>
                <w:color w:val="auto"/>
              </w:rPr>
            </w:pPr>
          </w:p>
        </w:tc>
        <w:tc>
          <w:tcPr>
            <w:tcW w:w="2760" w:type="dxa"/>
            <w:vAlign w:val="bottom"/>
            <w:tcBorders>
              <w:bottom w:val="single" w:sz="8" w:color="98A3B8"/>
            </w:tcBorders>
          </w:tcPr>
          <w:p>
            <w:pPr>
              <w:spacing w:after="0"/>
              <w:rPr>
                <w:sz w:val="5"/>
                <w:szCs w:val="5"/>
                <w:color w:val="auto"/>
              </w:rPr>
            </w:pPr>
          </w:p>
        </w:tc>
        <w:tc>
          <w:tcPr>
            <w:tcW w:w="800" w:type="dxa"/>
            <w:vAlign w:val="bottom"/>
            <w:tcBorders>
              <w:bottom w:val="single" w:sz="8" w:color="98A3B8"/>
            </w:tcBorders>
          </w:tcPr>
          <w:p>
            <w:pPr>
              <w:spacing w:after="0"/>
              <w:rPr>
                <w:sz w:val="5"/>
                <w:szCs w:val="5"/>
                <w:color w:val="auto"/>
              </w:rPr>
            </w:pPr>
          </w:p>
        </w:tc>
        <w:tc>
          <w:tcPr>
            <w:tcW w:w="820" w:type="dxa"/>
            <w:vAlign w:val="bottom"/>
            <w:tcBorders>
              <w:bottom w:val="single" w:sz="8" w:color="98A3B8"/>
            </w:tcBorders>
          </w:tcPr>
          <w:p>
            <w:pPr>
              <w:spacing w:after="0"/>
              <w:rPr>
                <w:sz w:val="5"/>
                <w:szCs w:val="5"/>
                <w:color w:val="auto"/>
              </w:rPr>
            </w:pPr>
          </w:p>
        </w:tc>
        <w:tc>
          <w:tcPr>
            <w:tcW w:w="80" w:type="dxa"/>
            <w:vAlign w:val="bottom"/>
            <w:tcBorders>
              <w:bottom w:val="single" w:sz="8" w:color="98A3B8"/>
            </w:tcBorders>
          </w:tcPr>
          <w:p>
            <w:pPr>
              <w:spacing w:after="0"/>
              <w:rPr>
                <w:sz w:val="5"/>
                <w:szCs w:val="5"/>
                <w:color w:val="auto"/>
              </w:rPr>
            </w:pPr>
          </w:p>
        </w:tc>
        <w:tc>
          <w:tcPr>
            <w:tcW w:w="80" w:type="dxa"/>
            <w:vAlign w:val="bottom"/>
            <w:tcBorders>
              <w:top w:val="single" w:sz="8" w:color="0000EE"/>
              <w:bottom w:val="single" w:sz="8" w:color="98A3B8"/>
            </w:tcBorders>
          </w:tcPr>
          <w:p>
            <w:pPr>
              <w:spacing w:after="0"/>
              <w:rPr>
                <w:sz w:val="5"/>
                <w:szCs w:val="5"/>
                <w:color w:val="auto"/>
              </w:rPr>
            </w:pPr>
          </w:p>
        </w:tc>
        <w:tc>
          <w:tcPr>
            <w:tcW w:w="100" w:type="dxa"/>
            <w:vAlign w:val="bottom"/>
            <w:tcBorders>
              <w:top w:val="single" w:sz="8" w:color="0000EE"/>
              <w:bottom w:val="single" w:sz="8" w:color="98A3B8"/>
            </w:tcBorders>
          </w:tcPr>
          <w:p>
            <w:pPr>
              <w:spacing w:after="0"/>
              <w:rPr>
                <w:sz w:val="5"/>
                <w:szCs w:val="5"/>
                <w:color w:val="auto"/>
              </w:rPr>
            </w:pPr>
          </w:p>
        </w:tc>
      </w:tr>
      <w:tr>
        <w:trPr>
          <w:trHeight w:val="194"/>
        </w:trPr>
        <w:tc>
          <w:tcPr>
            <w:tcW w:w="10360" w:type="dxa"/>
            <w:vAlign w:val="bottom"/>
            <w:gridSpan w:val="38"/>
          </w:tcPr>
          <w:p>
            <w:pPr>
              <w:spacing w:after="0"/>
              <w:rPr>
                <w:rFonts w:ascii="Arial" w:cs="Arial" w:eastAsia="Arial" w:hAnsi="Arial"/>
                <w:sz w:val="15"/>
                <w:szCs w:val="15"/>
                <w:b w:val="1"/>
                <w:bCs w:val="1"/>
                <w:color w:val="0000EE"/>
              </w:rPr>
            </w:pPr>
            <w:hyperlink w:anchor="page56">
              <w:r>
                <w:rPr>
                  <w:rFonts w:ascii="Arial" w:cs="Arial" w:eastAsia="Arial" w:hAnsi="Arial"/>
                  <w:sz w:val="15"/>
                  <w:szCs w:val="15"/>
                  <w:b w:val="1"/>
                  <w:bCs w:val="1"/>
                  <w:color w:val="0000EE"/>
                </w:rPr>
                <w:t>Overview</w:t>
              </w:r>
            </w:hyperlink>
          </w:p>
        </w:tc>
        <w:tc>
          <w:tcPr>
            <w:tcW w:w="1080" w:type="dxa"/>
            <w:vAlign w:val="bottom"/>
            <w:gridSpan w:val="4"/>
          </w:tcPr>
          <w:p>
            <w:pPr>
              <w:jc w:val="right"/>
              <w:spacing w:after="0"/>
              <w:rPr>
                <w:rFonts w:ascii="Arial" w:cs="Arial" w:eastAsia="Arial" w:hAnsi="Arial"/>
                <w:sz w:val="15"/>
                <w:szCs w:val="15"/>
                <w:b w:val="1"/>
                <w:bCs w:val="1"/>
                <w:color w:val="0000EE"/>
              </w:rPr>
            </w:pPr>
            <w:hyperlink w:anchor="page56">
              <w:r>
                <w:rPr>
                  <w:rFonts w:ascii="Arial" w:cs="Arial" w:eastAsia="Arial" w:hAnsi="Arial"/>
                  <w:sz w:val="15"/>
                  <w:szCs w:val="15"/>
                  <w:b w:val="1"/>
                  <w:bCs w:val="1"/>
                  <w:color w:val="0000EE"/>
                </w:rPr>
                <w:t>54</w:t>
              </w:r>
            </w:hyperlink>
          </w:p>
        </w:tc>
      </w:tr>
      <w:tr>
        <w:trPr>
          <w:trHeight w:val="20"/>
        </w:trPr>
        <w:tc>
          <w:tcPr>
            <w:tcW w:w="6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65"/>
        </w:trPr>
        <w:tc>
          <w:tcPr>
            <w:tcW w:w="6800" w:type="dxa"/>
            <w:vAlign w:val="bottom"/>
            <w:tcBorders>
              <w:bottom w:val="single" w:sz="8" w:color="0000EE"/>
            </w:tcBorders>
            <w:gridSpan w:val="36"/>
          </w:tcPr>
          <w:p>
            <w:pPr>
              <w:spacing w:after="0"/>
              <w:rPr>
                <w:rFonts w:ascii="Arial" w:cs="Arial" w:eastAsia="Arial" w:hAnsi="Arial"/>
                <w:sz w:val="15"/>
                <w:szCs w:val="15"/>
                <w:b w:val="1"/>
                <w:bCs w:val="1"/>
                <w:color w:val="0000EE"/>
              </w:rPr>
            </w:pPr>
            <w:hyperlink w:anchor="page56">
              <w:r>
                <w:rPr>
                  <w:rFonts w:ascii="Arial" w:cs="Arial" w:eastAsia="Arial" w:hAnsi="Arial"/>
                  <w:sz w:val="15"/>
                  <w:szCs w:val="15"/>
                  <w:b w:val="1"/>
                  <w:bCs w:val="1"/>
                  <w:color w:val="0000EE"/>
                </w:rPr>
                <w:t>Proposal 6: Stockholder Proposal Regarding Setting Target Amounts for CEO Compensation</w:t>
              </w:r>
            </w:hyperlink>
          </w:p>
        </w:tc>
        <w:tc>
          <w:tcPr>
            <w:tcW w:w="3560" w:type="dxa"/>
            <w:vAlign w:val="bottom"/>
            <w:gridSpan w:val="2"/>
          </w:tcPr>
          <w:p>
            <w:pPr>
              <w:spacing w:after="0"/>
              <w:rPr>
                <w:sz w:val="23"/>
                <w:szCs w:val="23"/>
                <w:color w:val="auto"/>
              </w:rPr>
            </w:pPr>
          </w:p>
        </w:tc>
        <w:tc>
          <w:tcPr>
            <w:tcW w:w="900" w:type="dxa"/>
            <w:vAlign w:val="bottom"/>
            <w:gridSpan w:val="2"/>
          </w:tcPr>
          <w:p>
            <w:pPr>
              <w:spacing w:after="0"/>
              <w:rPr>
                <w:sz w:val="23"/>
                <w:szCs w:val="23"/>
                <w:color w:val="auto"/>
              </w:rPr>
            </w:pPr>
          </w:p>
        </w:tc>
        <w:tc>
          <w:tcPr>
            <w:tcW w:w="180" w:type="dxa"/>
            <w:vAlign w:val="bottom"/>
            <w:tcBorders>
              <w:bottom w:val="single" w:sz="8" w:color="0000EE"/>
            </w:tcBorders>
            <w:gridSpan w:val="2"/>
          </w:tcPr>
          <w:p>
            <w:pPr>
              <w:jc w:val="right"/>
              <w:spacing w:after="0"/>
              <w:rPr>
                <w:rFonts w:ascii="Arial" w:cs="Arial" w:eastAsia="Arial" w:hAnsi="Arial"/>
                <w:sz w:val="15"/>
                <w:szCs w:val="15"/>
                <w:b w:val="1"/>
                <w:bCs w:val="1"/>
                <w:color w:val="0000EE"/>
                <w:w w:val="95"/>
              </w:rPr>
            </w:pPr>
            <w:hyperlink w:anchor="page56">
              <w:r>
                <w:rPr>
                  <w:rFonts w:ascii="Arial" w:cs="Arial" w:eastAsia="Arial" w:hAnsi="Arial"/>
                  <w:sz w:val="15"/>
                  <w:szCs w:val="15"/>
                  <w:b w:val="1"/>
                  <w:bCs w:val="1"/>
                  <w:color w:val="0000EE"/>
                  <w:w w:val="95"/>
                </w:rPr>
                <w:t>54</w:t>
              </w:r>
            </w:hyperlink>
          </w:p>
        </w:tc>
      </w:tr>
      <w:tr>
        <w:trPr>
          <w:trHeight w:val="265"/>
        </w:trPr>
        <w:tc>
          <w:tcPr>
            <w:tcW w:w="10360" w:type="dxa"/>
            <w:vAlign w:val="bottom"/>
            <w:gridSpan w:val="38"/>
          </w:tcPr>
          <w:p>
            <w:pPr>
              <w:spacing w:after="0"/>
              <w:rPr>
                <w:rFonts w:ascii="Arial" w:cs="Arial" w:eastAsia="Arial" w:hAnsi="Arial"/>
                <w:sz w:val="15"/>
                <w:szCs w:val="15"/>
                <w:b w:val="1"/>
                <w:bCs w:val="1"/>
                <w:color w:val="0000EE"/>
              </w:rPr>
            </w:pPr>
            <w:hyperlink w:anchor="page57">
              <w:r>
                <w:rPr>
                  <w:rFonts w:ascii="Arial" w:cs="Arial" w:eastAsia="Arial" w:hAnsi="Arial"/>
                  <w:sz w:val="15"/>
                  <w:szCs w:val="15"/>
                  <w:b w:val="1"/>
                  <w:bCs w:val="1"/>
                  <w:color w:val="0000EE"/>
                </w:rPr>
                <w:t>Board of Directors’ Statement in Opposition</w:t>
              </w:r>
            </w:hyperlink>
          </w:p>
        </w:tc>
        <w:tc>
          <w:tcPr>
            <w:tcW w:w="1080" w:type="dxa"/>
            <w:vAlign w:val="bottom"/>
            <w:gridSpan w:val="4"/>
          </w:tcPr>
          <w:p>
            <w:pPr>
              <w:jc w:val="right"/>
              <w:spacing w:after="0"/>
              <w:rPr>
                <w:rFonts w:ascii="Arial" w:cs="Arial" w:eastAsia="Arial" w:hAnsi="Arial"/>
                <w:sz w:val="15"/>
                <w:szCs w:val="15"/>
                <w:b w:val="1"/>
                <w:bCs w:val="1"/>
                <w:color w:val="0000EE"/>
              </w:rPr>
            </w:pPr>
            <w:hyperlink w:anchor="page57">
              <w:r>
                <w:rPr>
                  <w:rFonts w:ascii="Arial" w:cs="Arial" w:eastAsia="Arial" w:hAnsi="Arial"/>
                  <w:sz w:val="15"/>
                  <w:szCs w:val="15"/>
                  <w:b w:val="1"/>
                  <w:bCs w:val="1"/>
                  <w:color w:val="0000EE"/>
                </w:rPr>
                <w:t>55</w:t>
              </w:r>
            </w:hyperlink>
          </w:p>
        </w:tc>
      </w:tr>
      <w:tr>
        <w:trPr>
          <w:trHeight w:val="265"/>
        </w:trPr>
        <w:tc>
          <w:tcPr>
            <w:tcW w:w="1280" w:type="dxa"/>
            <w:vAlign w:val="bottom"/>
            <w:tcBorders>
              <w:top w:val="single" w:sz="8" w:color="0000EE"/>
              <w:bottom w:val="single" w:sz="8" w:color="0000EE"/>
            </w:tcBorders>
            <w:gridSpan w:val="5"/>
          </w:tcPr>
          <w:p>
            <w:pPr>
              <w:spacing w:after="0"/>
              <w:rPr>
                <w:rFonts w:ascii="Arial" w:cs="Arial" w:eastAsia="Arial" w:hAnsi="Arial"/>
                <w:sz w:val="15"/>
                <w:szCs w:val="15"/>
                <w:b w:val="1"/>
                <w:bCs w:val="1"/>
                <w:color w:val="0000EE"/>
              </w:rPr>
            </w:pPr>
            <w:hyperlink w:anchor="page57">
              <w:r>
                <w:rPr>
                  <w:rFonts w:ascii="Arial" w:cs="Arial" w:eastAsia="Arial" w:hAnsi="Arial"/>
                  <w:sz w:val="15"/>
                  <w:szCs w:val="15"/>
                  <w:b w:val="1"/>
                  <w:bCs w:val="1"/>
                  <w:color w:val="0000EE"/>
                </w:rPr>
                <w:t>Vote Required</w:t>
              </w:r>
            </w:hyperlink>
          </w:p>
        </w:tc>
        <w:tc>
          <w:tcPr>
            <w:tcW w:w="1920" w:type="dxa"/>
            <w:vAlign w:val="bottom"/>
            <w:tcBorders>
              <w:top w:val="single" w:sz="8" w:color="0000EE"/>
            </w:tcBorders>
            <w:gridSpan w:val="18"/>
          </w:tcPr>
          <w:p>
            <w:pPr>
              <w:spacing w:after="0"/>
              <w:rPr>
                <w:sz w:val="23"/>
                <w:szCs w:val="23"/>
                <w:color w:val="auto"/>
              </w:rPr>
            </w:pPr>
          </w:p>
        </w:tc>
        <w:tc>
          <w:tcPr>
            <w:tcW w:w="7160" w:type="dxa"/>
            <w:vAlign w:val="bottom"/>
            <w:gridSpan w:val="15"/>
          </w:tcPr>
          <w:p>
            <w:pPr>
              <w:spacing w:after="0"/>
              <w:rPr>
                <w:sz w:val="23"/>
                <w:szCs w:val="23"/>
                <w:color w:val="auto"/>
              </w:rPr>
            </w:pPr>
          </w:p>
        </w:tc>
        <w:tc>
          <w:tcPr>
            <w:tcW w:w="900" w:type="dxa"/>
            <w:vAlign w:val="bottom"/>
            <w:gridSpan w:val="2"/>
          </w:tcPr>
          <w:p>
            <w:pPr>
              <w:spacing w:after="0"/>
              <w:rPr>
                <w:sz w:val="23"/>
                <w:szCs w:val="23"/>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5"/>
                <w:szCs w:val="15"/>
                <w:b w:val="1"/>
                <w:bCs w:val="1"/>
                <w:color w:val="0000EE"/>
                <w:w w:val="95"/>
              </w:rPr>
            </w:pPr>
            <w:hyperlink w:anchor="page57">
              <w:r>
                <w:rPr>
                  <w:rFonts w:ascii="Arial" w:cs="Arial" w:eastAsia="Arial" w:hAnsi="Arial"/>
                  <w:sz w:val="15"/>
                  <w:szCs w:val="15"/>
                  <w:b w:val="1"/>
                  <w:bCs w:val="1"/>
                  <w:color w:val="0000EE"/>
                  <w:w w:val="95"/>
                </w:rPr>
                <w:t>55</w:t>
              </w:r>
            </w:hyperlink>
          </w:p>
        </w:tc>
      </w:tr>
      <w:tr>
        <w:trPr>
          <w:trHeight w:val="265"/>
        </w:trPr>
        <w:tc>
          <w:tcPr>
            <w:tcW w:w="10360" w:type="dxa"/>
            <w:vAlign w:val="bottom"/>
            <w:gridSpan w:val="38"/>
          </w:tcPr>
          <w:p>
            <w:pPr>
              <w:spacing w:after="0"/>
              <w:rPr>
                <w:rFonts w:ascii="Arial" w:cs="Arial" w:eastAsia="Arial" w:hAnsi="Arial"/>
                <w:sz w:val="15"/>
                <w:szCs w:val="15"/>
                <w:b w:val="1"/>
                <w:bCs w:val="1"/>
                <w:color w:val="0000EE"/>
              </w:rPr>
            </w:pPr>
            <w:hyperlink w:anchor="page57">
              <w:r>
                <w:rPr>
                  <w:rFonts w:ascii="Arial" w:cs="Arial" w:eastAsia="Arial" w:hAnsi="Arial"/>
                  <w:sz w:val="15"/>
                  <w:szCs w:val="15"/>
                  <w:b w:val="1"/>
                  <w:bCs w:val="1"/>
                  <w:color w:val="0000EE"/>
                </w:rPr>
                <w:t>Recommendation</w:t>
              </w:r>
            </w:hyperlink>
          </w:p>
        </w:tc>
        <w:tc>
          <w:tcPr>
            <w:tcW w:w="1080" w:type="dxa"/>
            <w:vAlign w:val="bottom"/>
            <w:gridSpan w:val="4"/>
          </w:tcPr>
          <w:p>
            <w:pPr>
              <w:jc w:val="right"/>
              <w:spacing w:after="0"/>
              <w:rPr>
                <w:rFonts w:ascii="Arial" w:cs="Arial" w:eastAsia="Arial" w:hAnsi="Arial"/>
                <w:sz w:val="15"/>
                <w:szCs w:val="15"/>
                <w:b w:val="1"/>
                <w:bCs w:val="1"/>
                <w:color w:val="0000EE"/>
              </w:rPr>
            </w:pPr>
            <w:hyperlink w:anchor="page57">
              <w:r>
                <w:rPr>
                  <w:rFonts w:ascii="Arial" w:cs="Arial" w:eastAsia="Arial" w:hAnsi="Arial"/>
                  <w:sz w:val="15"/>
                  <w:szCs w:val="15"/>
                  <w:b w:val="1"/>
                  <w:bCs w:val="1"/>
                  <w:color w:val="0000EE"/>
                </w:rPr>
                <w:t>55</w:t>
              </w:r>
            </w:hyperlink>
          </w:p>
        </w:tc>
      </w:tr>
      <w:tr>
        <w:trPr>
          <w:trHeight w:val="20"/>
        </w:trPr>
        <w:tc>
          <w:tcPr>
            <w:tcW w:w="100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4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65"/>
        </w:trPr>
        <w:tc>
          <w:tcPr>
            <w:tcW w:w="10360" w:type="dxa"/>
            <w:vAlign w:val="bottom"/>
            <w:gridSpan w:val="38"/>
          </w:tcPr>
          <w:p>
            <w:pPr>
              <w:spacing w:after="0"/>
              <w:rPr>
                <w:rFonts w:ascii="Arial" w:cs="Arial" w:eastAsia="Arial" w:hAnsi="Arial"/>
                <w:sz w:val="15"/>
                <w:szCs w:val="15"/>
                <w:b w:val="1"/>
                <w:bCs w:val="1"/>
                <w:color w:val="325889"/>
              </w:rPr>
            </w:pPr>
            <w:hyperlink w:anchor="page58">
              <w:r>
                <w:rPr>
                  <w:rFonts w:ascii="Arial" w:cs="Arial" w:eastAsia="Arial" w:hAnsi="Arial"/>
                  <w:sz w:val="15"/>
                  <w:szCs w:val="15"/>
                  <w:b w:val="1"/>
                  <w:bCs w:val="1"/>
                  <w:color w:val="325889"/>
                </w:rPr>
                <w:t>STOCK OWNERSHIP INFORMATION</w:t>
              </w:r>
            </w:hyperlink>
          </w:p>
        </w:tc>
        <w:tc>
          <w:tcPr>
            <w:tcW w:w="1080" w:type="dxa"/>
            <w:vAlign w:val="bottom"/>
            <w:gridSpan w:val="4"/>
          </w:tcPr>
          <w:p>
            <w:pPr>
              <w:jc w:val="right"/>
              <w:spacing w:after="0"/>
              <w:rPr>
                <w:rFonts w:ascii="Arial" w:cs="Arial" w:eastAsia="Arial" w:hAnsi="Arial"/>
                <w:sz w:val="15"/>
                <w:szCs w:val="15"/>
                <w:b w:val="1"/>
                <w:bCs w:val="1"/>
                <w:color w:val="0000EE"/>
              </w:rPr>
            </w:pPr>
            <w:hyperlink w:anchor="page58">
              <w:r>
                <w:rPr>
                  <w:rFonts w:ascii="Arial" w:cs="Arial" w:eastAsia="Arial" w:hAnsi="Arial"/>
                  <w:sz w:val="15"/>
                  <w:szCs w:val="15"/>
                  <w:b w:val="1"/>
                  <w:bCs w:val="1"/>
                  <w:color w:val="0000EE"/>
                </w:rPr>
                <w:t>56</w:t>
              </w:r>
            </w:hyperlink>
          </w:p>
        </w:tc>
      </w:tr>
      <w:tr>
        <w:trPr>
          <w:trHeight w:val="63"/>
        </w:trPr>
        <w:tc>
          <w:tcPr>
            <w:tcW w:w="680" w:type="dxa"/>
            <w:vAlign w:val="bottom"/>
            <w:tcBorders>
              <w:top w:val="single" w:sz="8" w:color="325889"/>
              <w:bottom w:val="single" w:sz="8" w:color="98A3B8"/>
            </w:tcBorders>
          </w:tcPr>
          <w:p>
            <w:pPr>
              <w:spacing w:after="0"/>
              <w:rPr>
                <w:sz w:val="5"/>
                <w:szCs w:val="5"/>
                <w:color w:val="auto"/>
              </w:rPr>
            </w:pPr>
          </w:p>
        </w:tc>
        <w:tc>
          <w:tcPr>
            <w:tcW w:w="320" w:type="dxa"/>
            <w:vAlign w:val="bottom"/>
            <w:tcBorders>
              <w:top w:val="single" w:sz="8" w:color="325889"/>
              <w:bottom w:val="single" w:sz="8" w:color="98A3B8"/>
            </w:tcBorders>
          </w:tcPr>
          <w:p>
            <w:pPr>
              <w:spacing w:after="0"/>
              <w:rPr>
                <w:sz w:val="5"/>
                <w:szCs w:val="5"/>
                <w:color w:val="auto"/>
              </w:rPr>
            </w:pPr>
          </w:p>
        </w:tc>
        <w:tc>
          <w:tcPr>
            <w:tcW w:w="20" w:type="dxa"/>
            <w:vAlign w:val="bottom"/>
            <w:tcBorders>
              <w:top w:val="single" w:sz="8" w:color="325889"/>
              <w:bottom w:val="single" w:sz="8" w:color="98A3B8"/>
            </w:tcBorders>
          </w:tcPr>
          <w:p>
            <w:pPr>
              <w:spacing w:after="0"/>
              <w:rPr>
                <w:sz w:val="5"/>
                <w:szCs w:val="5"/>
                <w:color w:val="auto"/>
              </w:rPr>
            </w:pPr>
          </w:p>
        </w:tc>
        <w:tc>
          <w:tcPr>
            <w:tcW w:w="80" w:type="dxa"/>
            <w:vAlign w:val="bottom"/>
            <w:tcBorders>
              <w:top w:val="single" w:sz="8" w:color="325889"/>
              <w:bottom w:val="single" w:sz="8" w:color="98A3B8"/>
            </w:tcBorders>
          </w:tcPr>
          <w:p>
            <w:pPr>
              <w:spacing w:after="0"/>
              <w:rPr>
                <w:sz w:val="5"/>
                <w:szCs w:val="5"/>
                <w:color w:val="auto"/>
              </w:rPr>
            </w:pPr>
          </w:p>
        </w:tc>
        <w:tc>
          <w:tcPr>
            <w:tcW w:w="180" w:type="dxa"/>
            <w:vAlign w:val="bottom"/>
            <w:tcBorders>
              <w:top w:val="single" w:sz="8" w:color="325889"/>
              <w:bottom w:val="single" w:sz="8" w:color="98A3B8"/>
            </w:tcBorders>
          </w:tcPr>
          <w:p>
            <w:pPr>
              <w:spacing w:after="0"/>
              <w:rPr>
                <w:sz w:val="5"/>
                <w:szCs w:val="5"/>
                <w:color w:val="auto"/>
              </w:rPr>
            </w:pPr>
          </w:p>
        </w:tc>
        <w:tc>
          <w:tcPr>
            <w:tcW w:w="80" w:type="dxa"/>
            <w:vAlign w:val="bottom"/>
            <w:tcBorders>
              <w:top w:val="single" w:sz="8" w:color="325889"/>
              <w:bottom w:val="single" w:sz="8" w:color="98A3B8"/>
            </w:tcBorders>
          </w:tcPr>
          <w:p>
            <w:pPr>
              <w:spacing w:after="0"/>
              <w:rPr>
                <w:sz w:val="5"/>
                <w:szCs w:val="5"/>
                <w:color w:val="auto"/>
              </w:rPr>
            </w:pPr>
          </w:p>
        </w:tc>
        <w:tc>
          <w:tcPr>
            <w:tcW w:w="120" w:type="dxa"/>
            <w:vAlign w:val="bottom"/>
            <w:tcBorders>
              <w:top w:val="single" w:sz="8" w:color="325889"/>
              <w:bottom w:val="single" w:sz="8" w:color="98A3B8"/>
            </w:tcBorders>
          </w:tcPr>
          <w:p>
            <w:pPr>
              <w:spacing w:after="0"/>
              <w:rPr>
                <w:sz w:val="5"/>
                <w:szCs w:val="5"/>
                <w:color w:val="auto"/>
              </w:rPr>
            </w:pPr>
          </w:p>
        </w:tc>
        <w:tc>
          <w:tcPr>
            <w:tcW w:w="180" w:type="dxa"/>
            <w:vAlign w:val="bottom"/>
            <w:tcBorders>
              <w:top w:val="single" w:sz="8" w:color="325889"/>
              <w:bottom w:val="single" w:sz="8" w:color="98A3B8"/>
            </w:tcBorders>
          </w:tcPr>
          <w:p>
            <w:pPr>
              <w:spacing w:after="0"/>
              <w:rPr>
                <w:sz w:val="5"/>
                <w:szCs w:val="5"/>
                <w:color w:val="auto"/>
              </w:rPr>
            </w:pPr>
          </w:p>
        </w:tc>
        <w:tc>
          <w:tcPr>
            <w:tcW w:w="40" w:type="dxa"/>
            <w:vAlign w:val="bottom"/>
            <w:tcBorders>
              <w:top w:val="single" w:sz="8" w:color="325889"/>
              <w:bottom w:val="single" w:sz="8" w:color="98A3B8"/>
            </w:tcBorders>
          </w:tcPr>
          <w:p>
            <w:pPr>
              <w:spacing w:after="0"/>
              <w:rPr>
                <w:sz w:val="5"/>
                <w:szCs w:val="5"/>
                <w:color w:val="auto"/>
              </w:rPr>
            </w:pPr>
          </w:p>
        </w:tc>
        <w:tc>
          <w:tcPr>
            <w:tcW w:w="60" w:type="dxa"/>
            <w:vAlign w:val="bottom"/>
            <w:tcBorders>
              <w:top w:val="single" w:sz="8" w:color="325889"/>
              <w:bottom w:val="single" w:sz="8" w:color="98A3B8"/>
            </w:tcBorders>
          </w:tcPr>
          <w:p>
            <w:pPr>
              <w:spacing w:after="0"/>
              <w:rPr>
                <w:sz w:val="5"/>
                <w:szCs w:val="5"/>
                <w:color w:val="auto"/>
              </w:rPr>
            </w:pPr>
          </w:p>
        </w:tc>
        <w:tc>
          <w:tcPr>
            <w:tcW w:w="40" w:type="dxa"/>
            <w:vAlign w:val="bottom"/>
            <w:tcBorders>
              <w:top w:val="single" w:sz="8" w:color="325889"/>
              <w:bottom w:val="single" w:sz="8" w:color="98A3B8"/>
            </w:tcBorders>
          </w:tcPr>
          <w:p>
            <w:pPr>
              <w:spacing w:after="0"/>
              <w:rPr>
                <w:sz w:val="5"/>
                <w:szCs w:val="5"/>
                <w:color w:val="auto"/>
              </w:rPr>
            </w:pPr>
          </w:p>
        </w:tc>
        <w:tc>
          <w:tcPr>
            <w:tcW w:w="300" w:type="dxa"/>
            <w:vAlign w:val="bottom"/>
            <w:tcBorders>
              <w:top w:val="single" w:sz="8" w:color="325889"/>
              <w:bottom w:val="single" w:sz="8" w:color="98A3B8"/>
            </w:tcBorders>
          </w:tcPr>
          <w:p>
            <w:pPr>
              <w:spacing w:after="0"/>
              <w:rPr>
                <w:sz w:val="5"/>
                <w:szCs w:val="5"/>
                <w:color w:val="auto"/>
              </w:rPr>
            </w:pPr>
          </w:p>
        </w:tc>
        <w:tc>
          <w:tcPr>
            <w:tcW w:w="60" w:type="dxa"/>
            <w:vAlign w:val="bottom"/>
            <w:tcBorders>
              <w:top w:val="single" w:sz="8" w:color="325889"/>
              <w:bottom w:val="single" w:sz="8" w:color="98A3B8"/>
            </w:tcBorders>
          </w:tcPr>
          <w:p>
            <w:pPr>
              <w:spacing w:after="0"/>
              <w:rPr>
                <w:sz w:val="5"/>
                <w:szCs w:val="5"/>
                <w:color w:val="auto"/>
              </w:rPr>
            </w:pPr>
          </w:p>
        </w:tc>
        <w:tc>
          <w:tcPr>
            <w:tcW w:w="60" w:type="dxa"/>
            <w:vAlign w:val="bottom"/>
            <w:tcBorders>
              <w:top w:val="single" w:sz="8" w:color="325889"/>
              <w:bottom w:val="single" w:sz="8" w:color="98A3B8"/>
            </w:tcBorders>
          </w:tcPr>
          <w:p>
            <w:pPr>
              <w:spacing w:after="0"/>
              <w:rPr>
                <w:sz w:val="5"/>
                <w:szCs w:val="5"/>
                <w:color w:val="auto"/>
              </w:rPr>
            </w:pPr>
          </w:p>
        </w:tc>
        <w:tc>
          <w:tcPr>
            <w:tcW w:w="160" w:type="dxa"/>
            <w:vAlign w:val="bottom"/>
            <w:tcBorders>
              <w:top w:val="single" w:sz="8" w:color="325889"/>
              <w:bottom w:val="single" w:sz="8" w:color="98A3B8"/>
            </w:tcBorders>
          </w:tcPr>
          <w:p>
            <w:pPr>
              <w:spacing w:after="0"/>
              <w:rPr>
                <w:sz w:val="5"/>
                <w:szCs w:val="5"/>
                <w:color w:val="auto"/>
              </w:rPr>
            </w:pPr>
          </w:p>
        </w:tc>
        <w:tc>
          <w:tcPr>
            <w:tcW w:w="80" w:type="dxa"/>
            <w:vAlign w:val="bottom"/>
            <w:tcBorders>
              <w:top w:val="single" w:sz="8" w:color="325889"/>
              <w:bottom w:val="single" w:sz="8" w:color="98A3B8"/>
            </w:tcBorders>
          </w:tcPr>
          <w:p>
            <w:pPr>
              <w:spacing w:after="0"/>
              <w:rPr>
                <w:sz w:val="5"/>
                <w:szCs w:val="5"/>
                <w:color w:val="auto"/>
              </w:rPr>
            </w:pPr>
          </w:p>
        </w:tc>
        <w:tc>
          <w:tcPr>
            <w:tcW w:w="40" w:type="dxa"/>
            <w:vAlign w:val="bottom"/>
            <w:tcBorders>
              <w:top w:val="single" w:sz="8" w:color="325889"/>
              <w:bottom w:val="single" w:sz="8" w:color="98A3B8"/>
            </w:tcBorders>
          </w:tcPr>
          <w:p>
            <w:pPr>
              <w:spacing w:after="0"/>
              <w:rPr>
                <w:sz w:val="5"/>
                <w:szCs w:val="5"/>
                <w:color w:val="auto"/>
              </w:rPr>
            </w:pPr>
          </w:p>
        </w:tc>
        <w:tc>
          <w:tcPr>
            <w:tcW w:w="60" w:type="dxa"/>
            <w:vAlign w:val="bottom"/>
            <w:tcBorders>
              <w:top w:val="single" w:sz="8" w:color="325889"/>
              <w:bottom w:val="single" w:sz="8" w:color="98A3B8"/>
            </w:tcBorders>
          </w:tcPr>
          <w:p>
            <w:pPr>
              <w:spacing w:after="0"/>
              <w:rPr>
                <w:sz w:val="5"/>
                <w:szCs w:val="5"/>
                <w:color w:val="auto"/>
              </w:rPr>
            </w:pPr>
          </w:p>
        </w:tc>
        <w:tc>
          <w:tcPr>
            <w:tcW w:w="60" w:type="dxa"/>
            <w:vAlign w:val="bottom"/>
            <w:tcBorders>
              <w:top w:val="single" w:sz="8" w:color="325889"/>
              <w:bottom w:val="single" w:sz="8" w:color="98A3B8"/>
            </w:tcBorders>
          </w:tcPr>
          <w:p>
            <w:pPr>
              <w:spacing w:after="0"/>
              <w:rPr>
                <w:sz w:val="5"/>
                <w:szCs w:val="5"/>
                <w:color w:val="auto"/>
              </w:rPr>
            </w:pPr>
          </w:p>
        </w:tc>
        <w:tc>
          <w:tcPr>
            <w:tcW w:w="20" w:type="dxa"/>
            <w:vAlign w:val="bottom"/>
            <w:tcBorders>
              <w:top w:val="single" w:sz="8" w:color="325889"/>
              <w:bottom w:val="single" w:sz="8" w:color="98A3B8"/>
            </w:tcBorders>
          </w:tcPr>
          <w:p>
            <w:pPr>
              <w:spacing w:after="0"/>
              <w:rPr>
                <w:sz w:val="5"/>
                <w:szCs w:val="5"/>
                <w:color w:val="auto"/>
              </w:rPr>
            </w:pPr>
          </w:p>
        </w:tc>
        <w:tc>
          <w:tcPr>
            <w:tcW w:w="240" w:type="dxa"/>
            <w:vAlign w:val="bottom"/>
            <w:tcBorders>
              <w:bottom w:val="single" w:sz="8" w:color="98A3B8"/>
            </w:tcBorders>
          </w:tcPr>
          <w:p>
            <w:pPr>
              <w:spacing w:after="0"/>
              <w:rPr>
                <w:sz w:val="5"/>
                <w:szCs w:val="5"/>
                <w:color w:val="auto"/>
              </w:rPr>
            </w:pPr>
          </w:p>
        </w:tc>
        <w:tc>
          <w:tcPr>
            <w:tcW w:w="40" w:type="dxa"/>
            <w:vAlign w:val="bottom"/>
            <w:tcBorders>
              <w:bottom w:val="single" w:sz="8" w:color="98A3B8"/>
            </w:tcBorders>
          </w:tcPr>
          <w:p>
            <w:pPr>
              <w:spacing w:after="0"/>
              <w:rPr>
                <w:sz w:val="5"/>
                <w:szCs w:val="5"/>
                <w:color w:val="auto"/>
              </w:rPr>
            </w:pPr>
          </w:p>
        </w:tc>
        <w:tc>
          <w:tcPr>
            <w:tcW w:w="280" w:type="dxa"/>
            <w:vAlign w:val="bottom"/>
            <w:tcBorders>
              <w:bottom w:val="single" w:sz="8" w:color="98A3B8"/>
            </w:tcBorders>
          </w:tcPr>
          <w:p>
            <w:pPr>
              <w:spacing w:after="0"/>
              <w:rPr>
                <w:sz w:val="5"/>
                <w:szCs w:val="5"/>
                <w:color w:val="auto"/>
              </w:rPr>
            </w:pPr>
          </w:p>
        </w:tc>
        <w:tc>
          <w:tcPr>
            <w:tcW w:w="500" w:type="dxa"/>
            <w:vAlign w:val="bottom"/>
            <w:tcBorders>
              <w:bottom w:val="single" w:sz="8" w:color="98A3B8"/>
            </w:tcBorders>
          </w:tcPr>
          <w:p>
            <w:pPr>
              <w:spacing w:after="0"/>
              <w:rPr>
                <w:sz w:val="5"/>
                <w:szCs w:val="5"/>
                <w:color w:val="auto"/>
              </w:rPr>
            </w:pPr>
          </w:p>
        </w:tc>
        <w:tc>
          <w:tcPr>
            <w:tcW w:w="100" w:type="dxa"/>
            <w:vAlign w:val="bottom"/>
            <w:tcBorders>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400" w:type="dxa"/>
            <w:vAlign w:val="bottom"/>
            <w:tcBorders>
              <w:bottom w:val="single" w:sz="8" w:color="98A3B8"/>
            </w:tcBorders>
          </w:tcPr>
          <w:p>
            <w:pPr>
              <w:spacing w:after="0"/>
              <w:rPr>
                <w:sz w:val="5"/>
                <w:szCs w:val="5"/>
                <w:color w:val="auto"/>
              </w:rPr>
            </w:pPr>
          </w:p>
        </w:tc>
        <w:tc>
          <w:tcPr>
            <w:tcW w:w="300" w:type="dxa"/>
            <w:vAlign w:val="bottom"/>
            <w:tcBorders>
              <w:bottom w:val="single" w:sz="8" w:color="98A3B8"/>
            </w:tcBorders>
          </w:tcPr>
          <w:p>
            <w:pPr>
              <w:spacing w:after="0"/>
              <w:rPr>
                <w:sz w:val="5"/>
                <w:szCs w:val="5"/>
                <w:color w:val="auto"/>
              </w:rPr>
            </w:pPr>
          </w:p>
        </w:tc>
        <w:tc>
          <w:tcPr>
            <w:tcW w:w="80" w:type="dxa"/>
            <w:vAlign w:val="bottom"/>
            <w:tcBorders>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120" w:type="dxa"/>
            <w:vAlign w:val="bottom"/>
            <w:tcBorders>
              <w:bottom w:val="single" w:sz="8" w:color="98A3B8"/>
            </w:tcBorders>
          </w:tcPr>
          <w:p>
            <w:pPr>
              <w:spacing w:after="0"/>
              <w:rPr>
                <w:sz w:val="5"/>
                <w:szCs w:val="5"/>
                <w:color w:val="auto"/>
              </w:rPr>
            </w:pPr>
          </w:p>
        </w:tc>
        <w:tc>
          <w:tcPr>
            <w:tcW w:w="40" w:type="dxa"/>
            <w:vAlign w:val="bottom"/>
            <w:tcBorders>
              <w:bottom w:val="single" w:sz="8" w:color="98A3B8"/>
            </w:tcBorders>
          </w:tcPr>
          <w:p>
            <w:pPr>
              <w:spacing w:after="0"/>
              <w:rPr>
                <w:sz w:val="5"/>
                <w:szCs w:val="5"/>
                <w:color w:val="auto"/>
              </w:rPr>
            </w:pPr>
          </w:p>
        </w:tc>
        <w:tc>
          <w:tcPr>
            <w:tcW w:w="1020" w:type="dxa"/>
            <w:vAlign w:val="bottom"/>
            <w:tcBorders>
              <w:bottom w:val="single" w:sz="8" w:color="98A3B8"/>
            </w:tcBorders>
          </w:tcPr>
          <w:p>
            <w:pPr>
              <w:spacing w:after="0"/>
              <w:rPr>
                <w:sz w:val="5"/>
                <w:szCs w:val="5"/>
                <w:color w:val="auto"/>
              </w:rPr>
            </w:pPr>
          </w:p>
        </w:tc>
        <w:tc>
          <w:tcPr>
            <w:tcW w:w="720" w:type="dxa"/>
            <w:vAlign w:val="bottom"/>
            <w:tcBorders>
              <w:bottom w:val="single" w:sz="8" w:color="98A3B8"/>
            </w:tcBorders>
          </w:tcPr>
          <w:p>
            <w:pPr>
              <w:spacing w:after="0"/>
              <w:rPr>
                <w:sz w:val="5"/>
                <w:szCs w:val="5"/>
                <w:color w:val="auto"/>
              </w:rPr>
            </w:pPr>
          </w:p>
        </w:tc>
        <w:tc>
          <w:tcPr>
            <w:tcW w:w="140" w:type="dxa"/>
            <w:vAlign w:val="bottom"/>
            <w:tcBorders>
              <w:bottom w:val="single" w:sz="8" w:color="98A3B8"/>
            </w:tcBorders>
          </w:tcPr>
          <w:p>
            <w:pPr>
              <w:spacing w:after="0"/>
              <w:rPr>
                <w:sz w:val="5"/>
                <w:szCs w:val="5"/>
                <w:color w:val="auto"/>
              </w:rPr>
            </w:pPr>
          </w:p>
        </w:tc>
        <w:tc>
          <w:tcPr>
            <w:tcW w:w="2760" w:type="dxa"/>
            <w:vAlign w:val="bottom"/>
            <w:tcBorders>
              <w:bottom w:val="single" w:sz="8" w:color="98A3B8"/>
            </w:tcBorders>
          </w:tcPr>
          <w:p>
            <w:pPr>
              <w:spacing w:after="0"/>
              <w:rPr>
                <w:sz w:val="5"/>
                <w:szCs w:val="5"/>
                <w:color w:val="auto"/>
              </w:rPr>
            </w:pPr>
          </w:p>
        </w:tc>
        <w:tc>
          <w:tcPr>
            <w:tcW w:w="800" w:type="dxa"/>
            <w:vAlign w:val="bottom"/>
            <w:tcBorders>
              <w:bottom w:val="single" w:sz="8" w:color="98A3B8"/>
            </w:tcBorders>
          </w:tcPr>
          <w:p>
            <w:pPr>
              <w:spacing w:after="0"/>
              <w:rPr>
                <w:sz w:val="5"/>
                <w:szCs w:val="5"/>
                <w:color w:val="auto"/>
              </w:rPr>
            </w:pPr>
          </w:p>
        </w:tc>
        <w:tc>
          <w:tcPr>
            <w:tcW w:w="820" w:type="dxa"/>
            <w:vAlign w:val="bottom"/>
            <w:tcBorders>
              <w:bottom w:val="single" w:sz="8" w:color="98A3B8"/>
            </w:tcBorders>
          </w:tcPr>
          <w:p>
            <w:pPr>
              <w:spacing w:after="0"/>
              <w:rPr>
                <w:sz w:val="5"/>
                <w:szCs w:val="5"/>
                <w:color w:val="auto"/>
              </w:rPr>
            </w:pPr>
          </w:p>
        </w:tc>
        <w:tc>
          <w:tcPr>
            <w:tcW w:w="80" w:type="dxa"/>
            <w:vAlign w:val="bottom"/>
            <w:tcBorders>
              <w:bottom w:val="single" w:sz="8" w:color="98A3B8"/>
            </w:tcBorders>
          </w:tcPr>
          <w:p>
            <w:pPr>
              <w:spacing w:after="0"/>
              <w:rPr>
                <w:sz w:val="5"/>
                <w:szCs w:val="5"/>
                <w:color w:val="auto"/>
              </w:rPr>
            </w:pPr>
          </w:p>
        </w:tc>
        <w:tc>
          <w:tcPr>
            <w:tcW w:w="80" w:type="dxa"/>
            <w:vAlign w:val="bottom"/>
            <w:tcBorders>
              <w:top w:val="single" w:sz="8" w:color="0000EE"/>
              <w:bottom w:val="single" w:sz="8" w:color="98A3B8"/>
            </w:tcBorders>
          </w:tcPr>
          <w:p>
            <w:pPr>
              <w:spacing w:after="0"/>
              <w:rPr>
                <w:sz w:val="5"/>
                <w:szCs w:val="5"/>
                <w:color w:val="auto"/>
              </w:rPr>
            </w:pPr>
          </w:p>
        </w:tc>
        <w:tc>
          <w:tcPr>
            <w:tcW w:w="100" w:type="dxa"/>
            <w:vAlign w:val="bottom"/>
            <w:tcBorders>
              <w:top w:val="single" w:sz="8" w:color="0000EE"/>
              <w:bottom w:val="single" w:sz="8" w:color="98A3B8"/>
            </w:tcBorders>
          </w:tcPr>
          <w:p>
            <w:pPr>
              <w:spacing w:after="0"/>
              <w:rPr>
                <w:sz w:val="5"/>
                <w:szCs w:val="5"/>
                <w:color w:val="auto"/>
              </w:rPr>
            </w:pPr>
          </w:p>
        </w:tc>
      </w:tr>
      <w:tr>
        <w:trPr>
          <w:trHeight w:val="194"/>
        </w:trPr>
        <w:tc>
          <w:tcPr>
            <w:tcW w:w="10360" w:type="dxa"/>
            <w:vAlign w:val="bottom"/>
            <w:gridSpan w:val="38"/>
          </w:tcPr>
          <w:p>
            <w:pPr>
              <w:spacing w:after="0"/>
              <w:rPr>
                <w:rFonts w:ascii="Arial" w:cs="Arial" w:eastAsia="Arial" w:hAnsi="Arial"/>
                <w:sz w:val="15"/>
                <w:szCs w:val="15"/>
                <w:b w:val="1"/>
                <w:bCs w:val="1"/>
                <w:color w:val="0000EE"/>
              </w:rPr>
            </w:pPr>
            <w:hyperlink w:anchor="page58">
              <w:r>
                <w:rPr>
                  <w:rFonts w:ascii="Arial" w:cs="Arial" w:eastAsia="Arial" w:hAnsi="Arial"/>
                  <w:sz w:val="15"/>
                  <w:szCs w:val="15"/>
                  <w:b w:val="1"/>
                  <w:bCs w:val="1"/>
                  <w:color w:val="0000EE"/>
                </w:rPr>
                <w:t>Executive and Director Stock Ownership Guidelines</w:t>
              </w:r>
            </w:hyperlink>
          </w:p>
        </w:tc>
        <w:tc>
          <w:tcPr>
            <w:tcW w:w="1080" w:type="dxa"/>
            <w:vAlign w:val="bottom"/>
            <w:gridSpan w:val="4"/>
          </w:tcPr>
          <w:p>
            <w:pPr>
              <w:jc w:val="right"/>
              <w:spacing w:after="0"/>
              <w:rPr>
                <w:rFonts w:ascii="Arial" w:cs="Arial" w:eastAsia="Arial" w:hAnsi="Arial"/>
                <w:sz w:val="15"/>
                <w:szCs w:val="15"/>
                <w:b w:val="1"/>
                <w:bCs w:val="1"/>
                <w:color w:val="0000EE"/>
              </w:rPr>
            </w:pPr>
            <w:hyperlink w:anchor="page58">
              <w:r>
                <w:rPr>
                  <w:rFonts w:ascii="Arial" w:cs="Arial" w:eastAsia="Arial" w:hAnsi="Arial"/>
                  <w:sz w:val="15"/>
                  <w:szCs w:val="15"/>
                  <w:b w:val="1"/>
                  <w:bCs w:val="1"/>
                  <w:color w:val="0000EE"/>
                </w:rPr>
                <w:t>56</w:t>
              </w:r>
            </w:hyperlink>
          </w:p>
        </w:tc>
      </w:tr>
      <w:tr>
        <w:trPr>
          <w:trHeight w:val="20"/>
        </w:trPr>
        <w:tc>
          <w:tcPr>
            <w:tcW w:w="1000" w:type="dxa"/>
            <w:vAlign w:val="bottom"/>
            <w:gridSpan w:val="2"/>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720" w:type="dxa"/>
            <w:vAlign w:val="bottom"/>
            <w:tcBorders>
              <w:right w:val="single" w:sz="8" w:color="0000EE"/>
            </w:tcBorders>
            <w:gridSpan w:val="7"/>
            <w:shd w:val="clear" w:color="auto" w:fill="0000EE"/>
          </w:tcPr>
          <w:p>
            <w:pPr>
              <w:spacing w:after="0" w:line="20" w:lineRule="exact"/>
              <w:rPr>
                <w:sz w:val="1"/>
                <w:szCs w:val="1"/>
                <w:color w:val="auto"/>
              </w:rPr>
            </w:pPr>
          </w:p>
        </w:tc>
        <w:tc>
          <w:tcPr>
            <w:tcW w:w="1320" w:type="dxa"/>
            <w:vAlign w:val="bottom"/>
            <w:tcBorders>
              <w:left w:val="single" w:sz="8" w:color="0000EE"/>
            </w:tcBorders>
            <w:gridSpan w:val="9"/>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4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65"/>
        </w:trPr>
        <w:tc>
          <w:tcPr>
            <w:tcW w:w="10360" w:type="dxa"/>
            <w:vAlign w:val="bottom"/>
            <w:gridSpan w:val="38"/>
          </w:tcPr>
          <w:p>
            <w:pPr>
              <w:spacing w:after="0"/>
              <w:rPr>
                <w:rFonts w:ascii="Arial" w:cs="Arial" w:eastAsia="Arial" w:hAnsi="Arial"/>
                <w:sz w:val="15"/>
                <w:szCs w:val="15"/>
                <w:b w:val="1"/>
                <w:bCs w:val="1"/>
                <w:color w:val="0000EE"/>
              </w:rPr>
            </w:pPr>
            <w:hyperlink w:anchor="page58">
              <w:r>
                <w:rPr>
                  <w:rFonts w:ascii="Arial" w:cs="Arial" w:eastAsia="Arial" w:hAnsi="Arial"/>
                  <w:sz w:val="15"/>
                  <w:szCs w:val="15"/>
                  <w:b w:val="1"/>
                  <w:bCs w:val="1"/>
                  <w:color w:val="0000EE"/>
                </w:rPr>
                <w:t>Security Ownership of Certain Beneficial Owners and Management</w:t>
              </w:r>
            </w:hyperlink>
          </w:p>
        </w:tc>
        <w:tc>
          <w:tcPr>
            <w:tcW w:w="1080" w:type="dxa"/>
            <w:vAlign w:val="bottom"/>
            <w:gridSpan w:val="4"/>
          </w:tcPr>
          <w:p>
            <w:pPr>
              <w:jc w:val="right"/>
              <w:spacing w:after="0"/>
              <w:rPr>
                <w:rFonts w:ascii="Arial" w:cs="Arial" w:eastAsia="Arial" w:hAnsi="Arial"/>
                <w:sz w:val="15"/>
                <w:szCs w:val="15"/>
                <w:b w:val="1"/>
                <w:bCs w:val="1"/>
                <w:color w:val="0000EE"/>
              </w:rPr>
            </w:pPr>
            <w:hyperlink w:anchor="page58">
              <w:r>
                <w:rPr>
                  <w:rFonts w:ascii="Arial" w:cs="Arial" w:eastAsia="Arial" w:hAnsi="Arial"/>
                  <w:sz w:val="15"/>
                  <w:szCs w:val="15"/>
                  <w:b w:val="1"/>
                  <w:bCs w:val="1"/>
                  <w:color w:val="0000EE"/>
                </w:rPr>
                <w:t>56</w:t>
              </w:r>
            </w:hyperlink>
          </w:p>
        </w:tc>
      </w:tr>
      <w:tr>
        <w:trPr>
          <w:trHeight w:val="265"/>
        </w:trPr>
        <w:tc>
          <w:tcPr>
            <w:tcW w:w="4260" w:type="dxa"/>
            <w:vAlign w:val="bottom"/>
            <w:tcBorders>
              <w:top w:val="single" w:sz="8" w:color="0000EE"/>
              <w:bottom w:val="single" w:sz="8" w:color="0000EE"/>
            </w:tcBorders>
            <w:gridSpan w:val="27"/>
          </w:tcPr>
          <w:p>
            <w:pPr>
              <w:spacing w:after="0"/>
              <w:rPr>
                <w:rFonts w:ascii="Arial" w:cs="Arial" w:eastAsia="Arial" w:hAnsi="Arial"/>
                <w:sz w:val="15"/>
                <w:szCs w:val="15"/>
                <w:b w:val="1"/>
                <w:bCs w:val="1"/>
                <w:color w:val="0000EE"/>
              </w:rPr>
            </w:pPr>
            <w:hyperlink w:anchor="page60">
              <w:r>
                <w:rPr>
                  <w:rFonts w:ascii="Arial" w:cs="Arial" w:eastAsia="Arial" w:hAnsi="Arial"/>
                  <w:sz w:val="15"/>
                  <w:szCs w:val="15"/>
                  <w:b w:val="1"/>
                  <w:bCs w:val="1"/>
                  <w:color w:val="0000EE"/>
                </w:rPr>
                <w:t>Section 16(a) Beneficial Ownership Reporting Compliance</w:t>
              </w:r>
            </w:hyperlink>
          </w:p>
        </w:tc>
        <w:tc>
          <w:tcPr>
            <w:tcW w:w="620" w:type="dxa"/>
            <w:vAlign w:val="bottom"/>
            <w:tcBorders>
              <w:top w:val="single" w:sz="8" w:color="0000EE"/>
            </w:tcBorders>
            <w:gridSpan w:val="5"/>
          </w:tcPr>
          <w:p>
            <w:pPr>
              <w:spacing w:after="0"/>
              <w:rPr>
                <w:sz w:val="23"/>
                <w:szCs w:val="23"/>
                <w:color w:val="auto"/>
              </w:rPr>
            </w:pPr>
          </w:p>
        </w:tc>
        <w:tc>
          <w:tcPr>
            <w:tcW w:w="5480" w:type="dxa"/>
            <w:vAlign w:val="bottom"/>
            <w:gridSpan w:val="6"/>
          </w:tcPr>
          <w:p>
            <w:pPr>
              <w:spacing w:after="0"/>
              <w:rPr>
                <w:sz w:val="23"/>
                <w:szCs w:val="23"/>
                <w:color w:val="auto"/>
              </w:rPr>
            </w:pPr>
          </w:p>
        </w:tc>
        <w:tc>
          <w:tcPr>
            <w:tcW w:w="900" w:type="dxa"/>
            <w:vAlign w:val="bottom"/>
            <w:gridSpan w:val="2"/>
          </w:tcPr>
          <w:p>
            <w:pPr>
              <w:spacing w:after="0"/>
              <w:rPr>
                <w:sz w:val="23"/>
                <w:szCs w:val="23"/>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5"/>
                <w:szCs w:val="15"/>
                <w:b w:val="1"/>
                <w:bCs w:val="1"/>
                <w:color w:val="0000EE"/>
                <w:w w:val="95"/>
              </w:rPr>
            </w:pPr>
            <w:hyperlink w:anchor="page60">
              <w:r>
                <w:rPr>
                  <w:rFonts w:ascii="Arial" w:cs="Arial" w:eastAsia="Arial" w:hAnsi="Arial"/>
                  <w:sz w:val="15"/>
                  <w:szCs w:val="15"/>
                  <w:b w:val="1"/>
                  <w:bCs w:val="1"/>
                  <w:color w:val="0000EE"/>
                  <w:w w:val="95"/>
                </w:rPr>
                <w:t>58</w:t>
              </w:r>
            </w:hyperlink>
          </w:p>
        </w:tc>
      </w:tr>
      <w:tr>
        <w:trPr>
          <w:trHeight w:val="265"/>
        </w:trPr>
        <w:tc>
          <w:tcPr>
            <w:tcW w:w="10360" w:type="dxa"/>
            <w:vAlign w:val="bottom"/>
            <w:gridSpan w:val="38"/>
          </w:tcPr>
          <w:p>
            <w:pPr>
              <w:spacing w:after="0"/>
              <w:rPr>
                <w:rFonts w:ascii="Arial" w:cs="Arial" w:eastAsia="Arial" w:hAnsi="Arial"/>
                <w:sz w:val="15"/>
                <w:szCs w:val="15"/>
                <w:b w:val="1"/>
                <w:bCs w:val="1"/>
                <w:color w:val="325889"/>
              </w:rPr>
            </w:pPr>
            <w:hyperlink w:anchor="page61">
              <w:r>
                <w:rPr>
                  <w:rFonts w:ascii="Arial" w:cs="Arial" w:eastAsia="Arial" w:hAnsi="Arial"/>
                  <w:sz w:val="15"/>
                  <w:szCs w:val="15"/>
                  <w:b w:val="1"/>
                  <w:bCs w:val="1"/>
                  <w:color w:val="325889"/>
                </w:rPr>
                <w:t>CERTAIN RELATIONSHIPS AND RELATED PARTY TRANSACTIONS</w:t>
              </w:r>
            </w:hyperlink>
          </w:p>
        </w:tc>
        <w:tc>
          <w:tcPr>
            <w:tcW w:w="1080" w:type="dxa"/>
            <w:vAlign w:val="bottom"/>
            <w:gridSpan w:val="4"/>
          </w:tcPr>
          <w:p>
            <w:pPr>
              <w:jc w:val="right"/>
              <w:spacing w:after="0"/>
              <w:rPr>
                <w:rFonts w:ascii="Arial" w:cs="Arial" w:eastAsia="Arial" w:hAnsi="Arial"/>
                <w:sz w:val="15"/>
                <w:szCs w:val="15"/>
                <w:b w:val="1"/>
                <w:bCs w:val="1"/>
                <w:color w:val="0000EE"/>
              </w:rPr>
            </w:pPr>
            <w:hyperlink w:anchor="page61">
              <w:r>
                <w:rPr>
                  <w:rFonts w:ascii="Arial" w:cs="Arial" w:eastAsia="Arial" w:hAnsi="Arial"/>
                  <w:sz w:val="15"/>
                  <w:szCs w:val="15"/>
                  <w:b w:val="1"/>
                  <w:bCs w:val="1"/>
                  <w:color w:val="0000EE"/>
                </w:rPr>
                <w:t>59</w:t>
              </w:r>
            </w:hyperlink>
          </w:p>
        </w:tc>
      </w:tr>
      <w:tr>
        <w:trPr>
          <w:trHeight w:val="63"/>
        </w:trPr>
        <w:tc>
          <w:tcPr>
            <w:tcW w:w="680" w:type="dxa"/>
            <w:vAlign w:val="bottom"/>
            <w:tcBorders>
              <w:top w:val="single" w:sz="8" w:color="325889"/>
              <w:bottom w:val="single" w:sz="8" w:color="98A3B8"/>
            </w:tcBorders>
          </w:tcPr>
          <w:p>
            <w:pPr>
              <w:spacing w:after="0"/>
              <w:rPr>
                <w:sz w:val="5"/>
                <w:szCs w:val="5"/>
                <w:color w:val="auto"/>
              </w:rPr>
            </w:pPr>
          </w:p>
        </w:tc>
        <w:tc>
          <w:tcPr>
            <w:tcW w:w="320" w:type="dxa"/>
            <w:vAlign w:val="bottom"/>
            <w:tcBorders>
              <w:top w:val="single" w:sz="8" w:color="325889"/>
              <w:bottom w:val="single" w:sz="8" w:color="98A3B8"/>
            </w:tcBorders>
          </w:tcPr>
          <w:p>
            <w:pPr>
              <w:spacing w:after="0"/>
              <w:rPr>
                <w:sz w:val="5"/>
                <w:szCs w:val="5"/>
                <w:color w:val="auto"/>
              </w:rPr>
            </w:pPr>
          </w:p>
        </w:tc>
        <w:tc>
          <w:tcPr>
            <w:tcW w:w="20" w:type="dxa"/>
            <w:vAlign w:val="bottom"/>
            <w:tcBorders>
              <w:top w:val="single" w:sz="8" w:color="325889"/>
              <w:bottom w:val="single" w:sz="8" w:color="98A3B8"/>
            </w:tcBorders>
          </w:tcPr>
          <w:p>
            <w:pPr>
              <w:spacing w:after="0"/>
              <w:rPr>
                <w:sz w:val="5"/>
                <w:szCs w:val="5"/>
                <w:color w:val="auto"/>
              </w:rPr>
            </w:pPr>
          </w:p>
        </w:tc>
        <w:tc>
          <w:tcPr>
            <w:tcW w:w="80" w:type="dxa"/>
            <w:vAlign w:val="bottom"/>
            <w:tcBorders>
              <w:top w:val="single" w:sz="8" w:color="325889"/>
              <w:bottom w:val="single" w:sz="8" w:color="98A3B8"/>
            </w:tcBorders>
          </w:tcPr>
          <w:p>
            <w:pPr>
              <w:spacing w:after="0"/>
              <w:rPr>
                <w:sz w:val="5"/>
                <w:szCs w:val="5"/>
                <w:color w:val="auto"/>
              </w:rPr>
            </w:pPr>
          </w:p>
        </w:tc>
        <w:tc>
          <w:tcPr>
            <w:tcW w:w="180" w:type="dxa"/>
            <w:vAlign w:val="bottom"/>
            <w:tcBorders>
              <w:top w:val="single" w:sz="8" w:color="325889"/>
              <w:bottom w:val="single" w:sz="8" w:color="98A3B8"/>
            </w:tcBorders>
          </w:tcPr>
          <w:p>
            <w:pPr>
              <w:spacing w:after="0"/>
              <w:rPr>
                <w:sz w:val="5"/>
                <w:szCs w:val="5"/>
                <w:color w:val="auto"/>
              </w:rPr>
            </w:pPr>
          </w:p>
        </w:tc>
        <w:tc>
          <w:tcPr>
            <w:tcW w:w="80" w:type="dxa"/>
            <w:vAlign w:val="bottom"/>
            <w:tcBorders>
              <w:top w:val="single" w:sz="8" w:color="325889"/>
              <w:bottom w:val="single" w:sz="8" w:color="98A3B8"/>
            </w:tcBorders>
          </w:tcPr>
          <w:p>
            <w:pPr>
              <w:spacing w:after="0"/>
              <w:rPr>
                <w:sz w:val="5"/>
                <w:szCs w:val="5"/>
                <w:color w:val="auto"/>
              </w:rPr>
            </w:pPr>
          </w:p>
        </w:tc>
        <w:tc>
          <w:tcPr>
            <w:tcW w:w="120" w:type="dxa"/>
            <w:vAlign w:val="bottom"/>
            <w:tcBorders>
              <w:top w:val="single" w:sz="8" w:color="325889"/>
              <w:bottom w:val="single" w:sz="8" w:color="98A3B8"/>
            </w:tcBorders>
          </w:tcPr>
          <w:p>
            <w:pPr>
              <w:spacing w:after="0"/>
              <w:rPr>
                <w:sz w:val="5"/>
                <w:szCs w:val="5"/>
                <w:color w:val="auto"/>
              </w:rPr>
            </w:pPr>
          </w:p>
        </w:tc>
        <w:tc>
          <w:tcPr>
            <w:tcW w:w="180" w:type="dxa"/>
            <w:vAlign w:val="bottom"/>
            <w:tcBorders>
              <w:top w:val="single" w:sz="8" w:color="325889"/>
              <w:bottom w:val="single" w:sz="8" w:color="98A3B8"/>
            </w:tcBorders>
          </w:tcPr>
          <w:p>
            <w:pPr>
              <w:spacing w:after="0"/>
              <w:rPr>
                <w:sz w:val="5"/>
                <w:szCs w:val="5"/>
                <w:color w:val="auto"/>
              </w:rPr>
            </w:pPr>
          </w:p>
        </w:tc>
        <w:tc>
          <w:tcPr>
            <w:tcW w:w="40" w:type="dxa"/>
            <w:vAlign w:val="bottom"/>
            <w:tcBorders>
              <w:top w:val="single" w:sz="8" w:color="325889"/>
              <w:bottom w:val="single" w:sz="8" w:color="98A3B8"/>
            </w:tcBorders>
          </w:tcPr>
          <w:p>
            <w:pPr>
              <w:spacing w:after="0"/>
              <w:rPr>
                <w:sz w:val="5"/>
                <w:szCs w:val="5"/>
                <w:color w:val="auto"/>
              </w:rPr>
            </w:pPr>
          </w:p>
        </w:tc>
        <w:tc>
          <w:tcPr>
            <w:tcW w:w="60" w:type="dxa"/>
            <w:vAlign w:val="bottom"/>
            <w:tcBorders>
              <w:top w:val="single" w:sz="8" w:color="325889"/>
              <w:bottom w:val="single" w:sz="8" w:color="98A3B8"/>
            </w:tcBorders>
          </w:tcPr>
          <w:p>
            <w:pPr>
              <w:spacing w:after="0"/>
              <w:rPr>
                <w:sz w:val="5"/>
                <w:szCs w:val="5"/>
                <w:color w:val="auto"/>
              </w:rPr>
            </w:pPr>
          </w:p>
        </w:tc>
        <w:tc>
          <w:tcPr>
            <w:tcW w:w="40" w:type="dxa"/>
            <w:vAlign w:val="bottom"/>
            <w:tcBorders>
              <w:top w:val="single" w:sz="8" w:color="325889"/>
              <w:bottom w:val="single" w:sz="8" w:color="98A3B8"/>
            </w:tcBorders>
          </w:tcPr>
          <w:p>
            <w:pPr>
              <w:spacing w:after="0"/>
              <w:rPr>
                <w:sz w:val="5"/>
                <w:szCs w:val="5"/>
                <w:color w:val="auto"/>
              </w:rPr>
            </w:pPr>
          </w:p>
        </w:tc>
        <w:tc>
          <w:tcPr>
            <w:tcW w:w="300" w:type="dxa"/>
            <w:vAlign w:val="bottom"/>
            <w:tcBorders>
              <w:top w:val="single" w:sz="8" w:color="325889"/>
              <w:bottom w:val="single" w:sz="8" w:color="98A3B8"/>
            </w:tcBorders>
          </w:tcPr>
          <w:p>
            <w:pPr>
              <w:spacing w:after="0"/>
              <w:rPr>
                <w:sz w:val="5"/>
                <w:szCs w:val="5"/>
                <w:color w:val="auto"/>
              </w:rPr>
            </w:pPr>
          </w:p>
        </w:tc>
        <w:tc>
          <w:tcPr>
            <w:tcW w:w="60" w:type="dxa"/>
            <w:vAlign w:val="bottom"/>
            <w:tcBorders>
              <w:top w:val="single" w:sz="8" w:color="325889"/>
              <w:bottom w:val="single" w:sz="8" w:color="98A3B8"/>
            </w:tcBorders>
          </w:tcPr>
          <w:p>
            <w:pPr>
              <w:spacing w:after="0"/>
              <w:rPr>
                <w:sz w:val="5"/>
                <w:szCs w:val="5"/>
                <w:color w:val="auto"/>
              </w:rPr>
            </w:pPr>
          </w:p>
        </w:tc>
        <w:tc>
          <w:tcPr>
            <w:tcW w:w="60" w:type="dxa"/>
            <w:vAlign w:val="bottom"/>
            <w:tcBorders>
              <w:top w:val="single" w:sz="8" w:color="325889"/>
              <w:bottom w:val="single" w:sz="8" w:color="98A3B8"/>
            </w:tcBorders>
          </w:tcPr>
          <w:p>
            <w:pPr>
              <w:spacing w:after="0"/>
              <w:rPr>
                <w:sz w:val="5"/>
                <w:szCs w:val="5"/>
                <w:color w:val="auto"/>
              </w:rPr>
            </w:pPr>
          </w:p>
        </w:tc>
        <w:tc>
          <w:tcPr>
            <w:tcW w:w="160" w:type="dxa"/>
            <w:vAlign w:val="bottom"/>
            <w:tcBorders>
              <w:top w:val="single" w:sz="8" w:color="325889"/>
              <w:bottom w:val="single" w:sz="8" w:color="98A3B8"/>
            </w:tcBorders>
          </w:tcPr>
          <w:p>
            <w:pPr>
              <w:spacing w:after="0"/>
              <w:rPr>
                <w:sz w:val="5"/>
                <w:szCs w:val="5"/>
                <w:color w:val="auto"/>
              </w:rPr>
            </w:pPr>
          </w:p>
        </w:tc>
        <w:tc>
          <w:tcPr>
            <w:tcW w:w="80" w:type="dxa"/>
            <w:vAlign w:val="bottom"/>
            <w:tcBorders>
              <w:top w:val="single" w:sz="8" w:color="325889"/>
              <w:bottom w:val="single" w:sz="8" w:color="98A3B8"/>
            </w:tcBorders>
          </w:tcPr>
          <w:p>
            <w:pPr>
              <w:spacing w:after="0"/>
              <w:rPr>
                <w:sz w:val="5"/>
                <w:szCs w:val="5"/>
                <w:color w:val="auto"/>
              </w:rPr>
            </w:pPr>
          </w:p>
        </w:tc>
        <w:tc>
          <w:tcPr>
            <w:tcW w:w="40" w:type="dxa"/>
            <w:vAlign w:val="bottom"/>
            <w:tcBorders>
              <w:top w:val="single" w:sz="8" w:color="325889"/>
              <w:bottom w:val="single" w:sz="8" w:color="98A3B8"/>
            </w:tcBorders>
          </w:tcPr>
          <w:p>
            <w:pPr>
              <w:spacing w:after="0"/>
              <w:rPr>
                <w:sz w:val="5"/>
                <w:szCs w:val="5"/>
                <w:color w:val="auto"/>
              </w:rPr>
            </w:pPr>
          </w:p>
        </w:tc>
        <w:tc>
          <w:tcPr>
            <w:tcW w:w="60" w:type="dxa"/>
            <w:vAlign w:val="bottom"/>
            <w:tcBorders>
              <w:top w:val="single" w:sz="8" w:color="325889"/>
              <w:bottom w:val="single" w:sz="8" w:color="98A3B8"/>
            </w:tcBorders>
          </w:tcPr>
          <w:p>
            <w:pPr>
              <w:spacing w:after="0"/>
              <w:rPr>
                <w:sz w:val="5"/>
                <w:szCs w:val="5"/>
                <w:color w:val="auto"/>
              </w:rPr>
            </w:pPr>
          </w:p>
        </w:tc>
        <w:tc>
          <w:tcPr>
            <w:tcW w:w="60" w:type="dxa"/>
            <w:vAlign w:val="bottom"/>
            <w:tcBorders>
              <w:top w:val="single" w:sz="8" w:color="325889"/>
              <w:bottom w:val="single" w:sz="8" w:color="98A3B8"/>
            </w:tcBorders>
          </w:tcPr>
          <w:p>
            <w:pPr>
              <w:spacing w:after="0"/>
              <w:rPr>
                <w:sz w:val="5"/>
                <w:szCs w:val="5"/>
                <w:color w:val="auto"/>
              </w:rPr>
            </w:pPr>
          </w:p>
        </w:tc>
        <w:tc>
          <w:tcPr>
            <w:tcW w:w="20" w:type="dxa"/>
            <w:vAlign w:val="bottom"/>
            <w:tcBorders>
              <w:top w:val="single" w:sz="8" w:color="325889"/>
              <w:bottom w:val="single" w:sz="8" w:color="98A3B8"/>
            </w:tcBorders>
          </w:tcPr>
          <w:p>
            <w:pPr>
              <w:spacing w:after="0"/>
              <w:rPr>
                <w:sz w:val="5"/>
                <w:szCs w:val="5"/>
                <w:color w:val="auto"/>
              </w:rPr>
            </w:pPr>
          </w:p>
        </w:tc>
        <w:tc>
          <w:tcPr>
            <w:tcW w:w="240" w:type="dxa"/>
            <w:vAlign w:val="bottom"/>
            <w:tcBorders>
              <w:top w:val="single" w:sz="8" w:color="325889"/>
              <w:bottom w:val="single" w:sz="8" w:color="98A3B8"/>
            </w:tcBorders>
          </w:tcPr>
          <w:p>
            <w:pPr>
              <w:spacing w:after="0"/>
              <w:rPr>
                <w:sz w:val="5"/>
                <w:szCs w:val="5"/>
                <w:color w:val="auto"/>
              </w:rPr>
            </w:pPr>
          </w:p>
        </w:tc>
        <w:tc>
          <w:tcPr>
            <w:tcW w:w="40" w:type="dxa"/>
            <w:vAlign w:val="bottom"/>
            <w:tcBorders>
              <w:top w:val="single" w:sz="8" w:color="325889"/>
              <w:bottom w:val="single" w:sz="8" w:color="98A3B8"/>
            </w:tcBorders>
          </w:tcPr>
          <w:p>
            <w:pPr>
              <w:spacing w:after="0"/>
              <w:rPr>
                <w:sz w:val="5"/>
                <w:szCs w:val="5"/>
                <w:color w:val="auto"/>
              </w:rPr>
            </w:pPr>
          </w:p>
        </w:tc>
        <w:tc>
          <w:tcPr>
            <w:tcW w:w="280" w:type="dxa"/>
            <w:vAlign w:val="bottom"/>
            <w:tcBorders>
              <w:top w:val="single" w:sz="8" w:color="325889"/>
              <w:bottom w:val="single" w:sz="8" w:color="98A3B8"/>
            </w:tcBorders>
          </w:tcPr>
          <w:p>
            <w:pPr>
              <w:spacing w:after="0"/>
              <w:rPr>
                <w:sz w:val="5"/>
                <w:szCs w:val="5"/>
                <w:color w:val="auto"/>
              </w:rPr>
            </w:pPr>
          </w:p>
        </w:tc>
        <w:tc>
          <w:tcPr>
            <w:tcW w:w="500" w:type="dxa"/>
            <w:vAlign w:val="bottom"/>
            <w:tcBorders>
              <w:top w:val="single" w:sz="8" w:color="325889"/>
              <w:bottom w:val="single" w:sz="8" w:color="98A3B8"/>
            </w:tcBorders>
          </w:tcPr>
          <w:p>
            <w:pPr>
              <w:spacing w:after="0"/>
              <w:rPr>
                <w:sz w:val="5"/>
                <w:szCs w:val="5"/>
                <w:color w:val="auto"/>
              </w:rPr>
            </w:pPr>
          </w:p>
        </w:tc>
        <w:tc>
          <w:tcPr>
            <w:tcW w:w="100" w:type="dxa"/>
            <w:vAlign w:val="bottom"/>
            <w:tcBorders>
              <w:top w:val="single" w:sz="8" w:color="325889"/>
              <w:bottom w:val="single" w:sz="8" w:color="98A3B8"/>
            </w:tcBorders>
          </w:tcPr>
          <w:p>
            <w:pPr>
              <w:spacing w:after="0"/>
              <w:rPr>
                <w:sz w:val="5"/>
                <w:szCs w:val="5"/>
                <w:color w:val="auto"/>
              </w:rPr>
            </w:pPr>
          </w:p>
        </w:tc>
        <w:tc>
          <w:tcPr>
            <w:tcW w:w="60" w:type="dxa"/>
            <w:vAlign w:val="bottom"/>
            <w:tcBorders>
              <w:top w:val="single" w:sz="8" w:color="325889"/>
              <w:bottom w:val="single" w:sz="8" w:color="98A3B8"/>
            </w:tcBorders>
          </w:tcPr>
          <w:p>
            <w:pPr>
              <w:spacing w:after="0"/>
              <w:rPr>
                <w:sz w:val="5"/>
                <w:szCs w:val="5"/>
                <w:color w:val="auto"/>
              </w:rPr>
            </w:pPr>
          </w:p>
        </w:tc>
        <w:tc>
          <w:tcPr>
            <w:tcW w:w="400" w:type="dxa"/>
            <w:vAlign w:val="bottom"/>
            <w:tcBorders>
              <w:top w:val="single" w:sz="8" w:color="325889"/>
              <w:bottom w:val="single" w:sz="8" w:color="98A3B8"/>
            </w:tcBorders>
          </w:tcPr>
          <w:p>
            <w:pPr>
              <w:spacing w:after="0"/>
              <w:rPr>
                <w:sz w:val="5"/>
                <w:szCs w:val="5"/>
                <w:color w:val="auto"/>
              </w:rPr>
            </w:pPr>
          </w:p>
        </w:tc>
        <w:tc>
          <w:tcPr>
            <w:tcW w:w="300" w:type="dxa"/>
            <w:vAlign w:val="bottom"/>
            <w:tcBorders>
              <w:top w:val="single" w:sz="8" w:color="325889"/>
              <w:bottom w:val="single" w:sz="8" w:color="98A3B8"/>
            </w:tcBorders>
          </w:tcPr>
          <w:p>
            <w:pPr>
              <w:spacing w:after="0"/>
              <w:rPr>
                <w:sz w:val="5"/>
                <w:szCs w:val="5"/>
                <w:color w:val="auto"/>
              </w:rPr>
            </w:pPr>
          </w:p>
        </w:tc>
        <w:tc>
          <w:tcPr>
            <w:tcW w:w="80" w:type="dxa"/>
            <w:vAlign w:val="bottom"/>
            <w:tcBorders>
              <w:top w:val="single" w:sz="8" w:color="325889"/>
              <w:bottom w:val="single" w:sz="8" w:color="98A3B8"/>
            </w:tcBorders>
          </w:tcPr>
          <w:p>
            <w:pPr>
              <w:spacing w:after="0"/>
              <w:rPr>
                <w:sz w:val="5"/>
                <w:szCs w:val="5"/>
                <w:color w:val="auto"/>
              </w:rPr>
            </w:pPr>
          </w:p>
        </w:tc>
        <w:tc>
          <w:tcPr>
            <w:tcW w:w="60" w:type="dxa"/>
            <w:vAlign w:val="bottom"/>
            <w:tcBorders>
              <w:top w:val="single" w:sz="8" w:color="325889"/>
              <w:bottom w:val="single" w:sz="8" w:color="98A3B8"/>
            </w:tcBorders>
          </w:tcPr>
          <w:p>
            <w:pPr>
              <w:spacing w:after="0"/>
              <w:rPr>
                <w:sz w:val="5"/>
                <w:szCs w:val="5"/>
                <w:color w:val="auto"/>
              </w:rPr>
            </w:pPr>
          </w:p>
        </w:tc>
        <w:tc>
          <w:tcPr>
            <w:tcW w:w="60" w:type="dxa"/>
            <w:vAlign w:val="bottom"/>
            <w:tcBorders>
              <w:top w:val="single" w:sz="8" w:color="325889"/>
              <w:bottom w:val="single" w:sz="8" w:color="98A3B8"/>
            </w:tcBorders>
          </w:tcPr>
          <w:p>
            <w:pPr>
              <w:spacing w:after="0"/>
              <w:rPr>
                <w:sz w:val="5"/>
                <w:szCs w:val="5"/>
                <w:color w:val="auto"/>
              </w:rPr>
            </w:pPr>
          </w:p>
        </w:tc>
        <w:tc>
          <w:tcPr>
            <w:tcW w:w="120" w:type="dxa"/>
            <w:vAlign w:val="bottom"/>
            <w:tcBorders>
              <w:top w:val="single" w:sz="8" w:color="325889"/>
              <w:bottom w:val="single" w:sz="8" w:color="98A3B8"/>
            </w:tcBorders>
          </w:tcPr>
          <w:p>
            <w:pPr>
              <w:spacing w:after="0"/>
              <w:rPr>
                <w:sz w:val="5"/>
                <w:szCs w:val="5"/>
                <w:color w:val="auto"/>
              </w:rPr>
            </w:pPr>
          </w:p>
        </w:tc>
        <w:tc>
          <w:tcPr>
            <w:tcW w:w="40" w:type="dxa"/>
            <w:vAlign w:val="bottom"/>
            <w:tcBorders>
              <w:top w:val="single" w:sz="8" w:color="325889"/>
              <w:bottom w:val="single" w:sz="8" w:color="98A3B8"/>
            </w:tcBorders>
          </w:tcPr>
          <w:p>
            <w:pPr>
              <w:spacing w:after="0"/>
              <w:rPr>
                <w:sz w:val="5"/>
                <w:szCs w:val="5"/>
                <w:color w:val="auto"/>
              </w:rPr>
            </w:pPr>
          </w:p>
        </w:tc>
        <w:tc>
          <w:tcPr>
            <w:tcW w:w="1020" w:type="dxa"/>
            <w:vAlign w:val="bottom"/>
            <w:tcBorders>
              <w:bottom w:val="single" w:sz="8" w:color="98A3B8"/>
            </w:tcBorders>
          </w:tcPr>
          <w:p>
            <w:pPr>
              <w:spacing w:after="0"/>
              <w:rPr>
                <w:sz w:val="5"/>
                <w:szCs w:val="5"/>
                <w:color w:val="auto"/>
              </w:rPr>
            </w:pPr>
          </w:p>
        </w:tc>
        <w:tc>
          <w:tcPr>
            <w:tcW w:w="720" w:type="dxa"/>
            <w:vAlign w:val="bottom"/>
            <w:tcBorders>
              <w:bottom w:val="single" w:sz="8" w:color="98A3B8"/>
            </w:tcBorders>
          </w:tcPr>
          <w:p>
            <w:pPr>
              <w:spacing w:after="0"/>
              <w:rPr>
                <w:sz w:val="5"/>
                <w:szCs w:val="5"/>
                <w:color w:val="auto"/>
              </w:rPr>
            </w:pPr>
          </w:p>
        </w:tc>
        <w:tc>
          <w:tcPr>
            <w:tcW w:w="140" w:type="dxa"/>
            <w:vAlign w:val="bottom"/>
            <w:tcBorders>
              <w:bottom w:val="single" w:sz="8" w:color="98A3B8"/>
            </w:tcBorders>
          </w:tcPr>
          <w:p>
            <w:pPr>
              <w:spacing w:after="0"/>
              <w:rPr>
                <w:sz w:val="5"/>
                <w:szCs w:val="5"/>
                <w:color w:val="auto"/>
              </w:rPr>
            </w:pPr>
          </w:p>
        </w:tc>
        <w:tc>
          <w:tcPr>
            <w:tcW w:w="2760" w:type="dxa"/>
            <w:vAlign w:val="bottom"/>
            <w:tcBorders>
              <w:bottom w:val="single" w:sz="8" w:color="98A3B8"/>
            </w:tcBorders>
          </w:tcPr>
          <w:p>
            <w:pPr>
              <w:spacing w:after="0"/>
              <w:rPr>
                <w:sz w:val="5"/>
                <w:szCs w:val="5"/>
                <w:color w:val="auto"/>
              </w:rPr>
            </w:pPr>
          </w:p>
        </w:tc>
        <w:tc>
          <w:tcPr>
            <w:tcW w:w="800" w:type="dxa"/>
            <w:vAlign w:val="bottom"/>
            <w:tcBorders>
              <w:bottom w:val="single" w:sz="8" w:color="98A3B8"/>
            </w:tcBorders>
          </w:tcPr>
          <w:p>
            <w:pPr>
              <w:spacing w:after="0"/>
              <w:rPr>
                <w:sz w:val="5"/>
                <w:szCs w:val="5"/>
                <w:color w:val="auto"/>
              </w:rPr>
            </w:pPr>
          </w:p>
        </w:tc>
        <w:tc>
          <w:tcPr>
            <w:tcW w:w="820" w:type="dxa"/>
            <w:vAlign w:val="bottom"/>
            <w:tcBorders>
              <w:bottom w:val="single" w:sz="8" w:color="98A3B8"/>
            </w:tcBorders>
          </w:tcPr>
          <w:p>
            <w:pPr>
              <w:spacing w:after="0"/>
              <w:rPr>
                <w:sz w:val="5"/>
                <w:szCs w:val="5"/>
                <w:color w:val="auto"/>
              </w:rPr>
            </w:pPr>
          </w:p>
        </w:tc>
        <w:tc>
          <w:tcPr>
            <w:tcW w:w="80" w:type="dxa"/>
            <w:vAlign w:val="bottom"/>
            <w:tcBorders>
              <w:bottom w:val="single" w:sz="8" w:color="98A3B8"/>
            </w:tcBorders>
          </w:tcPr>
          <w:p>
            <w:pPr>
              <w:spacing w:after="0"/>
              <w:rPr>
                <w:sz w:val="5"/>
                <w:szCs w:val="5"/>
                <w:color w:val="auto"/>
              </w:rPr>
            </w:pPr>
          </w:p>
        </w:tc>
        <w:tc>
          <w:tcPr>
            <w:tcW w:w="80" w:type="dxa"/>
            <w:vAlign w:val="bottom"/>
            <w:tcBorders>
              <w:top w:val="single" w:sz="8" w:color="0000EE"/>
              <w:bottom w:val="single" w:sz="8" w:color="98A3B8"/>
            </w:tcBorders>
          </w:tcPr>
          <w:p>
            <w:pPr>
              <w:spacing w:after="0"/>
              <w:rPr>
                <w:sz w:val="5"/>
                <w:szCs w:val="5"/>
                <w:color w:val="auto"/>
              </w:rPr>
            </w:pPr>
          </w:p>
        </w:tc>
        <w:tc>
          <w:tcPr>
            <w:tcW w:w="100" w:type="dxa"/>
            <w:vAlign w:val="bottom"/>
            <w:tcBorders>
              <w:top w:val="single" w:sz="8" w:color="0000EE"/>
              <w:bottom w:val="single" w:sz="8" w:color="98A3B8"/>
            </w:tcBorders>
          </w:tcPr>
          <w:p>
            <w:pPr>
              <w:spacing w:after="0"/>
              <w:rPr>
                <w:sz w:val="5"/>
                <w:szCs w:val="5"/>
                <w:color w:val="auto"/>
              </w:rPr>
            </w:pPr>
          </w:p>
        </w:tc>
      </w:tr>
      <w:tr>
        <w:trPr>
          <w:trHeight w:val="194"/>
        </w:trPr>
        <w:tc>
          <w:tcPr>
            <w:tcW w:w="10360" w:type="dxa"/>
            <w:vAlign w:val="bottom"/>
            <w:gridSpan w:val="38"/>
          </w:tcPr>
          <w:p>
            <w:pPr>
              <w:spacing w:after="0"/>
              <w:rPr>
                <w:rFonts w:ascii="Arial" w:cs="Arial" w:eastAsia="Arial" w:hAnsi="Arial"/>
                <w:sz w:val="15"/>
                <w:szCs w:val="15"/>
                <w:b w:val="1"/>
                <w:bCs w:val="1"/>
                <w:color w:val="325889"/>
              </w:rPr>
            </w:pPr>
            <w:hyperlink w:anchor="page63">
              <w:r>
                <w:rPr>
                  <w:rFonts w:ascii="Arial" w:cs="Arial" w:eastAsia="Arial" w:hAnsi="Arial"/>
                  <w:sz w:val="15"/>
                  <w:szCs w:val="15"/>
                  <w:b w:val="1"/>
                  <w:bCs w:val="1"/>
                  <w:color w:val="325889"/>
                </w:rPr>
                <w:t>OTHER INFORMATION</w:t>
              </w:r>
            </w:hyperlink>
          </w:p>
        </w:tc>
        <w:tc>
          <w:tcPr>
            <w:tcW w:w="1080" w:type="dxa"/>
            <w:vAlign w:val="bottom"/>
            <w:gridSpan w:val="4"/>
          </w:tcPr>
          <w:p>
            <w:pPr>
              <w:jc w:val="right"/>
              <w:spacing w:after="0"/>
              <w:rPr>
                <w:rFonts w:ascii="Arial" w:cs="Arial" w:eastAsia="Arial" w:hAnsi="Arial"/>
                <w:sz w:val="15"/>
                <w:szCs w:val="15"/>
                <w:b w:val="1"/>
                <w:bCs w:val="1"/>
                <w:color w:val="0000EE"/>
              </w:rPr>
            </w:pPr>
            <w:hyperlink w:anchor="page63">
              <w:r>
                <w:rPr>
                  <w:rFonts w:ascii="Arial" w:cs="Arial" w:eastAsia="Arial" w:hAnsi="Arial"/>
                  <w:sz w:val="15"/>
                  <w:szCs w:val="15"/>
                  <w:b w:val="1"/>
                  <w:bCs w:val="1"/>
                  <w:color w:val="0000EE"/>
                </w:rPr>
                <w:t>61</w:t>
              </w:r>
            </w:hyperlink>
          </w:p>
        </w:tc>
      </w:tr>
      <w:tr>
        <w:trPr>
          <w:trHeight w:val="63"/>
        </w:trPr>
        <w:tc>
          <w:tcPr>
            <w:tcW w:w="680" w:type="dxa"/>
            <w:vAlign w:val="bottom"/>
            <w:tcBorders>
              <w:top w:val="single" w:sz="8" w:color="325889"/>
              <w:bottom w:val="single" w:sz="8" w:color="98A3B8"/>
            </w:tcBorders>
          </w:tcPr>
          <w:p>
            <w:pPr>
              <w:spacing w:after="0"/>
              <w:rPr>
                <w:sz w:val="5"/>
                <w:szCs w:val="5"/>
                <w:color w:val="auto"/>
              </w:rPr>
            </w:pPr>
          </w:p>
        </w:tc>
        <w:tc>
          <w:tcPr>
            <w:tcW w:w="320" w:type="dxa"/>
            <w:vAlign w:val="bottom"/>
            <w:tcBorders>
              <w:top w:val="single" w:sz="8" w:color="325889"/>
              <w:bottom w:val="single" w:sz="8" w:color="98A3B8"/>
            </w:tcBorders>
          </w:tcPr>
          <w:p>
            <w:pPr>
              <w:spacing w:after="0"/>
              <w:rPr>
                <w:sz w:val="5"/>
                <w:szCs w:val="5"/>
                <w:color w:val="auto"/>
              </w:rPr>
            </w:pPr>
          </w:p>
        </w:tc>
        <w:tc>
          <w:tcPr>
            <w:tcW w:w="20" w:type="dxa"/>
            <w:vAlign w:val="bottom"/>
            <w:tcBorders>
              <w:top w:val="single" w:sz="8" w:color="325889"/>
              <w:bottom w:val="single" w:sz="8" w:color="98A3B8"/>
            </w:tcBorders>
          </w:tcPr>
          <w:p>
            <w:pPr>
              <w:spacing w:after="0"/>
              <w:rPr>
                <w:sz w:val="5"/>
                <w:szCs w:val="5"/>
                <w:color w:val="auto"/>
              </w:rPr>
            </w:pPr>
          </w:p>
        </w:tc>
        <w:tc>
          <w:tcPr>
            <w:tcW w:w="80" w:type="dxa"/>
            <w:vAlign w:val="bottom"/>
            <w:tcBorders>
              <w:top w:val="single" w:sz="8" w:color="325889"/>
              <w:bottom w:val="single" w:sz="8" w:color="98A3B8"/>
            </w:tcBorders>
          </w:tcPr>
          <w:p>
            <w:pPr>
              <w:spacing w:after="0"/>
              <w:rPr>
                <w:sz w:val="5"/>
                <w:szCs w:val="5"/>
                <w:color w:val="auto"/>
              </w:rPr>
            </w:pPr>
          </w:p>
        </w:tc>
        <w:tc>
          <w:tcPr>
            <w:tcW w:w="180" w:type="dxa"/>
            <w:vAlign w:val="bottom"/>
            <w:tcBorders>
              <w:top w:val="single" w:sz="8" w:color="325889"/>
              <w:bottom w:val="single" w:sz="8" w:color="98A3B8"/>
            </w:tcBorders>
          </w:tcPr>
          <w:p>
            <w:pPr>
              <w:spacing w:after="0"/>
              <w:rPr>
                <w:sz w:val="5"/>
                <w:szCs w:val="5"/>
                <w:color w:val="auto"/>
              </w:rPr>
            </w:pPr>
          </w:p>
        </w:tc>
        <w:tc>
          <w:tcPr>
            <w:tcW w:w="80" w:type="dxa"/>
            <w:vAlign w:val="bottom"/>
            <w:tcBorders>
              <w:top w:val="single" w:sz="8" w:color="325889"/>
              <w:bottom w:val="single" w:sz="8" w:color="98A3B8"/>
            </w:tcBorders>
          </w:tcPr>
          <w:p>
            <w:pPr>
              <w:spacing w:after="0"/>
              <w:rPr>
                <w:sz w:val="5"/>
                <w:szCs w:val="5"/>
                <w:color w:val="auto"/>
              </w:rPr>
            </w:pPr>
          </w:p>
        </w:tc>
        <w:tc>
          <w:tcPr>
            <w:tcW w:w="120" w:type="dxa"/>
            <w:vAlign w:val="bottom"/>
            <w:tcBorders>
              <w:top w:val="single" w:sz="8" w:color="325889"/>
              <w:bottom w:val="single" w:sz="8" w:color="98A3B8"/>
            </w:tcBorders>
          </w:tcPr>
          <w:p>
            <w:pPr>
              <w:spacing w:after="0"/>
              <w:rPr>
                <w:sz w:val="5"/>
                <w:szCs w:val="5"/>
                <w:color w:val="auto"/>
              </w:rPr>
            </w:pPr>
          </w:p>
        </w:tc>
        <w:tc>
          <w:tcPr>
            <w:tcW w:w="180" w:type="dxa"/>
            <w:vAlign w:val="bottom"/>
            <w:tcBorders>
              <w:top w:val="single" w:sz="8" w:color="325889"/>
              <w:bottom w:val="single" w:sz="8" w:color="98A3B8"/>
            </w:tcBorders>
          </w:tcPr>
          <w:p>
            <w:pPr>
              <w:spacing w:after="0"/>
              <w:rPr>
                <w:sz w:val="5"/>
                <w:szCs w:val="5"/>
                <w:color w:val="auto"/>
              </w:rPr>
            </w:pPr>
          </w:p>
        </w:tc>
        <w:tc>
          <w:tcPr>
            <w:tcW w:w="40" w:type="dxa"/>
            <w:vAlign w:val="bottom"/>
            <w:tcBorders>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40" w:type="dxa"/>
            <w:vAlign w:val="bottom"/>
            <w:tcBorders>
              <w:bottom w:val="single" w:sz="8" w:color="98A3B8"/>
            </w:tcBorders>
          </w:tcPr>
          <w:p>
            <w:pPr>
              <w:spacing w:after="0"/>
              <w:rPr>
                <w:sz w:val="5"/>
                <w:szCs w:val="5"/>
                <w:color w:val="auto"/>
              </w:rPr>
            </w:pPr>
          </w:p>
        </w:tc>
        <w:tc>
          <w:tcPr>
            <w:tcW w:w="300" w:type="dxa"/>
            <w:vAlign w:val="bottom"/>
            <w:tcBorders>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160" w:type="dxa"/>
            <w:vAlign w:val="bottom"/>
            <w:tcBorders>
              <w:bottom w:val="single" w:sz="8" w:color="98A3B8"/>
            </w:tcBorders>
          </w:tcPr>
          <w:p>
            <w:pPr>
              <w:spacing w:after="0"/>
              <w:rPr>
                <w:sz w:val="5"/>
                <w:szCs w:val="5"/>
                <w:color w:val="auto"/>
              </w:rPr>
            </w:pPr>
          </w:p>
        </w:tc>
        <w:tc>
          <w:tcPr>
            <w:tcW w:w="80" w:type="dxa"/>
            <w:vAlign w:val="bottom"/>
            <w:tcBorders>
              <w:bottom w:val="single" w:sz="8" w:color="98A3B8"/>
            </w:tcBorders>
          </w:tcPr>
          <w:p>
            <w:pPr>
              <w:spacing w:after="0"/>
              <w:rPr>
                <w:sz w:val="5"/>
                <w:szCs w:val="5"/>
                <w:color w:val="auto"/>
              </w:rPr>
            </w:pPr>
          </w:p>
        </w:tc>
        <w:tc>
          <w:tcPr>
            <w:tcW w:w="40" w:type="dxa"/>
            <w:vAlign w:val="bottom"/>
            <w:tcBorders>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20" w:type="dxa"/>
            <w:vAlign w:val="bottom"/>
            <w:tcBorders>
              <w:bottom w:val="single" w:sz="8" w:color="98A3B8"/>
            </w:tcBorders>
          </w:tcPr>
          <w:p>
            <w:pPr>
              <w:spacing w:after="0"/>
              <w:rPr>
                <w:sz w:val="5"/>
                <w:szCs w:val="5"/>
                <w:color w:val="auto"/>
              </w:rPr>
            </w:pPr>
          </w:p>
        </w:tc>
        <w:tc>
          <w:tcPr>
            <w:tcW w:w="240" w:type="dxa"/>
            <w:vAlign w:val="bottom"/>
            <w:tcBorders>
              <w:bottom w:val="single" w:sz="8" w:color="98A3B8"/>
            </w:tcBorders>
          </w:tcPr>
          <w:p>
            <w:pPr>
              <w:spacing w:after="0"/>
              <w:rPr>
                <w:sz w:val="5"/>
                <w:szCs w:val="5"/>
                <w:color w:val="auto"/>
              </w:rPr>
            </w:pPr>
          </w:p>
        </w:tc>
        <w:tc>
          <w:tcPr>
            <w:tcW w:w="40" w:type="dxa"/>
            <w:vAlign w:val="bottom"/>
            <w:tcBorders>
              <w:bottom w:val="single" w:sz="8" w:color="98A3B8"/>
            </w:tcBorders>
          </w:tcPr>
          <w:p>
            <w:pPr>
              <w:spacing w:after="0"/>
              <w:rPr>
                <w:sz w:val="5"/>
                <w:szCs w:val="5"/>
                <w:color w:val="auto"/>
              </w:rPr>
            </w:pPr>
          </w:p>
        </w:tc>
        <w:tc>
          <w:tcPr>
            <w:tcW w:w="280" w:type="dxa"/>
            <w:vAlign w:val="bottom"/>
            <w:tcBorders>
              <w:bottom w:val="single" w:sz="8" w:color="98A3B8"/>
            </w:tcBorders>
          </w:tcPr>
          <w:p>
            <w:pPr>
              <w:spacing w:after="0"/>
              <w:rPr>
                <w:sz w:val="5"/>
                <w:szCs w:val="5"/>
                <w:color w:val="auto"/>
              </w:rPr>
            </w:pPr>
          </w:p>
        </w:tc>
        <w:tc>
          <w:tcPr>
            <w:tcW w:w="500" w:type="dxa"/>
            <w:vAlign w:val="bottom"/>
            <w:tcBorders>
              <w:bottom w:val="single" w:sz="8" w:color="98A3B8"/>
            </w:tcBorders>
          </w:tcPr>
          <w:p>
            <w:pPr>
              <w:spacing w:after="0"/>
              <w:rPr>
                <w:sz w:val="5"/>
                <w:szCs w:val="5"/>
                <w:color w:val="auto"/>
              </w:rPr>
            </w:pPr>
          </w:p>
        </w:tc>
        <w:tc>
          <w:tcPr>
            <w:tcW w:w="100" w:type="dxa"/>
            <w:vAlign w:val="bottom"/>
            <w:tcBorders>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400" w:type="dxa"/>
            <w:vAlign w:val="bottom"/>
            <w:tcBorders>
              <w:bottom w:val="single" w:sz="8" w:color="98A3B8"/>
            </w:tcBorders>
          </w:tcPr>
          <w:p>
            <w:pPr>
              <w:spacing w:after="0"/>
              <w:rPr>
                <w:sz w:val="5"/>
                <w:szCs w:val="5"/>
                <w:color w:val="auto"/>
              </w:rPr>
            </w:pPr>
          </w:p>
        </w:tc>
        <w:tc>
          <w:tcPr>
            <w:tcW w:w="300" w:type="dxa"/>
            <w:vAlign w:val="bottom"/>
            <w:tcBorders>
              <w:bottom w:val="single" w:sz="8" w:color="98A3B8"/>
            </w:tcBorders>
          </w:tcPr>
          <w:p>
            <w:pPr>
              <w:spacing w:after="0"/>
              <w:rPr>
                <w:sz w:val="5"/>
                <w:szCs w:val="5"/>
                <w:color w:val="auto"/>
              </w:rPr>
            </w:pPr>
          </w:p>
        </w:tc>
        <w:tc>
          <w:tcPr>
            <w:tcW w:w="80" w:type="dxa"/>
            <w:vAlign w:val="bottom"/>
            <w:tcBorders>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120" w:type="dxa"/>
            <w:vAlign w:val="bottom"/>
            <w:tcBorders>
              <w:bottom w:val="single" w:sz="8" w:color="98A3B8"/>
            </w:tcBorders>
          </w:tcPr>
          <w:p>
            <w:pPr>
              <w:spacing w:after="0"/>
              <w:rPr>
                <w:sz w:val="5"/>
                <w:szCs w:val="5"/>
                <w:color w:val="auto"/>
              </w:rPr>
            </w:pPr>
          </w:p>
        </w:tc>
        <w:tc>
          <w:tcPr>
            <w:tcW w:w="40" w:type="dxa"/>
            <w:vAlign w:val="bottom"/>
            <w:tcBorders>
              <w:bottom w:val="single" w:sz="8" w:color="98A3B8"/>
            </w:tcBorders>
          </w:tcPr>
          <w:p>
            <w:pPr>
              <w:spacing w:after="0"/>
              <w:rPr>
                <w:sz w:val="5"/>
                <w:szCs w:val="5"/>
                <w:color w:val="auto"/>
              </w:rPr>
            </w:pPr>
          </w:p>
        </w:tc>
        <w:tc>
          <w:tcPr>
            <w:tcW w:w="1020" w:type="dxa"/>
            <w:vAlign w:val="bottom"/>
            <w:tcBorders>
              <w:bottom w:val="single" w:sz="8" w:color="98A3B8"/>
            </w:tcBorders>
          </w:tcPr>
          <w:p>
            <w:pPr>
              <w:spacing w:after="0"/>
              <w:rPr>
                <w:sz w:val="5"/>
                <w:szCs w:val="5"/>
                <w:color w:val="auto"/>
              </w:rPr>
            </w:pPr>
          </w:p>
        </w:tc>
        <w:tc>
          <w:tcPr>
            <w:tcW w:w="720" w:type="dxa"/>
            <w:vAlign w:val="bottom"/>
            <w:tcBorders>
              <w:bottom w:val="single" w:sz="8" w:color="98A3B8"/>
            </w:tcBorders>
          </w:tcPr>
          <w:p>
            <w:pPr>
              <w:spacing w:after="0"/>
              <w:rPr>
                <w:sz w:val="5"/>
                <w:szCs w:val="5"/>
                <w:color w:val="auto"/>
              </w:rPr>
            </w:pPr>
          </w:p>
        </w:tc>
        <w:tc>
          <w:tcPr>
            <w:tcW w:w="140" w:type="dxa"/>
            <w:vAlign w:val="bottom"/>
            <w:tcBorders>
              <w:bottom w:val="single" w:sz="8" w:color="98A3B8"/>
            </w:tcBorders>
          </w:tcPr>
          <w:p>
            <w:pPr>
              <w:spacing w:after="0"/>
              <w:rPr>
                <w:sz w:val="5"/>
                <w:szCs w:val="5"/>
                <w:color w:val="auto"/>
              </w:rPr>
            </w:pPr>
          </w:p>
        </w:tc>
        <w:tc>
          <w:tcPr>
            <w:tcW w:w="2760" w:type="dxa"/>
            <w:vAlign w:val="bottom"/>
            <w:tcBorders>
              <w:bottom w:val="single" w:sz="8" w:color="98A3B8"/>
            </w:tcBorders>
          </w:tcPr>
          <w:p>
            <w:pPr>
              <w:spacing w:after="0"/>
              <w:rPr>
                <w:sz w:val="5"/>
                <w:szCs w:val="5"/>
                <w:color w:val="auto"/>
              </w:rPr>
            </w:pPr>
          </w:p>
        </w:tc>
        <w:tc>
          <w:tcPr>
            <w:tcW w:w="800" w:type="dxa"/>
            <w:vAlign w:val="bottom"/>
            <w:tcBorders>
              <w:bottom w:val="single" w:sz="8" w:color="98A3B8"/>
            </w:tcBorders>
          </w:tcPr>
          <w:p>
            <w:pPr>
              <w:spacing w:after="0"/>
              <w:rPr>
                <w:sz w:val="5"/>
                <w:szCs w:val="5"/>
                <w:color w:val="auto"/>
              </w:rPr>
            </w:pPr>
          </w:p>
        </w:tc>
        <w:tc>
          <w:tcPr>
            <w:tcW w:w="820" w:type="dxa"/>
            <w:vAlign w:val="bottom"/>
            <w:tcBorders>
              <w:bottom w:val="single" w:sz="8" w:color="98A3B8"/>
            </w:tcBorders>
          </w:tcPr>
          <w:p>
            <w:pPr>
              <w:spacing w:after="0"/>
              <w:rPr>
                <w:sz w:val="5"/>
                <w:szCs w:val="5"/>
                <w:color w:val="auto"/>
              </w:rPr>
            </w:pPr>
          </w:p>
        </w:tc>
        <w:tc>
          <w:tcPr>
            <w:tcW w:w="80" w:type="dxa"/>
            <w:vAlign w:val="bottom"/>
            <w:tcBorders>
              <w:bottom w:val="single" w:sz="8" w:color="98A3B8"/>
            </w:tcBorders>
          </w:tcPr>
          <w:p>
            <w:pPr>
              <w:spacing w:after="0"/>
              <w:rPr>
                <w:sz w:val="5"/>
                <w:szCs w:val="5"/>
                <w:color w:val="auto"/>
              </w:rPr>
            </w:pPr>
          </w:p>
        </w:tc>
        <w:tc>
          <w:tcPr>
            <w:tcW w:w="80" w:type="dxa"/>
            <w:vAlign w:val="bottom"/>
            <w:tcBorders>
              <w:top w:val="single" w:sz="8" w:color="0000EE"/>
              <w:bottom w:val="single" w:sz="8" w:color="98A3B8"/>
            </w:tcBorders>
          </w:tcPr>
          <w:p>
            <w:pPr>
              <w:spacing w:after="0"/>
              <w:rPr>
                <w:sz w:val="5"/>
                <w:szCs w:val="5"/>
                <w:color w:val="auto"/>
              </w:rPr>
            </w:pPr>
          </w:p>
        </w:tc>
        <w:tc>
          <w:tcPr>
            <w:tcW w:w="100" w:type="dxa"/>
            <w:vAlign w:val="bottom"/>
            <w:tcBorders>
              <w:top w:val="single" w:sz="8" w:color="0000EE"/>
              <w:bottom w:val="single" w:sz="8" w:color="98A3B8"/>
            </w:tcBorders>
          </w:tcPr>
          <w:p>
            <w:pPr>
              <w:spacing w:after="0"/>
              <w:rPr>
                <w:sz w:val="5"/>
                <w:szCs w:val="5"/>
                <w:color w:val="auto"/>
              </w:rPr>
            </w:pPr>
          </w:p>
        </w:tc>
      </w:tr>
      <w:tr>
        <w:trPr>
          <w:trHeight w:val="194"/>
        </w:trPr>
        <w:tc>
          <w:tcPr>
            <w:tcW w:w="10360" w:type="dxa"/>
            <w:vAlign w:val="bottom"/>
            <w:gridSpan w:val="38"/>
          </w:tcPr>
          <w:p>
            <w:pPr>
              <w:spacing w:after="0"/>
              <w:rPr>
                <w:rFonts w:ascii="Arial" w:cs="Arial" w:eastAsia="Arial" w:hAnsi="Arial"/>
                <w:sz w:val="15"/>
                <w:szCs w:val="15"/>
                <w:b w:val="1"/>
                <w:bCs w:val="1"/>
                <w:color w:val="0000EE"/>
              </w:rPr>
            </w:pPr>
            <w:hyperlink w:anchor="page63">
              <w:r>
                <w:rPr>
                  <w:rFonts w:ascii="Arial" w:cs="Arial" w:eastAsia="Arial" w:hAnsi="Arial"/>
                  <w:sz w:val="15"/>
                  <w:szCs w:val="15"/>
                  <w:b w:val="1"/>
                  <w:bCs w:val="1"/>
                  <w:color w:val="0000EE"/>
                </w:rPr>
                <w:t>Questions and Answers About the Annual Meeting</w:t>
              </w:r>
            </w:hyperlink>
          </w:p>
        </w:tc>
        <w:tc>
          <w:tcPr>
            <w:tcW w:w="1080" w:type="dxa"/>
            <w:vAlign w:val="bottom"/>
            <w:gridSpan w:val="4"/>
          </w:tcPr>
          <w:p>
            <w:pPr>
              <w:jc w:val="right"/>
              <w:spacing w:after="0"/>
              <w:rPr>
                <w:rFonts w:ascii="Arial" w:cs="Arial" w:eastAsia="Arial" w:hAnsi="Arial"/>
                <w:sz w:val="15"/>
                <w:szCs w:val="15"/>
                <w:b w:val="1"/>
                <w:bCs w:val="1"/>
                <w:color w:val="0000EE"/>
              </w:rPr>
            </w:pPr>
            <w:hyperlink w:anchor="page63">
              <w:r>
                <w:rPr>
                  <w:rFonts w:ascii="Arial" w:cs="Arial" w:eastAsia="Arial" w:hAnsi="Arial"/>
                  <w:sz w:val="15"/>
                  <w:szCs w:val="15"/>
                  <w:b w:val="1"/>
                  <w:bCs w:val="1"/>
                  <w:color w:val="0000EE"/>
                </w:rPr>
                <w:t>61</w:t>
              </w:r>
            </w:hyperlink>
          </w:p>
        </w:tc>
      </w:tr>
      <w:tr>
        <w:trPr>
          <w:trHeight w:val="265"/>
        </w:trPr>
        <w:tc>
          <w:tcPr>
            <w:tcW w:w="1000" w:type="dxa"/>
            <w:vAlign w:val="bottom"/>
            <w:tcBorders>
              <w:top w:val="single" w:sz="8" w:color="0000EE"/>
              <w:bottom w:val="single" w:sz="8" w:color="0000EE"/>
            </w:tcBorders>
            <w:gridSpan w:val="2"/>
          </w:tcPr>
          <w:p>
            <w:pPr>
              <w:spacing w:after="0"/>
              <w:rPr>
                <w:rFonts w:ascii="Arial" w:cs="Arial" w:eastAsia="Arial" w:hAnsi="Arial"/>
                <w:sz w:val="15"/>
                <w:szCs w:val="15"/>
                <w:b w:val="1"/>
                <w:bCs w:val="1"/>
                <w:color w:val="0000EE"/>
              </w:rPr>
            </w:pPr>
            <w:hyperlink w:anchor="page65">
              <w:r>
                <w:rPr>
                  <w:rFonts w:ascii="Arial" w:cs="Arial" w:eastAsia="Arial" w:hAnsi="Arial"/>
                  <w:sz w:val="15"/>
                  <w:szCs w:val="15"/>
                  <w:b w:val="1"/>
                  <w:bCs w:val="1"/>
                  <w:color w:val="0000EE"/>
                </w:rPr>
                <w:t>Other Matters</w:t>
              </w:r>
            </w:hyperlink>
          </w:p>
        </w:tc>
        <w:tc>
          <w:tcPr>
            <w:tcW w:w="2700" w:type="dxa"/>
            <w:vAlign w:val="bottom"/>
            <w:tcBorders>
              <w:top w:val="single" w:sz="8" w:color="0000EE"/>
            </w:tcBorders>
            <w:gridSpan w:val="22"/>
          </w:tcPr>
          <w:p>
            <w:pPr>
              <w:spacing w:after="0"/>
              <w:rPr>
                <w:sz w:val="23"/>
                <w:szCs w:val="23"/>
                <w:color w:val="auto"/>
              </w:rPr>
            </w:pPr>
          </w:p>
        </w:tc>
        <w:tc>
          <w:tcPr>
            <w:tcW w:w="6660" w:type="dxa"/>
            <w:vAlign w:val="bottom"/>
            <w:gridSpan w:val="14"/>
          </w:tcPr>
          <w:p>
            <w:pPr>
              <w:spacing w:after="0"/>
              <w:rPr>
                <w:sz w:val="23"/>
                <w:szCs w:val="23"/>
                <w:color w:val="auto"/>
              </w:rPr>
            </w:pPr>
          </w:p>
        </w:tc>
        <w:tc>
          <w:tcPr>
            <w:tcW w:w="900" w:type="dxa"/>
            <w:vAlign w:val="bottom"/>
            <w:gridSpan w:val="2"/>
          </w:tcPr>
          <w:p>
            <w:pPr>
              <w:spacing w:after="0"/>
              <w:rPr>
                <w:sz w:val="23"/>
                <w:szCs w:val="23"/>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5"/>
                <w:szCs w:val="15"/>
                <w:b w:val="1"/>
                <w:bCs w:val="1"/>
                <w:color w:val="0000EE"/>
                <w:w w:val="95"/>
              </w:rPr>
            </w:pPr>
            <w:hyperlink w:anchor="page65">
              <w:r>
                <w:rPr>
                  <w:rFonts w:ascii="Arial" w:cs="Arial" w:eastAsia="Arial" w:hAnsi="Arial"/>
                  <w:sz w:val="15"/>
                  <w:szCs w:val="15"/>
                  <w:b w:val="1"/>
                  <w:bCs w:val="1"/>
                  <w:color w:val="0000EE"/>
                  <w:w w:val="95"/>
                </w:rPr>
                <w:t>63</w:t>
              </w:r>
            </w:hyperlink>
          </w:p>
        </w:tc>
      </w:tr>
      <w:tr>
        <w:trPr>
          <w:trHeight w:val="265"/>
        </w:trPr>
        <w:tc>
          <w:tcPr>
            <w:tcW w:w="10360" w:type="dxa"/>
            <w:vAlign w:val="bottom"/>
            <w:gridSpan w:val="38"/>
          </w:tcPr>
          <w:p>
            <w:pPr>
              <w:spacing w:after="0"/>
              <w:rPr>
                <w:rFonts w:ascii="Arial" w:cs="Arial" w:eastAsia="Arial" w:hAnsi="Arial"/>
                <w:sz w:val="15"/>
                <w:szCs w:val="15"/>
                <w:b w:val="1"/>
                <w:bCs w:val="1"/>
                <w:color w:val="325889"/>
              </w:rPr>
            </w:pPr>
            <w:hyperlink w:anchor="page67">
              <w:r>
                <w:rPr>
                  <w:rFonts w:ascii="Arial" w:cs="Arial" w:eastAsia="Arial" w:hAnsi="Arial"/>
                  <w:sz w:val="15"/>
                  <w:szCs w:val="15"/>
                  <w:b w:val="1"/>
                  <w:bCs w:val="1"/>
                  <w:color w:val="325889"/>
                </w:rPr>
                <w:t>APPENDICES</w:t>
              </w:r>
            </w:hyperlink>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63"/>
        </w:trPr>
        <w:tc>
          <w:tcPr>
            <w:tcW w:w="680" w:type="dxa"/>
            <w:vAlign w:val="bottom"/>
            <w:tcBorders>
              <w:top w:val="single" w:sz="8" w:color="325889"/>
              <w:bottom w:val="single" w:sz="8" w:color="98A3B8"/>
            </w:tcBorders>
          </w:tcPr>
          <w:p>
            <w:pPr>
              <w:spacing w:after="0"/>
              <w:rPr>
                <w:sz w:val="5"/>
                <w:szCs w:val="5"/>
                <w:color w:val="auto"/>
              </w:rPr>
            </w:pPr>
          </w:p>
        </w:tc>
        <w:tc>
          <w:tcPr>
            <w:tcW w:w="320" w:type="dxa"/>
            <w:vAlign w:val="bottom"/>
            <w:tcBorders>
              <w:top w:val="single" w:sz="8" w:color="325889"/>
              <w:bottom w:val="single" w:sz="8" w:color="98A3B8"/>
            </w:tcBorders>
          </w:tcPr>
          <w:p>
            <w:pPr>
              <w:spacing w:after="0"/>
              <w:rPr>
                <w:sz w:val="5"/>
                <w:szCs w:val="5"/>
                <w:color w:val="auto"/>
              </w:rPr>
            </w:pPr>
          </w:p>
        </w:tc>
        <w:tc>
          <w:tcPr>
            <w:tcW w:w="20" w:type="dxa"/>
            <w:vAlign w:val="bottom"/>
            <w:tcBorders>
              <w:bottom w:val="single" w:sz="8" w:color="98A3B8"/>
            </w:tcBorders>
          </w:tcPr>
          <w:p>
            <w:pPr>
              <w:spacing w:after="0"/>
              <w:rPr>
                <w:sz w:val="5"/>
                <w:szCs w:val="5"/>
                <w:color w:val="auto"/>
              </w:rPr>
            </w:pPr>
          </w:p>
        </w:tc>
        <w:tc>
          <w:tcPr>
            <w:tcW w:w="80" w:type="dxa"/>
            <w:vAlign w:val="bottom"/>
            <w:tcBorders>
              <w:bottom w:val="single" w:sz="8" w:color="98A3B8"/>
            </w:tcBorders>
          </w:tcPr>
          <w:p>
            <w:pPr>
              <w:spacing w:after="0"/>
              <w:rPr>
                <w:sz w:val="5"/>
                <w:szCs w:val="5"/>
                <w:color w:val="auto"/>
              </w:rPr>
            </w:pPr>
          </w:p>
        </w:tc>
        <w:tc>
          <w:tcPr>
            <w:tcW w:w="180" w:type="dxa"/>
            <w:vAlign w:val="bottom"/>
            <w:tcBorders>
              <w:bottom w:val="single" w:sz="8" w:color="98A3B8"/>
            </w:tcBorders>
          </w:tcPr>
          <w:p>
            <w:pPr>
              <w:spacing w:after="0"/>
              <w:rPr>
                <w:sz w:val="5"/>
                <w:szCs w:val="5"/>
                <w:color w:val="auto"/>
              </w:rPr>
            </w:pPr>
          </w:p>
        </w:tc>
        <w:tc>
          <w:tcPr>
            <w:tcW w:w="80" w:type="dxa"/>
            <w:vAlign w:val="bottom"/>
            <w:tcBorders>
              <w:bottom w:val="single" w:sz="8" w:color="98A3B8"/>
            </w:tcBorders>
          </w:tcPr>
          <w:p>
            <w:pPr>
              <w:spacing w:after="0"/>
              <w:rPr>
                <w:sz w:val="5"/>
                <w:szCs w:val="5"/>
                <w:color w:val="auto"/>
              </w:rPr>
            </w:pPr>
          </w:p>
        </w:tc>
        <w:tc>
          <w:tcPr>
            <w:tcW w:w="120" w:type="dxa"/>
            <w:vAlign w:val="bottom"/>
            <w:tcBorders>
              <w:bottom w:val="single" w:sz="8" w:color="98A3B8"/>
            </w:tcBorders>
          </w:tcPr>
          <w:p>
            <w:pPr>
              <w:spacing w:after="0"/>
              <w:rPr>
                <w:sz w:val="5"/>
                <w:szCs w:val="5"/>
                <w:color w:val="auto"/>
              </w:rPr>
            </w:pPr>
          </w:p>
        </w:tc>
        <w:tc>
          <w:tcPr>
            <w:tcW w:w="180" w:type="dxa"/>
            <w:vAlign w:val="bottom"/>
            <w:tcBorders>
              <w:bottom w:val="single" w:sz="8" w:color="98A3B8"/>
            </w:tcBorders>
          </w:tcPr>
          <w:p>
            <w:pPr>
              <w:spacing w:after="0"/>
              <w:rPr>
                <w:sz w:val="5"/>
                <w:szCs w:val="5"/>
                <w:color w:val="auto"/>
              </w:rPr>
            </w:pPr>
          </w:p>
        </w:tc>
        <w:tc>
          <w:tcPr>
            <w:tcW w:w="40" w:type="dxa"/>
            <w:vAlign w:val="bottom"/>
            <w:tcBorders>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40" w:type="dxa"/>
            <w:vAlign w:val="bottom"/>
            <w:tcBorders>
              <w:bottom w:val="single" w:sz="8" w:color="98A3B8"/>
            </w:tcBorders>
          </w:tcPr>
          <w:p>
            <w:pPr>
              <w:spacing w:after="0"/>
              <w:rPr>
                <w:sz w:val="5"/>
                <w:szCs w:val="5"/>
                <w:color w:val="auto"/>
              </w:rPr>
            </w:pPr>
          </w:p>
        </w:tc>
        <w:tc>
          <w:tcPr>
            <w:tcW w:w="300" w:type="dxa"/>
            <w:vAlign w:val="bottom"/>
            <w:tcBorders>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160" w:type="dxa"/>
            <w:vAlign w:val="bottom"/>
            <w:tcBorders>
              <w:bottom w:val="single" w:sz="8" w:color="98A3B8"/>
            </w:tcBorders>
          </w:tcPr>
          <w:p>
            <w:pPr>
              <w:spacing w:after="0"/>
              <w:rPr>
                <w:sz w:val="5"/>
                <w:szCs w:val="5"/>
                <w:color w:val="auto"/>
              </w:rPr>
            </w:pPr>
          </w:p>
        </w:tc>
        <w:tc>
          <w:tcPr>
            <w:tcW w:w="80" w:type="dxa"/>
            <w:vAlign w:val="bottom"/>
            <w:tcBorders>
              <w:bottom w:val="single" w:sz="8" w:color="98A3B8"/>
            </w:tcBorders>
          </w:tcPr>
          <w:p>
            <w:pPr>
              <w:spacing w:after="0"/>
              <w:rPr>
                <w:sz w:val="5"/>
                <w:szCs w:val="5"/>
                <w:color w:val="auto"/>
              </w:rPr>
            </w:pPr>
          </w:p>
        </w:tc>
        <w:tc>
          <w:tcPr>
            <w:tcW w:w="40" w:type="dxa"/>
            <w:vAlign w:val="bottom"/>
            <w:tcBorders>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20" w:type="dxa"/>
            <w:vAlign w:val="bottom"/>
            <w:tcBorders>
              <w:bottom w:val="single" w:sz="8" w:color="98A3B8"/>
            </w:tcBorders>
          </w:tcPr>
          <w:p>
            <w:pPr>
              <w:spacing w:after="0"/>
              <w:rPr>
                <w:sz w:val="5"/>
                <w:szCs w:val="5"/>
                <w:color w:val="auto"/>
              </w:rPr>
            </w:pPr>
          </w:p>
        </w:tc>
        <w:tc>
          <w:tcPr>
            <w:tcW w:w="240" w:type="dxa"/>
            <w:vAlign w:val="bottom"/>
            <w:tcBorders>
              <w:bottom w:val="single" w:sz="8" w:color="98A3B8"/>
            </w:tcBorders>
          </w:tcPr>
          <w:p>
            <w:pPr>
              <w:spacing w:after="0"/>
              <w:rPr>
                <w:sz w:val="5"/>
                <w:szCs w:val="5"/>
                <w:color w:val="auto"/>
              </w:rPr>
            </w:pPr>
          </w:p>
        </w:tc>
        <w:tc>
          <w:tcPr>
            <w:tcW w:w="40" w:type="dxa"/>
            <w:vAlign w:val="bottom"/>
            <w:tcBorders>
              <w:bottom w:val="single" w:sz="8" w:color="98A3B8"/>
            </w:tcBorders>
          </w:tcPr>
          <w:p>
            <w:pPr>
              <w:spacing w:after="0"/>
              <w:rPr>
                <w:sz w:val="5"/>
                <w:szCs w:val="5"/>
                <w:color w:val="auto"/>
              </w:rPr>
            </w:pPr>
          </w:p>
        </w:tc>
        <w:tc>
          <w:tcPr>
            <w:tcW w:w="280" w:type="dxa"/>
            <w:vAlign w:val="bottom"/>
            <w:tcBorders>
              <w:bottom w:val="single" w:sz="8" w:color="98A3B8"/>
            </w:tcBorders>
          </w:tcPr>
          <w:p>
            <w:pPr>
              <w:spacing w:after="0"/>
              <w:rPr>
                <w:sz w:val="5"/>
                <w:szCs w:val="5"/>
                <w:color w:val="auto"/>
              </w:rPr>
            </w:pPr>
          </w:p>
        </w:tc>
        <w:tc>
          <w:tcPr>
            <w:tcW w:w="500" w:type="dxa"/>
            <w:vAlign w:val="bottom"/>
            <w:tcBorders>
              <w:bottom w:val="single" w:sz="8" w:color="98A3B8"/>
            </w:tcBorders>
          </w:tcPr>
          <w:p>
            <w:pPr>
              <w:spacing w:after="0"/>
              <w:rPr>
                <w:sz w:val="5"/>
                <w:szCs w:val="5"/>
                <w:color w:val="auto"/>
              </w:rPr>
            </w:pPr>
          </w:p>
        </w:tc>
        <w:tc>
          <w:tcPr>
            <w:tcW w:w="100" w:type="dxa"/>
            <w:vAlign w:val="bottom"/>
            <w:tcBorders>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400" w:type="dxa"/>
            <w:vAlign w:val="bottom"/>
            <w:tcBorders>
              <w:bottom w:val="single" w:sz="8" w:color="98A3B8"/>
            </w:tcBorders>
          </w:tcPr>
          <w:p>
            <w:pPr>
              <w:spacing w:after="0"/>
              <w:rPr>
                <w:sz w:val="5"/>
                <w:szCs w:val="5"/>
                <w:color w:val="auto"/>
              </w:rPr>
            </w:pPr>
          </w:p>
        </w:tc>
        <w:tc>
          <w:tcPr>
            <w:tcW w:w="300" w:type="dxa"/>
            <w:vAlign w:val="bottom"/>
            <w:tcBorders>
              <w:bottom w:val="single" w:sz="8" w:color="98A3B8"/>
            </w:tcBorders>
          </w:tcPr>
          <w:p>
            <w:pPr>
              <w:spacing w:after="0"/>
              <w:rPr>
                <w:sz w:val="5"/>
                <w:szCs w:val="5"/>
                <w:color w:val="auto"/>
              </w:rPr>
            </w:pPr>
          </w:p>
        </w:tc>
        <w:tc>
          <w:tcPr>
            <w:tcW w:w="80" w:type="dxa"/>
            <w:vAlign w:val="bottom"/>
            <w:tcBorders>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60" w:type="dxa"/>
            <w:vAlign w:val="bottom"/>
            <w:tcBorders>
              <w:bottom w:val="single" w:sz="8" w:color="98A3B8"/>
            </w:tcBorders>
          </w:tcPr>
          <w:p>
            <w:pPr>
              <w:spacing w:after="0"/>
              <w:rPr>
                <w:sz w:val="5"/>
                <w:szCs w:val="5"/>
                <w:color w:val="auto"/>
              </w:rPr>
            </w:pPr>
          </w:p>
        </w:tc>
        <w:tc>
          <w:tcPr>
            <w:tcW w:w="120" w:type="dxa"/>
            <w:vAlign w:val="bottom"/>
            <w:tcBorders>
              <w:bottom w:val="single" w:sz="8" w:color="98A3B8"/>
            </w:tcBorders>
          </w:tcPr>
          <w:p>
            <w:pPr>
              <w:spacing w:after="0"/>
              <w:rPr>
                <w:sz w:val="5"/>
                <w:szCs w:val="5"/>
                <w:color w:val="auto"/>
              </w:rPr>
            </w:pPr>
          </w:p>
        </w:tc>
        <w:tc>
          <w:tcPr>
            <w:tcW w:w="40" w:type="dxa"/>
            <w:vAlign w:val="bottom"/>
            <w:tcBorders>
              <w:bottom w:val="single" w:sz="8" w:color="98A3B8"/>
            </w:tcBorders>
          </w:tcPr>
          <w:p>
            <w:pPr>
              <w:spacing w:after="0"/>
              <w:rPr>
                <w:sz w:val="5"/>
                <w:szCs w:val="5"/>
                <w:color w:val="auto"/>
              </w:rPr>
            </w:pPr>
          </w:p>
        </w:tc>
        <w:tc>
          <w:tcPr>
            <w:tcW w:w="1020" w:type="dxa"/>
            <w:vAlign w:val="bottom"/>
            <w:tcBorders>
              <w:bottom w:val="single" w:sz="8" w:color="98A3B8"/>
            </w:tcBorders>
          </w:tcPr>
          <w:p>
            <w:pPr>
              <w:spacing w:after="0"/>
              <w:rPr>
                <w:sz w:val="5"/>
                <w:szCs w:val="5"/>
                <w:color w:val="auto"/>
              </w:rPr>
            </w:pPr>
          </w:p>
        </w:tc>
        <w:tc>
          <w:tcPr>
            <w:tcW w:w="720" w:type="dxa"/>
            <w:vAlign w:val="bottom"/>
            <w:tcBorders>
              <w:bottom w:val="single" w:sz="8" w:color="98A3B8"/>
            </w:tcBorders>
          </w:tcPr>
          <w:p>
            <w:pPr>
              <w:spacing w:after="0"/>
              <w:rPr>
                <w:sz w:val="5"/>
                <w:szCs w:val="5"/>
                <w:color w:val="auto"/>
              </w:rPr>
            </w:pPr>
          </w:p>
        </w:tc>
        <w:tc>
          <w:tcPr>
            <w:tcW w:w="140" w:type="dxa"/>
            <w:vAlign w:val="bottom"/>
            <w:tcBorders>
              <w:bottom w:val="single" w:sz="8" w:color="98A3B8"/>
            </w:tcBorders>
          </w:tcPr>
          <w:p>
            <w:pPr>
              <w:spacing w:after="0"/>
              <w:rPr>
                <w:sz w:val="5"/>
                <w:szCs w:val="5"/>
                <w:color w:val="auto"/>
              </w:rPr>
            </w:pPr>
          </w:p>
        </w:tc>
        <w:tc>
          <w:tcPr>
            <w:tcW w:w="2760" w:type="dxa"/>
            <w:vAlign w:val="bottom"/>
            <w:tcBorders>
              <w:bottom w:val="single" w:sz="8" w:color="98A3B8"/>
            </w:tcBorders>
          </w:tcPr>
          <w:p>
            <w:pPr>
              <w:spacing w:after="0"/>
              <w:rPr>
                <w:sz w:val="5"/>
                <w:szCs w:val="5"/>
                <w:color w:val="auto"/>
              </w:rPr>
            </w:pPr>
          </w:p>
        </w:tc>
        <w:tc>
          <w:tcPr>
            <w:tcW w:w="800" w:type="dxa"/>
            <w:vAlign w:val="bottom"/>
            <w:tcBorders>
              <w:bottom w:val="single" w:sz="8" w:color="98A3B8"/>
            </w:tcBorders>
          </w:tcPr>
          <w:p>
            <w:pPr>
              <w:spacing w:after="0"/>
              <w:rPr>
                <w:sz w:val="5"/>
                <w:szCs w:val="5"/>
                <w:color w:val="auto"/>
              </w:rPr>
            </w:pPr>
          </w:p>
        </w:tc>
        <w:tc>
          <w:tcPr>
            <w:tcW w:w="820" w:type="dxa"/>
            <w:vAlign w:val="bottom"/>
            <w:tcBorders>
              <w:bottom w:val="single" w:sz="8" w:color="98A3B8"/>
            </w:tcBorders>
          </w:tcPr>
          <w:p>
            <w:pPr>
              <w:spacing w:after="0"/>
              <w:rPr>
                <w:sz w:val="5"/>
                <w:szCs w:val="5"/>
                <w:color w:val="auto"/>
              </w:rPr>
            </w:pPr>
          </w:p>
        </w:tc>
        <w:tc>
          <w:tcPr>
            <w:tcW w:w="80" w:type="dxa"/>
            <w:vAlign w:val="bottom"/>
            <w:tcBorders>
              <w:bottom w:val="single" w:sz="8" w:color="98A3B8"/>
            </w:tcBorders>
          </w:tcPr>
          <w:p>
            <w:pPr>
              <w:spacing w:after="0"/>
              <w:rPr>
                <w:sz w:val="5"/>
                <w:szCs w:val="5"/>
                <w:color w:val="auto"/>
              </w:rPr>
            </w:pPr>
          </w:p>
        </w:tc>
        <w:tc>
          <w:tcPr>
            <w:tcW w:w="80" w:type="dxa"/>
            <w:vAlign w:val="bottom"/>
            <w:tcBorders>
              <w:bottom w:val="single" w:sz="8" w:color="98A3B8"/>
            </w:tcBorders>
          </w:tcPr>
          <w:p>
            <w:pPr>
              <w:spacing w:after="0"/>
              <w:rPr>
                <w:sz w:val="5"/>
                <w:szCs w:val="5"/>
                <w:color w:val="auto"/>
              </w:rPr>
            </w:pPr>
          </w:p>
        </w:tc>
        <w:tc>
          <w:tcPr>
            <w:tcW w:w="100" w:type="dxa"/>
            <w:vAlign w:val="bottom"/>
            <w:tcBorders>
              <w:bottom w:val="single" w:sz="8" w:color="98A3B8"/>
            </w:tcBorders>
          </w:tcPr>
          <w:p>
            <w:pPr>
              <w:spacing w:after="0"/>
              <w:rPr>
                <w:sz w:val="5"/>
                <w:szCs w:val="5"/>
                <w:color w:val="auto"/>
              </w:rPr>
            </w:pPr>
          </w:p>
        </w:tc>
      </w:tr>
      <w:tr>
        <w:trPr>
          <w:trHeight w:val="194"/>
        </w:trPr>
        <w:tc>
          <w:tcPr>
            <w:tcW w:w="10360" w:type="dxa"/>
            <w:vAlign w:val="bottom"/>
            <w:gridSpan w:val="38"/>
          </w:tcPr>
          <w:p>
            <w:pPr>
              <w:spacing w:after="0"/>
              <w:rPr>
                <w:rFonts w:ascii="Arial" w:cs="Arial" w:eastAsia="Arial" w:hAnsi="Arial"/>
                <w:sz w:val="15"/>
                <w:szCs w:val="15"/>
                <w:b w:val="1"/>
                <w:bCs w:val="1"/>
                <w:color w:val="0000EE"/>
              </w:rPr>
            </w:pPr>
            <w:hyperlink w:anchor="page67">
              <w:r>
                <w:rPr>
                  <w:rFonts w:ascii="Arial" w:cs="Arial" w:eastAsia="Arial" w:hAnsi="Arial"/>
                  <w:sz w:val="15"/>
                  <w:szCs w:val="15"/>
                  <w:b w:val="1"/>
                  <w:bCs w:val="1"/>
                  <w:color w:val="0000EE"/>
                </w:rPr>
                <w:t>Appendix A: Information Regarding Certain Financial Measures</w:t>
              </w:r>
            </w:hyperlink>
          </w:p>
        </w:tc>
        <w:tc>
          <w:tcPr>
            <w:tcW w:w="1080" w:type="dxa"/>
            <w:vAlign w:val="bottom"/>
            <w:gridSpan w:val="4"/>
          </w:tcPr>
          <w:p>
            <w:pPr>
              <w:jc w:val="right"/>
              <w:spacing w:after="0"/>
              <w:rPr>
                <w:rFonts w:ascii="Arial" w:cs="Arial" w:eastAsia="Arial" w:hAnsi="Arial"/>
                <w:sz w:val="15"/>
                <w:szCs w:val="15"/>
                <w:b w:val="1"/>
                <w:bCs w:val="1"/>
                <w:color w:val="0000EE"/>
              </w:rPr>
            </w:pPr>
            <w:hyperlink w:anchor="page67">
              <w:r>
                <w:rPr>
                  <w:rFonts w:ascii="Arial" w:cs="Arial" w:eastAsia="Arial" w:hAnsi="Arial"/>
                  <w:sz w:val="15"/>
                  <w:szCs w:val="15"/>
                  <w:b w:val="1"/>
                  <w:bCs w:val="1"/>
                  <w:color w:val="0000EE"/>
                </w:rPr>
                <w:t>A-1</w:t>
              </w:r>
            </w:hyperlink>
          </w:p>
        </w:tc>
      </w:tr>
      <w:tr>
        <w:trPr>
          <w:trHeight w:val="265"/>
        </w:trPr>
        <w:tc>
          <w:tcPr>
            <w:tcW w:w="4640" w:type="dxa"/>
            <w:vAlign w:val="bottom"/>
            <w:tcBorders>
              <w:top w:val="single" w:sz="8" w:color="0000EE"/>
            </w:tcBorders>
            <w:gridSpan w:val="29"/>
          </w:tcPr>
          <w:p>
            <w:pPr>
              <w:spacing w:after="0"/>
              <w:rPr>
                <w:rFonts w:ascii="Arial" w:cs="Arial" w:eastAsia="Arial" w:hAnsi="Arial"/>
                <w:sz w:val="15"/>
                <w:szCs w:val="15"/>
                <w:b w:val="1"/>
                <w:bCs w:val="1"/>
                <w:color w:val="0000EE"/>
              </w:rPr>
            </w:pPr>
            <w:hyperlink w:anchor="page74">
              <w:r>
                <w:rPr>
                  <w:rFonts w:ascii="Arial" w:cs="Arial" w:eastAsia="Arial" w:hAnsi="Arial"/>
                  <w:sz w:val="15"/>
                  <w:szCs w:val="15"/>
                  <w:b w:val="1"/>
                  <w:bCs w:val="1"/>
                  <w:color w:val="0000EE"/>
                </w:rPr>
                <w:t>Appendix B: Charter Amendment</w:t>
              </w:r>
            </w:hyperlink>
          </w:p>
        </w:tc>
        <w:tc>
          <w:tcPr>
            <w:tcW w:w="5720" w:type="dxa"/>
            <w:vAlign w:val="bottom"/>
            <w:gridSpan w:val="9"/>
          </w:tcPr>
          <w:p>
            <w:pPr>
              <w:spacing w:after="0"/>
              <w:rPr>
                <w:sz w:val="23"/>
                <w:szCs w:val="23"/>
                <w:color w:val="auto"/>
              </w:rPr>
            </w:pPr>
          </w:p>
        </w:tc>
        <w:tc>
          <w:tcPr>
            <w:tcW w:w="820" w:type="dxa"/>
            <w:vAlign w:val="bottom"/>
          </w:tcPr>
          <w:p>
            <w:pPr>
              <w:spacing w:after="0"/>
              <w:rPr>
                <w:sz w:val="23"/>
                <w:szCs w:val="23"/>
                <w:color w:val="auto"/>
              </w:rPr>
            </w:pPr>
          </w:p>
        </w:tc>
        <w:tc>
          <w:tcPr>
            <w:tcW w:w="260" w:type="dxa"/>
            <w:vAlign w:val="bottom"/>
            <w:tcBorders>
              <w:top w:val="single" w:sz="8" w:color="0000EE"/>
            </w:tcBorders>
            <w:gridSpan w:val="3"/>
          </w:tcPr>
          <w:p>
            <w:pPr>
              <w:jc w:val="right"/>
              <w:spacing w:after="0"/>
              <w:rPr>
                <w:rFonts w:ascii="Arial" w:cs="Arial" w:eastAsia="Arial" w:hAnsi="Arial"/>
                <w:sz w:val="15"/>
                <w:szCs w:val="15"/>
                <w:b w:val="1"/>
                <w:bCs w:val="1"/>
                <w:color w:val="0000EE"/>
                <w:w w:val="99"/>
              </w:rPr>
            </w:pPr>
            <w:hyperlink w:anchor="page74">
              <w:r>
                <w:rPr>
                  <w:rFonts w:ascii="Arial" w:cs="Arial" w:eastAsia="Arial" w:hAnsi="Arial"/>
                  <w:sz w:val="15"/>
                  <w:szCs w:val="15"/>
                  <w:b w:val="1"/>
                  <w:bCs w:val="1"/>
                  <w:color w:val="0000EE"/>
                  <w:w w:val="99"/>
                </w:rPr>
                <w:t>B-1</w:t>
              </w:r>
            </w:hyperlink>
          </w:p>
        </w:tc>
      </w:tr>
      <w:tr>
        <w:trPr>
          <w:trHeight w:val="20"/>
        </w:trPr>
        <w:tc>
          <w:tcPr>
            <w:tcW w:w="6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right="340"/>
        <w:spacing w:after="0" w:line="265" w:lineRule="auto"/>
        <w:rPr>
          <w:sz w:val="20"/>
          <w:szCs w:val="20"/>
          <w:color w:val="auto"/>
        </w:rPr>
      </w:pPr>
      <w:r>
        <w:rPr>
          <w:rFonts w:ascii="Arial" w:cs="Arial" w:eastAsia="Arial" w:hAnsi="Arial"/>
          <w:sz w:val="15"/>
          <w:szCs w:val="15"/>
          <w:color w:val="auto"/>
        </w:rPr>
        <w:t>References in this proxy statement to “we,” “us,” “our,” “ours,” and the “Company” refer to SL Green Realty Corp., unless the context otherwise requires. This proxy statement and a form of proxy have been made available to our stockholders on the Internet, and will be mailed to stockholders, on or about May 1, 2017.</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2017 Proxy Statement </w:t>
      </w:r>
      <w:r>
        <w:rPr>
          <w:rFonts w:ascii="Arial" w:cs="Arial" w:eastAsia="Arial" w:hAnsi="Arial"/>
          <w:sz w:val="15"/>
          <w:szCs w:val="15"/>
          <w:color w:val="325889"/>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83450"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0"/>
          </w:cols>
          <w:pgMar w:left="240" w:top="528" w:right="219" w:bottom="1440" w:gutter="0" w:footer="0" w:header="0"/>
        </w:sectPr>
      </w:pPr>
    </w:p>
    <w:bookmarkStart w:id="7" w:name="page8"/>
    <w:bookmarkEnd w:id="7"/>
    <w:p>
      <w:pPr>
        <w:ind w:left="5"/>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178" w:lineRule="exact"/>
        <w:rPr>
          <w:sz w:val="20"/>
          <w:szCs w:val="20"/>
          <w:color w:val="auto"/>
        </w:rPr>
      </w:pPr>
    </w:p>
    <w:p>
      <w:pPr>
        <w:ind w:left="5"/>
        <w:spacing w:after="0"/>
        <w:rPr>
          <w:sz w:val="20"/>
          <w:szCs w:val="20"/>
          <w:color w:val="auto"/>
        </w:rPr>
      </w:pPr>
      <w:r>
        <w:rPr>
          <w:rFonts w:ascii="Arial" w:cs="Arial" w:eastAsia="Arial" w:hAnsi="Arial"/>
          <w:sz w:val="28"/>
          <w:szCs w:val="28"/>
          <w:b w:val="1"/>
          <w:bCs w:val="1"/>
          <w:color w:val="325889"/>
        </w:rPr>
        <w:t>OUR BOARD OF DIRECTORS AND CORPORATE GOVERNANCE</w:t>
      </w:r>
    </w:p>
    <w:p>
      <w:pPr>
        <w:spacing w:after="0" w:line="236" w:lineRule="exact"/>
        <w:rPr>
          <w:sz w:val="20"/>
          <w:szCs w:val="20"/>
          <w:color w:val="auto"/>
        </w:rPr>
      </w:pPr>
    </w:p>
    <w:p>
      <w:pPr>
        <w:ind w:left="5"/>
        <w:spacing w:after="0" w:line="250" w:lineRule="auto"/>
        <w:rPr>
          <w:sz w:val="20"/>
          <w:szCs w:val="20"/>
          <w:color w:val="auto"/>
        </w:rPr>
      </w:pPr>
      <w:r>
        <w:rPr>
          <w:rFonts w:ascii="Arial" w:cs="Arial" w:eastAsia="Arial" w:hAnsi="Arial"/>
          <w:sz w:val="15"/>
          <w:szCs w:val="15"/>
          <w:color w:val="auto"/>
        </w:rPr>
        <w:t>We are committed to operating our business under strong and accountable corporate governance practices. You are encouraged to visit the “Investors—Corporate Governance” section of our corporate website at http://www.slgreen.com to view or obtain copies of our committee charters, Code of Ethics, Governance Principles and director independence standards. The information found on, or accessible through, our website is not incorporated into, and does not form a part of, this proxy statement or any other report or document we file with, or furnish to, the SEC. You also may obtain, free of charge, a copy of the respective charters of our committees, Code of Ethics, Governance Principles and director independence standards by directing your request in writing to SL Green Realty Corp., 420 Lexington Avenue, New York, New York 10170-1881, Attention: Investor Relations. Additional information relating to the corporate governance of the Company also is included in other sections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263130" cy="2237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3130" cy="2237740"/>
                    </a:xfrm>
                    <a:prstGeom prst="rect">
                      <a:avLst/>
                    </a:prstGeom>
                    <a:noFill/>
                  </pic:spPr>
                </pic:pic>
              </a:graphicData>
            </a:graphic>
          </wp:anchor>
        </w:drawing>
      </w:r>
    </w:p>
    <w:p>
      <w:pPr>
        <w:spacing w:after="0" w:line="188" w:lineRule="exact"/>
        <w:rPr>
          <w:sz w:val="20"/>
          <w:szCs w:val="20"/>
          <w:color w:val="auto"/>
        </w:rPr>
      </w:pPr>
    </w:p>
    <w:p>
      <w:pPr>
        <w:ind w:left="65"/>
        <w:spacing w:after="0"/>
        <w:rPr>
          <w:sz w:val="20"/>
          <w:szCs w:val="20"/>
          <w:color w:val="auto"/>
        </w:rPr>
      </w:pPr>
      <w:r>
        <w:rPr>
          <w:rFonts w:ascii="Arial" w:cs="Arial" w:eastAsia="Arial" w:hAnsi="Arial"/>
          <w:sz w:val="22"/>
          <w:szCs w:val="22"/>
          <w:b w:val="1"/>
          <w:bCs w:val="1"/>
          <w:color w:val="auto"/>
        </w:rPr>
        <w:t>Proposal 1: Election of Directors</w:t>
      </w:r>
    </w:p>
    <w:p>
      <w:pPr>
        <w:spacing w:after="0" w:line="200" w:lineRule="exact"/>
        <w:rPr>
          <w:sz w:val="20"/>
          <w:szCs w:val="20"/>
          <w:color w:val="auto"/>
        </w:rPr>
      </w:pPr>
    </w:p>
    <w:p>
      <w:pPr>
        <w:spacing w:after="0" w:line="265" w:lineRule="exact"/>
        <w:rPr>
          <w:sz w:val="20"/>
          <w:szCs w:val="20"/>
          <w:color w:val="auto"/>
        </w:rPr>
      </w:pPr>
    </w:p>
    <w:p>
      <w:pPr>
        <w:ind w:left="65" w:right="260"/>
        <w:spacing w:after="0" w:line="252" w:lineRule="auto"/>
        <w:rPr>
          <w:sz w:val="20"/>
          <w:szCs w:val="20"/>
          <w:color w:val="auto"/>
        </w:rPr>
      </w:pPr>
      <w:r>
        <w:rPr>
          <w:rFonts w:ascii="Arial" w:cs="Arial" w:eastAsia="Arial" w:hAnsi="Arial"/>
          <w:sz w:val="15"/>
          <w:szCs w:val="15"/>
          <w:color w:val="auto"/>
        </w:rPr>
        <w:t>The Board, upon the recommendation of the Nominating and Corporate Governance Committee, has nominated Betsy Atkins, Marc Holliday and John S. Levy for election to serve as its Class II directors. If elected, each Class II director will serve until the 2020 annual meeting and until their successors are duly elected and qualify. Ms. Atkins and Messrs. Holliday and Levy currently are serving as Class II directors. Each of Ms. Atkins and Messrs. Holliday and Levy has consented to being named in this proxy statement and to serve as a director if elected. However, if any of Ms. Atkins and Messrs. Holliday and Levy is unable to accept election, proxies voted in favor of such nominee will be voted for the election of such other person as the Board nominates.</w:t>
      </w:r>
    </w:p>
    <w:p>
      <w:pPr>
        <w:spacing w:after="0" w:line="156" w:lineRule="exact"/>
        <w:rPr>
          <w:sz w:val="20"/>
          <w:szCs w:val="20"/>
          <w:color w:val="auto"/>
        </w:rPr>
      </w:pPr>
    </w:p>
    <w:p>
      <w:pPr>
        <w:ind w:left="65"/>
        <w:spacing w:after="0"/>
        <w:rPr>
          <w:sz w:val="20"/>
          <w:szCs w:val="20"/>
          <w:color w:val="auto"/>
        </w:rPr>
      </w:pPr>
      <w:r>
        <w:rPr>
          <w:rFonts w:ascii="Arial" w:cs="Arial" w:eastAsia="Arial" w:hAnsi="Arial"/>
          <w:sz w:val="15"/>
          <w:szCs w:val="15"/>
          <w:b w:val="1"/>
          <w:bCs w:val="1"/>
          <w:color w:val="auto"/>
        </w:rPr>
        <w:t>Majority Voting Standard</w:t>
      </w:r>
    </w:p>
    <w:p>
      <w:pPr>
        <w:spacing w:after="0" w:line="213" w:lineRule="exact"/>
        <w:rPr>
          <w:sz w:val="20"/>
          <w:szCs w:val="20"/>
          <w:color w:val="auto"/>
        </w:rPr>
      </w:pPr>
    </w:p>
    <w:p>
      <w:pPr>
        <w:ind w:left="65" w:right="200"/>
        <w:spacing w:after="0" w:line="253" w:lineRule="auto"/>
        <w:rPr>
          <w:sz w:val="20"/>
          <w:szCs w:val="20"/>
          <w:color w:val="auto"/>
        </w:rPr>
      </w:pPr>
      <w:r>
        <w:rPr>
          <w:rFonts w:ascii="Arial" w:cs="Arial" w:eastAsia="Arial" w:hAnsi="Arial"/>
          <w:sz w:val="15"/>
          <w:szCs w:val="15"/>
          <w:color w:val="auto"/>
        </w:rPr>
        <w:t>A majority of all the votes cast with respect to a nominee’s election is required for such nominee to be elected to serve on the Board. This means that the number of votes cast “for” a nominee must exceed the number of votes cast “against” such nominee, with abstentions and broker non-votes not counted as a vote cast either “for” or “against” a nominee. For more information on the operation of our majority voting standard in director elections, see the section entitled “Our Board of Directors and Corporate Governance—Corporate Governance—Majority Voting Standard and Director Resignation Policy.”</w:t>
      </w:r>
    </w:p>
    <w:p>
      <w:pPr>
        <w:spacing w:after="0" w:line="213" w:lineRule="exact"/>
        <w:rPr>
          <w:sz w:val="20"/>
          <w:szCs w:val="20"/>
          <w:color w:val="auto"/>
        </w:rPr>
      </w:pPr>
    </w:p>
    <w:p>
      <w:pPr>
        <w:jc w:val="center"/>
        <w:ind w:right="-24"/>
        <w:spacing w:after="0"/>
        <w:rPr>
          <w:sz w:val="20"/>
          <w:szCs w:val="20"/>
          <w:color w:val="auto"/>
        </w:rPr>
      </w:pPr>
      <w:r>
        <w:rPr>
          <w:rFonts w:ascii="Arial" w:cs="Arial" w:eastAsia="Arial" w:hAnsi="Arial"/>
          <w:sz w:val="19"/>
          <w:szCs w:val="19"/>
          <w:b w:val="1"/>
          <w:bCs w:val="1"/>
          <w:color w:val="325889"/>
        </w:rPr>
        <w:t xml:space="preserve">The Board unanimously recommends a vote </w:t>
      </w:r>
      <w:r>
        <w:rPr>
          <w:rFonts w:ascii="Arial" w:cs="Arial" w:eastAsia="Arial" w:hAnsi="Arial"/>
          <w:sz w:val="19"/>
          <w:szCs w:val="19"/>
          <w:b w:val="1"/>
          <w:bCs w:val="1"/>
          <w:color w:val="000000"/>
        </w:rPr>
        <w:t>“FOR”</w:t>
      </w:r>
      <w:r>
        <w:rPr>
          <w:rFonts w:ascii="Arial" w:cs="Arial" w:eastAsia="Arial" w:hAnsi="Arial"/>
          <w:sz w:val="19"/>
          <w:szCs w:val="19"/>
          <w:b w:val="1"/>
          <w:bCs w:val="1"/>
          <w:color w:val="325889"/>
        </w:rPr>
        <w:t xml:space="preserve"> the election of Ms. Atkins and Messrs. Holliday and Levy.</w:t>
      </w:r>
    </w:p>
    <w:p>
      <w:pPr>
        <w:spacing w:after="0" w:line="332"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325889"/>
        </w:rPr>
        <w:t>Information Regarding the Nominees and the Continuing Directors</w:t>
      </w:r>
    </w:p>
    <w:p>
      <w:pPr>
        <w:spacing w:after="0" w:line="212" w:lineRule="exact"/>
        <w:rPr>
          <w:sz w:val="20"/>
          <w:szCs w:val="20"/>
          <w:color w:val="auto"/>
        </w:rPr>
      </w:pPr>
    </w:p>
    <w:p>
      <w:pPr>
        <w:ind w:left="5" w:right="20"/>
        <w:spacing w:after="0" w:line="253" w:lineRule="auto"/>
        <w:rPr>
          <w:sz w:val="20"/>
          <w:szCs w:val="20"/>
          <w:color w:val="auto"/>
        </w:rPr>
      </w:pPr>
      <w:r>
        <w:rPr>
          <w:rFonts w:ascii="Arial" w:cs="Arial" w:eastAsia="Arial" w:hAnsi="Arial"/>
          <w:sz w:val="15"/>
          <w:szCs w:val="15"/>
          <w:color w:val="auto"/>
        </w:rPr>
        <w:t>The following table and biographical descriptions set forth certain information with respect to the nominees for election as Class II directors at the 2017 annual meeting and the continuing Class I and Class III directors whose terms expire at the annual meetings of stockholders in 2019 and 2018, respectively, based upon information furnished by each director. We have proposed to declassify our board. Subject to stockholder approval, we will phase out board classes, and directors whose terms are expiring will be elected for one-year terms. If our proposal to declassify is approved, then our Board of Directors will be fully declassified by our 2020 annual meeting.</w:t>
      </w:r>
    </w:p>
    <w:p>
      <w:pPr>
        <w:spacing w:after="0" w:line="174" w:lineRule="exact"/>
        <w:rPr>
          <w:sz w:val="20"/>
          <w:szCs w:val="20"/>
          <w:color w:val="auto"/>
        </w:rPr>
      </w:pPr>
    </w:p>
    <w:p>
      <w:pPr>
        <w:ind w:left="165" w:hanging="165"/>
        <w:spacing w:after="0"/>
        <w:tabs>
          <w:tab w:leader="none" w:pos="165" w:val="left"/>
        </w:tabs>
        <w:numPr>
          <w:ilvl w:val="0"/>
          <w:numId w:val="8"/>
        </w:numPr>
        <w:rPr>
          <w:rFonts w:ascii="Arial" w:cs="Arial" w:eastAsia="Arial" w:hAnsi="Arial"/>
          <w:sz w:val="15"/>
          <w:szCs w:val="15"/>
          <w:color w:val="325889"/>
        </w:rPr>
      </w:pPr>
      <w:r>
        <w:rPr>
          <w:rFonts w:ascii="Arial" w:cs="Arial" w:eastAsia="Arial" w:hAnsi="Arial"/>
          <w:sz w:val="15"/>
          <w:szCs w:val="15"/>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83450"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05"/>
          </w:cols>
          <w:pgMar w:left="235" w:top="528" w:right="259" w:bottom="1440" w:gutter="0" w:footer="0" w:header="0"/>
        </w:sectPr>
      </w:pPr>
    </w:p>
    <w:bookmarkStart w:id="8" w:name="page9"/>
    <w:bookmarkEnd w:id="8"/>
    <w:p>
      <w:pPr>
        <w:ind w:left="5"/>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325889"/>
        </w:rPr>
        <w:t>OUR BOARD OF DIRECTORS AND CORPORATE GOVERNANCE</w:t>
      </w:r>
    </w:p>
    <w:p>
      <w:pPr>
        <w:spacing w:after="0" w:line="214" w:lineRule="exact"/>
        <w:rPr>
          <w:sz w:val="20"/>
          <w:szCs w:val="20"/>
          <w:color w:val="auto"/>
        </w:rPr>
      </w:pPr>
    </w:p>
    <w:tbl>
      <w:tblPr>
        <w:tblLayout w:type="fixed"/>
        <w:tblInd w:w="5" w:type="dxa"/>
        <w:tblCellMar>
          <w:top w:w="0" w:type="dxa"/>
          <w:left w:w="0" w:type="dxa"/>
          <w:bottom w:w="0" w:type="dxa"/>
          <w:right w:w="0" w:type="dxa"/>
        </w:tblCellMar>
      </w:tblPr>
      <w:tr>
        <w:trPr>
          <w:trHeight w:val="155"/>
        </w:trPr>
        <w:tc>
          <w:tcPr>
            <w:tcW w:w="1016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4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325889"/>
                <w:w w:val="96"/>
              </w:rPr>
              <w:t>Age</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325889"/>
              </w:rPr>
              <w:t>Director Since</w:t>
            </w:r>
          </w:p>
        </w:tc>
      </w:tr>
      <w:tr>
        <w:trPr>
          <w:trHeight w:val="41"/>
        </w:trPr>
        <w:tc>
          <w:tcPr>
            <w:tcW w:w="1016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09"/>
        </w:trPr>
        <w:tc>
          <w:tcPr>
            <w:tcW w:w="10000" w:type="dxa"/>
            <w:vAlign w:val="bottom"/>
            <w:tcBorders>
              <w:top w:val="single" w:sz="8" w:color="325889"/>
              <w:bottom w:val="single" w:sz="8" w:color="98A3B8"/>
            </w:tcBorders>
          </w:tcPr>
          <w:p>
            <w:pPr>
              <w:spacing w:after="0"/>
              <w:rPr>
                <w:sz w:val="20"/>
                <w:szCs w:val="20"/>
                <w:color w:val="auto"/>
              </w:rPr>
            </w:pPr>
            <w:r>
              <w:rPr>
                <w:rFonts w:ascii="Arial" w:cs="Arial" w:eastAsia="Arial" w:hAnsi="Arial"/>
                <w:sz w:val="15"/>
                <w:szCs w:val="15"/>
                <w:b w:val="1"/>
                <w:bCs w:val="1"/>
                <w:color w:val="auto"/>
              </w:rPr>
              <w:t>Class II Nominees (terms will expire in 2020)</w:t>
            </w:r>
          </w:p>
        </w:tc>
        <w:tc>
          <w:tcPr>
            <w:tcW w:w="160" w:type="dxa"/>
            <w:vAlign w:val="bottom"/>
          </w:tcPr>
          <w:p>
            <w:pPr>
              <w:spacing w:after="0"/>
              <w:rPr>
                <w:sz w:val="18"/>
                <w:szCs w:val="18"/>
                <w:color w:val="auto"/>
              </w:rPr>
            </w:pPr>
          </w:p>
        </w:tc>
        <w:tc>
          <w:tcPr>
            <w:tcW w:w="320" w:type="dxa"/>
            <w:vAlign w:val="bottom"/>
            <w:tcBorders>
              <w:top w:val="single" w:sz="8" w:color="325889"/>
              <w:bottom w:val="single" w:sz="8" w:color="98A3B8"/>
            </w:tcBorders>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Borders>
              <w:top w:val="single" w:sz="8" w:color="325889"/>
              <w:bottom w:val="single" w:sz="8" w:color="98A3B8"/>
            </w:tcBorders>
          </w:tcPr>
          <w:p>
            <w:pPr>
              <w:spacing w:after="0"/>
              <w:rPr>
                <w:sz w:val="18"/>
                <w:szCs w:val="18"/>
                <w:color w:val="auto"/>
              </w:rPr>
            </w:pPr>
          </w:p>
        </w:tc>
      </w:tr>
      <w:tr>
        <w:trPr>
          <w:trHeight w:val="204"/>
        </w:trPr>
        <w:tc>
          <w:tcPr>
            <w:tcW w:w="1000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Betsy Atkins*</w:t>
            </w:r>
          </w:p>
        </w:tc>
        <w:tc>
          <w:tcPr>
            <w:tcW w:w="160" w:type="dxa"/>
            <w:vAlign w:val="bottom"/>
          </w:tcPr>
          <w:p>
            <w:pPr>
              <w:spacing w:after="0"/>
              <w:rPr>
                <w:sz w:val="17"/>
                <w:szCs w:val="17"/>
                <w:color w:val="auto"/>
              </w:rPr>
            </w:pPr>
          </w:p>
        </w:tc>
        <w:tc>
          <w:tcPr>
            <w:tcW w:w="320" w:type="dxa"/>
            <w:vAlign w:val="bottom"/>
            <w:tcBorders>
              <w:bottom w:val="single" w:sz="8" w:color="98A3B8"/>
            </w:tcBorders>
          </w:tcPr>
          <w:p>
            <w:pPr>
              <w:jc w:val="center"/>
              <w:spacing w:after="0"/>
              <w:rPr>
                <w:sz w:val="20"/>
                <w:szCs w:val="20"/>
                <w:color w:val="auto"/>
              </w:rPr>
            </w:pPr>
            <w:r>
              <w:rPr>
                <w:rFonts w:ascii="Arial" w:cs="Arial" w:eastAsia="Arial" w:hAnsi="Arial"/>
                <w:sz w:val="15"/>
                <w:szCs w:val="15"/>
                <w:color w:val="auto"/>
                <w:w w:val="95"/>
              </w:rPr>
              <w:t>63</w:t>
            </w:r>
          </w:p>
        </w:tc>
        <w:tc>
          <w:tcPr>
            <w:tcW w:w="140" w:type="dxa"/>
            <w:vAlign w:val="bottom"/>
          </w:tcPr>
          <w:p>
            <w:pPr>
              <w:spacing w:after="0"/>
              <w:rPr>
                <w:sz w:val="17"/>
                <w:szCs w:val="17"/>
                <w:color w:val="auto"/>
              </w:rPr>
            </w:pPr>
          </w:p>
        </w:tc>
        <w:tc>
          <w:tcPr>
            <w:tcW w:w="820" w:type="dxa"/>
            <w:vAlign w:val="bottom"/>
            <w:tcBorders>
              <w:bottom w:val="single" w:sz="8" w:color="98A3B8"/>
            </w:tcBorders>
          </w:tcPr>
          <w:p>
            <w:pPr>
              <w:jc w:val="center"/>
              <w:spacing w:after="0"/>
              <w:rPr>
                <w:sz w:val="20"/>
                <w:szCs w:val="20"/>
                <w:color w:val="auto"/>
              </w:rPr>
            </w:pPr>
            <w:r>
              <w:rPr>
                <w:rFonts w:ascii="Arial" w:cs="Arial" w:eastAsia="Arial" w:hAnsi="Arial"/>
                <w:sz w:val="15"/>
                <w:szCs w:val="15"/>
                <w:color w:val="auto"/>
              </w:rPr>
              <w:t>2015</w:t>
            </w:r>
          </w:p>
        </w:tc>
      </w:tr>
      <w:tr>
        <w:trPr>
          <w:trHeight w:val="205"/>
        </w:trPr>
        <w:tc>
          <w:tcPr>
            <w:tcW w:w="1000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Marc Holliday</w:t>
            </w:r>
          </w:p>
        </w:tc>
        <w:tc>
          <w:tcPr>
            <w:tcW w:w="160" w:type="dxa"/>
            <w:vAlign w:val="bottom"/>
          </w:tcPr>
          <w:p>
            <w:pPr>
              <w:spacing w:after="0"/>
              <w:rPr>
                <w:sz w:val="17"/>
                <w:szCs w:val="17"/>
                <w:color w:val="auto"/>
              </w:rPr>
            </w:pPr>
          </w:p>
        </w:tc>
        <w:tc>
          <w:tcPr>
            <w:tcW w:w="320" w:type="dxa"/>
            <w:vAlign w:val="bottom"/>
            <w:tcBorders>
              <w:bottom w:val="single" w:sz="8" w:color="98A3B8"/>
            </w:tcBorders>
          </w:tcPr>
          <w:p>
            <w:pPr>
              <w:jc w:val="center"/>
              <w:spacing w:after="0"/>
              <w:rPr>
                <w:sz w:val="20"/>
                <w:szCs w:val="20"/>
                <w:color w:val="auto"/>
              </w:rPr>
            </w:pPr>
            <w:r>
              <w:rPr>
                <w:rFonts w:ascii="Arial" w:cs="Arial" w:eastAsia="Arial" w:hAnsi="Arial"/>
                <w:sz w:val="15"/>
                <w:szCs w:val="15"/>
                <w:color w:val="auto"/>
                <w:w w:val="95"/>
              </w:rPr>
              <w:t>50</w:t>
            </w:r>
          </w:p>
        </w:tc>
        <w:tc>
          <w:tcPr>
            <w:tcW w:w="140" w:type="dxa"/>
            <w:vAlign w:val="bottom"/>
          </w:tcPr>
          <w:p>
            <w:pPr>
              <w:spacing w:after="0"/>
              <w:rPr>
                <w:sz w:val="17"/>
                <w:szCs w:val="17"/>
                <w:color w:val="auto"/>
              </w:rPr>
            </w:pPr>
          </w:p>
        </w:tc>
        <w:tc>
          <w:tcPr>
            <w:tcW w:w="820" w:type="dxa"/>
            <w:vAlign w:val="bottom"/>
            <w:tcBorders>
              <w:bottom w:val="single" w:sz="8" w:color="98A3B8"/>
            </w:tcBorders>
          </w:tcPr>
          <w:p>
            <w:pPr>
              <w:jc w:val="center"/>
              <w:spacing w:after="0"/>
              <w:rPr>
                <w:sz w:val="20"/>
                <w:szCs w:val="20"/>
                <w:color w:val="auto"/>
              </w:rPr>
            </w:pPr>
            <w:r>
              <w:rPr>
                <w:rFonts w:ascii="Arial" w:cs="Arial" w:eastAsia="Arial" w:hAnsi="Arial"/>
                <w:sz w:val="15"/>
                <w:szCs w:val="15"/>
                <w:color w:val="auto"/>
              </w:rPr>
              <w:t>2001</w:t>
            </w:r>
          </w:p>
        </w:tc>
      </w:tr>
      <w:tr>
        <w:trPr>
          <w:trHeight w:val="205"/>
        </w:trPr>
        <w:tc>
          <w:tcPr>
            <w:tcW w:w="10160" w:type="dxa"/>
            <w:vAlign w:val="bottom"/>
            <w:gridSpan w:val="2"/>
          </w:tcPr>
          <w:p>
            <w:pPr>
              <w:spacing w:after="0"/>
              <w:rPr>
                <w:sz w:val="20"/>
                <w:szCs w:val="20"/>
                <w:color w:val="auto"/>
              </w:rPr>
            </w:pPr>
            <w:r>
              <w:rPr>
                <w:rFonts w:ascii="Arial" w:cs="Arial" w:eastAsia="Arial" w:hAnsi="Arial"/>
                <w:sz w:val="15"/>
                <w:szCs w:val="15"/>
                <w:color w:val="auto"/>
              </w:rPr>
              <w:t>John S. Levy*</w:t>
            </w:r>
          </w:p>
        </w:tc>
        <w:tc>
          <w:tcPr>
            <w:tcW w:w="320" w:type="dxa"/>
            <w:vAlign w:val="bottom"/>
          </w:tcPr>
          <w:p>
            <w:pPr>
              <w:jc w:val="center"/>
              <w:spacing w:after="0"/>
              <w:rPr>
                <w:sz w:val="20"/>
                <w:szCs w:val="20"/>
                <w:color w:val="auto"/>
              </w:rPr>
            </w:pPr>
            <w:r>
              <w:rPr>
                <w:rFonts w:ascii="Arial" w:cs="Arial" w:eastAsia="Arial" w:hAnsi="Arial"/>
                <w:sz w:val="15"/>
                <w:szCs w:val="15"/>
                <w:color w:val="auto"/>
                <w:w w:val="95"/>
              </w:rPr>
              <w:t>81</w:t>
            </w:r>
          </w:p>
        </w:tc>
        <w:tc>
          <w:tcPr>
            <w:tcW w:w="14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5"/>
                <w:szCs w:val="15"/>
                <w:color w:val="auto"/>
              </w:rPr>
              <w:t>1997</w:t>
            </w:r>
          </w:p>
        </w:tc>
      </w:tr>
      <w:tr>
        <w:trPr>
          <w:trHeight w:val="207"/>
        </w:trPr>
        <w:tc>
          <w:tcPr>
            <w:tcW w:w="10000" w:type="dxa"/>
            <w:vAlign w:val="bottom"/>
            <w:tcBorders>
              <w:top w:val="single" w:sz="8" w:color="98A3B8"/>
              <w:bottom w:val="single" w:sz="8" w:color="98A3B8"/>
            </w:tcBorders>
          </w:tcPr>
          <w:p>
            <w:pPr>
              <w:spacing w:after="0"/>
              <w:rPr>
                <w:sz w:val="20"/>
                <w:szCs w:val="20"/>
                <w:color w:val="auto"/>
              </w:rPr>
            </w:pPr>
            <w:r>
              <w:rPr>
                <w:rFonts w:ascii="Arial" w:cs="Arial" w:eastAsia="Arial" w:hAnsi="Arial"/>
                <w:sz w:val="15"/>
                <w:szCs w:val="15"/>
                <w:b w:val="1"/>
                <w:bCs w:val="1"/>
                <w:color w:val="auto"/>
              </w:rPr>
              <w:t>Class I Continuing Directors (terms will expire in 2019)</w:t>
            </w:r>
          </w:p>
        </w:tc>
        <w:tc>
          <w:tcPr>
            <w:tcW w:w="160" w:type="dxa"/>
            <w:vAlign w:val="bottom"/>
          </w:tcPr>
          <w:p>
            <w:pPr>
              <w:spacing w:after="0"/>
              <w:rPr>
                <w:sz w:val="18"/>
                <w:szCs w:val="18"/>
                <w:color w:val="auto"/>
              </w:rPr>
            </w:pPr>
          </w:p>
        </w:tc>
        <w:tc>
          <w:tcPr>
            <w:tcW w:w="320" w:type="dxa"/>
            <w:vAlign w:val="bottom"/>
            <w:tcBorders>
              <w:top w:val="single" w:sz="8" w:color="98A3B8"/>
              <w:bottom w:val="single" w:sz="8" w:color="98A3B8"/>
            </w:tcBorders>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Borders>
              <w:top w:val="single" w:sz="8" w:color="98A3B8"/>
              <w:bottom w:val="single" w:sz="8" w:color="98A3B8"/>
            </w:tcBorders>
          </w:tcPr>
          <w:p>
            <w:pPr>
              <w:spacing w:after="0"/>
              <w:rPr>
                <w:sz w:val="18"/>
                <w:szCs w:val="18"/>
                <w:color w:val="auto"/>
              </w:rPr>
            </w:pPr>
          </w:p>
        </w:tc>
      </w:tr>
      <w:tr>
        <w:trPr>
          <w:trHeight w:val="204"/>
        </w:trPr>
        <w:tc>
          <w:tcPr>
            <w:tcW w:w="1000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Edwin Thomas Burton, III*</w:t>
            </w:r>
          </w:p>
        </w:tc>
        <w:tc>
          <w:tcPr>
            <w:tcW w:w="160" w:type="dxa"/>
            <w:vAlign w:val="bottom"/>
          </w:tcPr>
          <w:p>
            <w:pPr>
              <w:spacing w:after="0"/>
              <w:rPr>
                <w:sz w:val="17"/>
                <w:szCs w:val="17"/>
                <w:color w:val="auto"/>
              </w:rPr>
            </w:pPr>
          </w:p>
        </w:tc>
        <w:tc>
          <w:tcPr>
            <w:tcW w:w="320" w:type="dxa"/>
            <w:vAlign w:val="bottom"/>
            <w:tcBorders>
              <w:bottom w:val="single" w:sz="8" w:color="98A3B8"/>
            </w:tcBorders>
          </w:tcPr>
          <w:p>
            <w:pPr>
              <w:jc w:val="center"/>
              <w:spacing w:after="0"/>
              <w:rPr>
                <w:sz w:val="20"/>
                <w:szCs w:val="20"/>
                <w:color w:val="auto"/>
              </w:rPr>
            </w:pPr>
            <w:r>
              <w:rPr>
                <w:rFonts w:ascii="Arial" w:cs="Arial" w:eastAsia="Arial" w:hAnsi="Arial"/>
                <w:sz w:val="15"/>
                <w:szCs w:val="15"/>
                <w:color w:val="auto"/>
                <w:w w:val="95"/>
              </w:rPr>
              <w:t>74</w:t>
            </w:r>
          </w:p>
        </w:tc>
        <w:tc>
          <w:tcPr>
            <w:tcW w:w="140" w:type="dxa"/>
            <w:vAlign w:val="bottom"/>
          </w:tcPr>
          <w:p>
            <w:pPr>
              <w:spacing w:after="0"/>
              <w:rPr>
                <w:sz w:val="17"/>
                <w:szCs w:val="17"/>
                <w:color w:val="auto"/>
              </w:rPr>
            </w:pPr>
          </w:p>
        </w:tc>
        <w:tc>
          <w:tcPr>
            <w:tcW w:w="820" w:type="dxa"/>
            <w:vAlign w:val="bottom"/>
            <w:tcBorders>
              <w:bottom w:val="single" w:sz="8" w:color="98A3B8"/>
            </w:tcBorders>
          </w:tcPr>
          <w:p>
            <w:pPr>
              <w:jc w:val="center"/>
              <w:spacing w:after="0"/>
              <w:rPr>
                <w:sz w:val="20"/>
                <w:szCs w:val="20"/>
                <w:color w:val="auto"/>
              </w:rPr>
            </w:pPr>
            <w:r>
              <w:rPr>
                <w:rFonts w:ascii="Arial" w:cs="Arial" w:eastAsia="Arial" w:hAnsi="Arial"/>
                <w:sz w:val="15"/>
                <w:szCs w:val="15"/>
                <w:color w:val="auto"/>
              </w:rPr>
              <w:t>1997</w:t>
            </w:r>
          </w:p>
        </w:tc>
      </w:tr>
      <w:tr>
        <w:trPr>
          <w:trHeight w:val="205"/>
        </w:trPr>
        <w:tc>
          <w:tcPr>
            <w:tcW w:w="1000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Craig M. Hatkoff*</w:t>
            </w:r>
          </w:p>
        </w:tc>
        <w:tc>
          <w:tcPr>
            <w:tcW w:w="160" w:type="dxa"/>
            <w:vAlign w:val="bottom"/>
          </w:tcPr>
          <w:p>
            <w:pPr>
              <w:spacing w:after="0"/>
              <w:rPr>
                <w:sz w:val="17"/>
                <w:szCs w:val="17"/>
                <w:color w:val="auto"/>
              </w:rPr>
            </w:pPr>
          </w:p>
        </w:tc>
        <w:tc>
          <w:tcPr>
            <w:tcW w:w="320" w:type="dxa"/>
            <w:vAlign w:val="bottom"/>
            <w:tcBorders>
              <w:bottom w:val="single" w:sz="8" w:color="98A3B8"/>
            </w:tcBorders>
          </w:tcPr>
          <w:p>
            <w:pPr>
              <w:jc w:val="center"/>
              <w:spacing w:after="0"/>
              <w:rPr>
                <w:sz w:val="20"/>
                <w:szCs w:val="20"/>
                <w:color w:val="auto"/>
              </w:rPr>
            </w:pPr>
            <w:r>
              <w:rPr>
                <w:rFonts w:ascii="Arial" w:cs="Arial" w:eastAsia="Arial" w:hAnsi="Arial"/>
                <w:sz w:val="15"/>
                <w:szCs w:val="15"/>
                <w:color w:val="auto"/>
                <w:w w:val="95"/>
              </w:rPr>
              <w:t>63</w:t>
            </w:r>
          </w:p>
        </w:tc>
        <w:tc>
          <w:tcPr>
            <w:tcW w:w="140" w:type="dxa"/>
            <w:vAlign w:val="bottom"/>
          </w:tcPr>
          <w:p>
            <w:pPr>
              <w:spacing w:after="0"/>
              <w:rPr>
                <w:sz w:val="17"/>
                <w:szCs w:val="17"/>
                <w:color w:val="auto"/>
              </w:rPr>
            </w:pPr>
          </w:p>
        </w:tc>
        <w:tc>
          <w:tcPr>
            <w:tcW w:w="820" w:type="dxa"/>
            <w:vAlign w:val="bottom"/>
            <w:tcBorders>
              <w:bottom w:val="single" w:sz="8" w:color="98A3B8"/>
            </w:tcBorders>
          </w:tcPr>
          <w:p>
            <w:pPr>
              <w:jc w:val="center"/>
              <w:spacing w:after="0"/>
              <w:rPr>
                <w:sz w:val="20"/>
                <w:szCs w:val="20"/>
                <w:color w:val="auto"/>
              </w:rPr>
            </w:pPr>
            <w:r>
              <w:rPr>
                <w:rFonts w:ascii="Arial" w:cs="Arial" w:eastAsia="Arial" w:hAnsi="Arial"/>
                <w:sz w:val="15"/>
                <w:szCs w:val="15"/>
                <w:color w:val="auto"/>
              </w:rPr>
              <w:t>2011</w:t>
            </w:r>
          </w:p>
        </w:tc>
      </w:tr>
      <w:tr>
        <w:trPr>
          <w:trHeight w:val="205"/>
        </w:trPr>
        <w:tc>
          <w:tcPr>
            <w:tcW w:w="10160" w:type="dxa"/>
            <w:vAlign w:val="bottom"/>
            <w:gridSpan w:val="2"/>
          </w:tcPr>
          <w:p>
            <w:pPr>
              <w:spacing w:after="0"/>
              <w:rPr>
                <w:sz w:val="20"/>
                <w:szCs w:val="20"/>
                <w:color w:val="auto"/>
              </w:rPr>
            </w:pPr>
            <w:r>
              <w:rPr>
                <w:rFonts w:ascii="Arial" w:cs="Arial" w:eastAsia="Arial" w:hAnsi="Arial"/>
                <w:sz w:val="15"/>
                <w:szCs w:val="15"/>
                <w:color w:val="auto"/>
              </w:rPr>
              <w:t>Andrew W. Mathias</w:t>
            </w:r>
          </w:p>
        </w:tc>
        <w:tc>
          <w:tcPr>
            <w:tcW w:w="320" w:type="dxa"/>
            <w:vAlign w:val="bottom"/>
          </w:tcPr>
          <w:p>
            <w:pPr>
              <w:jc w:val="center"/>
              <w:spacing w:after="0"/>
              <w:rPr>
                <w:sz w:val="20"/>
                <w:szCs w:val="20"/>
                <w:color w:val="auto"/>
              </w:rPr>
            </w:pPr>
            <w:r>
              <w:rPr>
                <w:rFonts w:ascii="Arial" w:cs="Arial" w:eastAsia="Arial" w:hAnsi="Arial"/>
                <w:sz w:val="15"/>
                <w:szCs w:val="15"/>
                <w:color w:val="auto"/>
                <w:w w:val="95"/>
              </w:rPr>
              <w:t>43</w:t>
            </w:r>
          </w:p>
        </w:tc>
        <w:tc>
          <w:tcPr>
            <w:tcW w:w="14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5"/>
                <w:szCs w:val="15"/>
                <w:color w:val="auto"/>
              </w:rPr>
              <w:t>2014</w:t>
            </w:r>
          </w:p>
        </w:tc>
      </w:tr>
      <w:tr>
        <w:trPr>
          <w:trHeight w:val="207"/>
        </w:trPr>
        <w:tc>
          <w:tcPr>
            <w:tcW w:w="10000" w:type="dxa"/>
            <w:vAlign w:val="bottom"/>
            <w:tcBorders>
              <w:top w:val="single" w:sz="8" w:color="98A3B8"/>
              <w:bottom w:val="single" w:sz="8" w:color="98A3B8"/>
            </w:tcBorders>
          </w:tcPr>
          <w:p>
            <w:pPr>
              <w:spacing w:after="0"/>
              <w:rPr>
                <w:sz w:val="20"/>
                <w:szCs w:val="20"/>
                <w:color w:val="auto"/>
              </w:rPr>
            </w:pPr>
            <w:r>
              <w:rPr>
                <w:rFonts w:ascii="Arial" w:cs="Arial" w:eastAsia="Arial" w:hAnsi="Arial"/>
                <w:sz w:val="15"/>
                <w:szCs w:val="15"/>
                <w:b w:val="1"/>
                <w:bCs w:val="1"/>
                <w:color w:val="auto"/>
              </w:rPr>
              <w:t>Class III Continuing Directors (terms will expire in 2018)</w:t>
            </w:r>
          </w:p>
        </w:tc>
        <w:tc>
          <w:tcPr>
            <w:tcW w:w="160" w:type="dxa"/>
            <w:vAlign w:val="bottom"/>
          </w:tcPr>
          <w:p>
            <w:pPr>
              <w:spacing w:after="0"/>
              <w:rPr>
                <w:sz w:val="18"/>
                <w:szCs w:val="18"/>
                <w:color w:val="auto"/>
              </w:rPr>
            </w:pPr>
          </w:p>
        </w:tc>
        <w:tc>
          <w:tcPr>
            <w:tcW w:w="320" w:type="dxa"/>
            <w:vAlign w:val="bottom"/>
            <w:tcBorders>
              <w:top w:val="single" w:sz="8" w:color="98A3B8"/>
              <w:bottom w:val="single" w:sz="8" w:color="98A3B8"/>
            </w:tcBorders>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Borders>
              <w:top w:val="single" w:sz="8" w:color="98A3B8"/>
              <w:bottom w:val="single" w:sz="8" w:color="98A3B8"/>
            </w:tcBorders>
          </w:tcPr>
          <w:p>
            <w:pPr>
              <w:spacing w:after="0"/>
              <w:rPr>
                <w:sz w:val="18"/>
                <w:szCs w:val="18"/>
                <w:color w:val="auto"/>
              </w:rPr>
            </w:pPr>
          </w:p>
        </w:tc>
      </w:tr>
      <w:tr>
        <w:trPr>
          <w:trHeight w:val="204"/>
        </w:trPr>
        <w:tc>
          <w:tcPr>
            <w:tcW w:w="1000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John H. Alschuler*</w:t>
            </w:r>
          </w:p>
        </w:tc>
        <w:tc>
          <w:tcPr>
            <w:tcW w:w="160" w:type="dxa"/>
            <w:vAlign w:val="bottom"/>
          </w:tcPr>
          <w:p>
            <w:pPr>
              <w:spacing w:after="0"/>
              <w:rPr>
                <w:sz w:val="17"/>
                <w:szCs w:val="17"/>
                <w:color w:val="auto"/>
              </w:rPr>
            </w:pPr>
          </w:p>
        </w:tc>
        <w:tc>
          <w:tcPr>
            <w:tcW w:w="320" w:type="dxa"/>
            <w:vAlign w:val="bottom"/>
            <w:tcBorders>
              <w:bottom w:val="single" w:sz="8" w:color="98A3B8"/>
            </w:tcBorders>
          </w:tcPr>
          <w:p>
            <w:pPr>
              <w:jc w:val="center"/>
              <w:spacing w:after="0"/>
              <w:rPr>
                <w:sz w:val="20"/>
                <w:szCs w:val="20"/>
                <w:color w:val="auto"/>
              </w:rPr>
            </w:pPr>
            <w:r>
              <w:rPr>
                <w:rFonts w:ascii="Arial" w:cs="Arial" w:eastAsia="Arial" w:hAnsi="Arial"/>
                <w:sz w:val="15"/>
                <w:szCs w:val="15"/>
                <w:color w:val="auto"/>
                <w:w w:val="95"/>
              </w:rPr>
              <w:t>69</w:t>
            </w:r>
          </w:p>
        </w:tc>
        <w:tc>
          <w:tcPr>
            <w:tcW w:w="140" w:type="dxa"/>
            <w:vAlign w:val="bottom"/>
          </w:tcPr>
          <w:p>
            <w:pPr>
              <w:spacing w:after="0"/>
              <w:rPr>
                <w:sz w:val="17"/>
                <w:szCs w:val="17"/>
                <w:color w:val="auto"/>
              </w:rPr>
            </w:pPr>
          </w:p>
        </w:tc>
        <w:tc>
          <w:tcPr>
            <w:tcW w:w="820" w:type="dxa"/>
            <w:vAlign w:val="bottom"/>
            <w:tcBorders>
              <w:bottom w:val="single" w:sz="8" w:color="98A3B8"/>
            </w:tcBorders>
          </w:tcPr>
          <w:p>
            <w:pPr>
              <w:jc w:val="center"/>
              <w:spacing w:after="0"/>
              <w:rPr>
                <w:sz w:val="20"/>
                <w:szCs w:val="20"/>
                <w:color w:val="auto"/>
              </w:rPr>
            </w:pPr>
            <w:r>
              <w:rPr>
                <w:rFonts w:ascii="Arial" w:cs="Arial" w:eastAsia="Arial" w:hAnsi="Arial"/>
                <w:sz w:val="15"/>
                <w:szCs w:val="15"/>
                <w:color w:val="auto"/>
              </w:rPr>
              <w:t>1997</w:t>
            </w:r>
          </w:p>
        </w:tc>
      </w:tr>
      <w:tr>
        <w:trPr>
          <w:trHeight w:val="205"/>
        </w:trPr>
        <w:tc>
          <w:tcPr>
            <w:tcW w:w="1000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Lauren B. Dillard*</w:t>
            </w:r>
          </w:p>
        </w:tc>
        <w:tc>
          <w:tcPr>
            <w:tcW w:w="160" w:type="dxa"/>
            <w:vAlign w:val="bottom"/>
          </w:tcPr>
          <w:p>
            <w:pPr>
              <w:spacing w:after="0"/>
              <w:rPr>
                <w:sz w:val="17"/>
                <w:szCs w:val="17"/>
                <w:color w:val="auto"/>
              </w:rPr>
            </w:pPr>
          </w:p>
        </w:tc>
        <w:tc>
          <w:tcPr>
            <w:tcW w:w="320" w:type="dxa"/>
            <w:vAlign w:val="bottom"/>
            <w:tcBorders>
              <w:bottom w:val="single" w:sz="8" w:color="98A3B8"/>
            </w:tcBorders>
          </w:tcPr>
          <w:p>
            <w:pPr>
              <w:jc w:val="center"/>
              <w:spacing w:after="0"/>
              <w:rPr>
                <w:sz w:val="20"/>
                <w:szCs w:val="20"/>
                <w:color w:val="auto"/>
              </w:rPr>
            </w:pPr>
            <w:r>
              <w:rPr>
                <w:rFonts w:ascii="Arial" w:cs="Arial" w:eastAsia="Arial" w:hAnsi="Arial"/>
                <w:sz w:val="15"/>
                <w:szCs w:val="15"/>
                <w:color w:val="auto"/>
                <w:w w:val="95"/>
              </w:rPr>
              <w:t>41</w:t>
            </w:r>
          </w:p>
        </w:tc>
        <w:tc>
          <w:tcPr>
            <w:tcW w:w="140" w:type="dxa"/>
            <w:vAlign w:val="bottom"/>
          </w:tcPr>
          <w:p>
            <w:pPr>
              <w:spacing w:after="0"/>
              <w:rPr>
                <w:sz w:val="17"/>
                <w:szCs w:val="17"/>
                <w:color w:val="auto"/>
              </w:rPr>
            </w:pPr>
          </w:p>
        </w:tc>
        <w:tc>
          <w:tcPr>
            <w:tcW w:w="820" w:type="dxa"/>
            <w:vAlign w:val="bottom"/>
            <w:tcBorders>
              <w:bottom w:val="single" w:sz="8" w:color="98A3B8"/>
            </w:tcBorders>
          </w:tcPr>
          <w:p>
            <w:pPr>
              <w:jc w:val="center"/>
              <w:spacing w:after="0"/>
              <w:rPr>
                <w:sz w:val="20"/>
                <w:szCs w:val="20"/>
                <w:color w:val="auto"/>
              </w:rPr>
            </w:pPr>
            <w:r>
              <w:rPr>
                <w:rFonts w:ascii="Arial" w:cs="Arial" w:eastAsia="Arial" w:hAnsi="Arial"/>
                <w:sz w:val="15"/>
                <w:szCs w:val="15"/>
                <w:color w:val="auto"/>
              </w:rPr>
              <w:t>2016</w:t>
            </w:r>
          </w:p>
        </w:tc>
      </w:tr>
      <w:tr>
        <w:trPr>
          <w:trHeight w:val="199"/>
        </w:trPr>
        <w:tc>
          <w:tcPr>
            <w:tcW w:w="10160" w:type="dxa"/>
            <w:vAlign w:val="bottom"/>
            <w:gridSpan w:val="2"/>
          </w:tcPr>
          <w:p>
            <w:pPr>
              <w:spacing w:after="0"/>
              <w:rPr>
                <w:sz w:val="20"/>
                <w:szCs w:val="20"/>
                <w:color w:val="auto"/>
              </w:rPr>
            </w:pPr>
            <w:r>
              <w:rPr>
                <w:rFonts w:ascii="Arial" w:cs="Arial" w:eastAsia="Arial" w:hAnsi="Arial"/>
                <w:sz w:val="15"/>
                <w:szCs w:val="15"/>
                <w:color w:val="auto"/>
              </w:rPr>
              <w:t>Stephen L. Green</w:t>
            </w:r>
          </w:p>
        </w:tc>
        <w:tc>
          <w:tcPr>
            <w:tcW w:w="320" w:type="dxa"/>
            <w:vAlign w:val="bottom"/>
          </w:tcPr>
          <w:p>
            <w:pPr>
              <w:jc w:val="center"/>
              <w:spacing w:after="0"/>
              <w:rPr>
                <w:sz w:val="20"/>
                <w:szCs w:val="20"/>
                <w:color w:val="auto"/>
              </w:rPr>
            </w:pPr>
            <w:r>
              <w:rPr>
                <w:rFonts w:ascii="Arial" w:cs="Arial" w:eastAsia="Arial" w:hAnsi="Arial"/>
                <w:sz w:val="15"/>
                <w:szCs w:val="15"/>
                <w:color w:val="auto"/>
                <w:w w:val="95"/>
              </w:rPr>
              <w:t>79</w:t>
            </w:r>
          </w:p>
        </w:tc>
        <w:tc>
          <w:tcPr>
            <w:tcW w:w="14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5"/>
                <w:szCs w:val="15"/>
                <w:color w:val="auto"/>
              </w:rPr>
              <w:t>1997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63130"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3130" cy="15240"/>
                    </a:xfrm>
                    <a:prstGeom prst="rect">
                      <a:avLst/>
                    </a:prstGeom>
                    <a:noFill/>
                  </pic:spPr>
                </pic:pic>
              </a:graphicData>
            </a:graphic>
          </wp:anchor>
        </w:drawing>
      </w:r>
    </w:p>
    <w:p>
      <w:pPr>
        <w:spacing w:after="0" w:line="16" w:lineRule="exact"/>
        <w:rPr>
          <w:sz w:val="20"/>
          <w:szCs w:val="20"/>
          <w:color w:val="auto"/>
        </w:rPr>
      </w:pPr>
    </w:p>
    <w:p>
      <w:pPr>
        <w:ind w:left="205" w:hanging="205"/>
        <w:spacing w:after="0"/>
        <w:tabs>
          <w:tab w:leader="none" w:pos="205" w:val="left"/>
        </w:tabs>
        <w:numPr>
          <w:ilvl w:val="0"/>
          <w:numId w:val="9"/>
        </w:numPr>
        <w:rPr>
          <w:rFonts w:ascii="Arial" w:cs="Arial" w:eastAsia="Arial" w:hAnsi="Arial"/>
          <w:sz w:val="12"/>
          <w:szCs w:val="12"/>
          <w:color w:val="auto"/>
        </w:rPr>
      </w:pPr>
      <w:r>
        <w:rPr>
          <w:rFonts w:ascii="Arial" w:cs="Arial" w:eastAsia="Arial" w:hAnsi="Arial"/>
          <w:sz w:val="12"/>
          <w:szCs w:val="12"/>
          <w:color w:val="auto"/>
        </w:rPr>
        <w:t>Independent Director</w:t>
      </w:r>
    </w:p>
    <w:p>
      <w:pPr>
        <w:spacing w:after="0" w:line="158"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325889"/>
        </w:rPr>
        <w:t>Class II Nominees—Terms Will Expire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63130" cy="2260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3130" cy="226060"/>
                    </a:xfrm>
                    <a:prstGeom prst="rect">
                      <a:avLst/>
                    </a:prstGeom>
                    <a:noFill/>
                  </pic:spPr>
                </pic:pic>
              </a:graphicData>
            </a:graphic>
          </wp:anchor>
        </w:drawing>
      </w:r>
    </w:p>
    <w:p>
      <w:pPr>
        <w:spacing w:after="0" w:line="243"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325889"/>
        </w:rPr>
        <w:t xml:space="preserve">Betsy Atkins  </w:t>
      </w:r>
      <w:r>
        <w:rPr>
          <w:rFonts w:ascii="Arial" w:cs="Arial" w:eastAsia="Arial" w:hAnsi="Arial"/>
          <w:sz w:val="15"/>
          <w:szCs w:val="15"/>
          <w:color w:val="000000"/>
        </w:rPr>
        <w:t>Director Since:</w:t>
      </w:r>
      <w:r>
        <w:rPr>
          <w:rFonts w:ascii="Arial" w:cs="Arial" w:eastAsia="Arial" w:hAnsi="Arial"/>
          <w:sz w:val="19"/>
          <w:szCs w:val="19"/>
          <w:b w:val="1"/>
          <w:bCs w:val="1"/>
          <w:color w:val="325889"/>
        </w:rPr>
        <w:t xml:space="preserve"> </w:t>
      </w:r>
      <w:r>
        <w:rPr>
          <w:rFonts w:ascii="Arial" w:cs="Arial" w:eastAsia="Arial" w:hAnsi="Arial"/>
          <w:sz w:val="15"/>
          <w:szCs w:val="15"/>
          <w:b w:val="1"/>
          <w:bCs w:val="1"/>
          <w:color w:val="000000"/>
        </w:rPr>
        <w:t>April 2015</w:t>
      </w:r>
      <w:r>
        <w:rPr>
          <w:rFonts w:ascii="Arial" w:cs="Arial" w:eastAsia="Arial" w:hAnsi="Arial"/>
          <w:sz w:val="19"/>
          <w:szCs w:val="19"/>
          <w:b w:val="1"/>
          <w:bCs w:val="1"/>
          <w:color w:val="325889"/>
        </w:rPr>
        <w:t xml:space="preserve"> </w:t>
      </w:r>
      <w:r>
        <w:rPr>
          <w:rFonts w:ascii="Arial" w:cs="Arial" w:eastAsia="Arial" w:hAnsi="Arial"/>
          <w:sz w:val="15"/>
          <w:szCs w:val="15"/>
          <w:color w:val="000000"/>
        </w:rPr>
        <w:t>Age:</w:t>
      </w:r>
      <w:r>
        <w:rPr>
          <w:rFonts w:ascii="Arial" w:cs="Arial" w:eastAsia="Arial" w:hAnsi="Arial"/>
          <w:sz w:val="19"/>
          <w:szCs w:val="19"/>
          <w:b w:val="1"/>
          <w:bCs w:val="1"/>
          <w:color w:val="325889"/>
        </w:rPr>
        <w:t xml:space="preserve"> </w:t>
      </w:r>
      <w:r>
        <w:rPr>
          <w:rFonts w:ascii="Arial" w:cs="Arial" w:eastAsia="Arial" w:hAnsi="Arial"/>
          <w:sz w:val="15"/>
          <w:szCs w:val="15"/>
          <w:b w:val="1"/>
          <w:bCs w:val="1"/>
          <w:color w:val="000000"/>
        </w:rPr>
        <w:t>63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30885" cy="9569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0885" cy="956945"/>
                    </a:xfrm>
                    <a:prstGeom prst="rect">
                      <a:avLst/>
                    </a:prstGeom>
                    <a:noFill/>
                  </pic:spPr>
                </pic:pic>
              </a:graphicData>
            </a:graphic>
          </wp:anchor>
        </w:drawing>
      </w:r>
    </w:p>
    <w:p>
      <w:pPr>
        <w:spacing w:after="0" w:line="126" w:lineRule="exact"/>
        <w:rPr>
          <w:sz w:val="20"/>
          <w:szCs w:val="20"/>
          <w:color w:val="auto"/>
        </w:rPr>
      </w:pPr>
    </w:p>
    <w:p>
      <w:pPr>
        <w:ind w:left="1245" w:right="40"/>
        <w:spacing w:after="0" w:line="248" w:lineRule="auto"/>
        <w:rPr>
          <w:sz w:val="20"/>
          <w:szCs w:val="20"/>
          <w:color w:val="auto"/>
        </w:rPr>
      </w:pPr>
      <w:r>
        <w:rPr>
          <w:rFonts w:ascii="Arial" w:cs="Arial" w:eastAsia="Arial" w:hAnsi="Arial"/>
          <w:sz w:val="15"/>
          <w:szCs w:val="15"/>
          <w:color w:val="auto"/>
        </w:rPr>
        <w:t>Ms. Atkins has served as the Chief Executive Officer of Baja Corp, an independent venture capital firm focused on technology, renewable energy and life sciences industries, since 1994. Ms. Atkins served as Chief Executive Officer and Chairman of the Board of Directors of Clear Standards, Inc., a provider of enterprise carbon management and sustainability solutions, from February 2009 until August 2009 when Clear Standards was acquired by SAP AG, a business software company. Previously, Ms. Atkins served as Chairman and Chief Executive Officer of NCI, Inc., a functional food/nutraceutical company, from 1991 through 1993. Ms. Atkins was a co-founder of Ascend Communications, Inc. in 1989 and a member of its Board of Directors, and served as its Executive Vice President of sales, marketing, professional services and international operations prior to its acquisition by Lucent Technologies. Ms. Atkins served on the boards of directors of Polycom, Inc. from 1999 to 2016, SunPower Corporation from October 2005 to August 2012 and Chico’s FAS, Inc. from January 2004 to July 2013, Ciber, Inc. from July 2014 to October 2014, Darden Restaurants, Inc. from October 2014 to September 2015, and has served on the boards of directors of Schneider Electric, SA since April 2011, HD Supply, Inc. since September 2013, Cognizant Technology Solutions Corporation since April 2017, as well as the boards of a number of private companies. Ms. Atkins is also an advisor to SAP, was formerly an advisor to British Telecom and was a presidential-appointee to the Pension Benefit Guaranty Corporation advisory committee. Ms. Atkins holds a B.A. from the University of Massachusetts. Ms. Atkins has deep expertise in many areas, including executive leadership and operational experience in various technology, durable goods, energy efficiency infrastructure and retail industries, as well as significant public board experience, which gives her broad experience and thought leadership in corporate governance matters generally, including executive compensation and evolving best practices in sustainability and enterprise risk management.</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2017 Proxy Statement </w:t>
      </w:r>
      <w:r>
        <w:rPr>
          <w:rFonts w:ascii="Arial" w:cs="Arial" w:eastAsia="Arial" w:hAnsi="Arial"/>
          <w:sz w:val="15"/>
          <w:szCs w:val="15"/>
          <w:color w:val="325889"/>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83450"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5"/>
          </w:cols>
          <w:pgMar w:left="235" w:top="528" w:right="219" w:bottom="1440" w:gutter="0" w:footer="0" w:header="0"/>
        </w:sectPr>
      </w:pPr>
    </w:p>
    <w:bookmarkStart w:id="9" w:name="page10"/>
    <w:bookmarkEnd w:id="9"/>
    <w:p>
      <w:pPr>
        <w:ind w:left="5"/>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ind w:left="5"/>
        <w:spacing w:after="0"/>
        <w:rPr>
          <w:sz w:val="20"/>
          <w:szCs w:val="20"/>
          <w:color w:val="auto"/>
        </w:rPr>
      </w:pPr>
      <w:r>
        <w:rPr>
          <w:rFonts w:ascii="Arial" w:cs="Arial" w:eastAsia="Arial" w:hAnsi="Arial"/>
          <w:sz w:val="15"/>
          <w:szCs w:val="15"/>
          <w:u w:val="single" w:color="auto"/>
          <w:color w:val="325889"/>
        </w:rPr>
        <w:t>OUR 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7263130" cy="2260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3130" cy="226060"/>
                    </a:xfrm>
                    <a:prstGeom prst="rect">
                      <a:avLst/>
                    </a:prstGeom>
                    <a:noFill/>
                  </pic:spPr>
                </pic:pic>
              </a:graphicData>
            </a:graphic>
          </wp:anchor>
        </w:drawing>
      </w:r>
    </w:p>
    <w:p>
      <w:pPr>
        <w:spacing w:after="0" w:line="226" w:lineRule="exact"/>
        <w:rPr>
          <w:sz w:val="20"/>
          <w:szCs w:val="20"/>
          <w:color w:val="auto"/>
        </w:rPr>
      </w:pPr>
    </w:p>
    <w:p>
      <w:pPr>
        <w:ind w:left="5"/>
        <w:spacing w:after="0"/>
        <w:tabs>
          <w:tab w:leader="none" w:pos="1385" w:val="left"/>
        </w:tabs>
        <w:rPr>
          <w:sz w:val="20"/>
          <w:szCs w:val="20"/>
          <w:color w:val="auto"/>
        </w:rPr>
      </w:pPr>
      <w:r>
        <w:rPr>
          <w:rFonts w:ascii="Arial" w:cs="Arial" w:eastAsia="Arial" w:hAnsi="Arial"/>
          <w:sz w:val="19"/>
          <w:szCs w:val="19"/>
          <w:b w:val="1"/>
          <w:bCs w:val="1"/>
          <w:color w:val="325889"/>
        </w:rPr>
        <w:t>Marc Holliday</w:t>
      </w:r>
      <w:r>
        <w:rPr>
          <w:sz w:val="20"/>
          <w:szCs w:val="20"/>
          <w:color w:val="auto"/>
        </w:rPr>
        <w:tab/>
      </w:r>
      <w:r>
        <w:rPr>
          <w:rFonts w:ascii="Arial" w:cs="Arial" w:eastAsia="Arial" w:hAnsi="Arial"/>
          <w:sz w:val="15"/>
          <w:szCs w:val="15"/>
          <w:b w:val="1"/>
          <w:bCs w:val="1"/>
          <w:color w:val="auto"/>
        </w:rPr>
        <w:t xml:space="preserve">Chief Executive Officer </w:t>
      </w:r>
      <w:r>
        <w:rPr>
          <w:rFonts w:ascii="Arial" w:cs="Arial" w:eastAsia="Arial" w:hAnsi="Arial"/>
          <w:sz w:val="15"/>
          <w:szCs w:val="15"/>
          <w:color w:val="auto"/>
        </w:rPr>
        <w:t>Since</w:t>
      </w:r>
      <w:r>
        <w:rPr>
          <w:rFonts w:ascii="Arial" w:cs="Arial" w:eastAsia="Arial" w:hAnsi="Arial"/>
          <w:sz w:val="15"/>
          <w:szCs w:val="15"/>
          <w:b w:val="1"/>
          <w:bCs w:val="1"/>
          <w:color w:val="auto"/>
        </w:rPr>
        <w:t xml:space="preserve"> January 2004 </w:t>
      </w:r>
      <w:r>
        <w:rPr>
          <w:rFonts w:ascii="Arial" w:cs="Arial" w:eastAsia="Arial" w:hAnsi="Arial"/>
          <w:sz w:val="15"/>
          <w:szCs w:val="15"/>
          <w:color w:val="auto"/>
        </w:rPr>
        <w:t>Director Since:</w:t>
      </w:r>
      <w:r>
        <w:rPr>
          <w:rFonts w:ascii="Arial" w:cs="Arial" w:eastAsia="Arial" w:hAnsi="Arial"/>
          <w:sz w:val="15"/>
          <w:szCs w:val="15"/>
          <w:b w:val="1"/>
          <w:bCs w:val="1"/>
          <w:color w:val="auto"/>
        </w:rPr>
        <w:t xml:space="preserve"> December 2001 </w:t>
      </w:r>
      <w:r>
        <w:rPr>
          <w:rFonts w:ascii="Arial" w:cs="Arial" w:eastAsia="Arial" w:hAnsi="Arial"/>
          <w:sz w:val="15"/>
          <w:szCs w:val="15"/>
          <w:color w:val="auto"/>
        </w:rPr>
        <w:t>Age</w:t>
      </w:r>
      <w:r>
        <w:rPr>
          <w:rFonts w:ascii="Arial" w:cs="Arial" w:eastAsia="Arial" w:hAnsi="Arial"/>
          <w:sz w:val="15"/>
          <w:szCs w:val="15"/>
          <w:b w:val="1"/>
          <w:bCs w:val="1"/>
          <w:color w:val="auto"/>
        </w:rPr>
        <w:t>: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91210" cy="10172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91210" cy="1017270"/>
                    </a:xfrm>
                    <a:prstGeom prst="rect">
                      <a:avLst/>
                    </a:prstGeom>
                    <a:noFill/>
                  </pic:spPr>
                </pic:pic>
              </a:graphicData>
            </a:graphic>
          </wp:anchor>
        </w:drawing>
      </w:r>
    </w:p>
    <w:p>
      <w:pPr>
        <w:spacing w:after="0" w:line="126" w:lineRule="exact"/>
        <w:rPr>
          <w:sz w:val="20"/>
          <w:szCs w:val="20"/>
          <w:color w:val="auto"/>
        </w:rPr>
      </w:pPr>
    </w:p>
    <w:p>
      <w:pPr>
        <w:ind w:left="1345"/>
        <w:spacing w:after="0" w:line="249" w:lineRule="auto"/>
        <w:rPr>
          <w:sz w:val="20"/>
          <w:szCs w:val="20"/>
          <w:color w:val="auto"/>
        </w:rPr>
      </w:pPr>
      <w:r>
        <w:rPr>
          <w:rFonts w:ascii="Arial" w:cs="Arial" w:eastAsia="Arial" w:hAnsi="Arial"/>
          <w:sz w:val="15"/>
          <w:szCs w:val="15"/>
          <w:color w:val="auto"/>
        </w:rPr>
        <w:t>In addition to serving as our Chief Executive Officer and as a member of our Board, Mr. Holliday also serves as a member of our Executive Committee. Mr. Holliday stepped down as our President in April 2007, when Andrew Mathias, our current President, was promoted to that position. Mr. Holliday joined the Company as Chief Investment Officer in July 1998. In October 2008, Mr. Holliday stepped down from his positions of President and Chief Executive Officer of Gramercy Property Trust, Inc. f/k/a Gramercy Capital Corp., or Gramercy, positions he had held since August 2004. Mr. Holliday also served as a director of Gramercy from 2004 until September 2014. Prior to joining the Company, Mr. Holliday was Managing Director and Head of Direct Originations for New York-based Capital Trust Inc., a mezzanine finance company, where he was in charge of originating direct principal investments for the firm, consisting of mezzanine debt, preferred equity and first mortgages. From 1991 to 1997, Mr. Holliday served in various management positions, including Senior Vice President, at Capital Trust, Inc.’s predecessor, Victor Capital Group, L.P. Mr. Holliday serves as a member of the Board of Directors of NYRA and Columbia University and is also an executive officer and sits on the Board of the Real Estate Board of New York. Mr. Holliday received a B.S. degree in Business and Finance from Lehigh University in 1988 and an M. S. degree in Real Estate Development from Columbia University in 1990. Mr. Holliday’s extensive experience and skills in real estate and finance, as well as his role as Chief Executive Officer of the Company, provide him with valuable knowledge of and expertise in our business and industry. Furthermore, Mr. Holliday’s presence on the Board facilitates communication between the Board and the Company’s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7263130" cy="2260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3130" cy="226060"/>
                    </a:xfrm>
                    <a:prstGeom prst="rect">
                      <a:avLst/>
                    </a:prstGeom>
                    <a:noFill/>
                  </pic:spPr>
                </pic:pic>
              </a:graphicData>
            </a:graphic>
          </wp:anchor>
        </w:drawing>
      </w:r>
    </w:p>
    <w:p>
      <w:pPr>
        <w:spacing w:after="0" w:line="232"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325889"/>
        </w:rPr>
        <w:t xml:space="preserve">John S. Levy  </w:t>
      </w:r>
      <w:r>
        <w:rPr>
          <w:rFonts w:ascii="Arial" w:cs="Arial" w:eastAsia="Arial" w:hAnsi="Arial"/>
          <w:sz w:val="15"/>
          <w:szCs w:val="15"/>
          <w:color w:val="000000"/>
        </w:rPr>
        <w:t>Director Since:</w:t>
      </w:r>
      <w:r>
        <w:rPr>
          <w:rFonts w:ascii="Arial" w:cs="Arial" w:eastAsia="Arial" w:hAnsi="Arial"/>
          <w:sz w:val="19"/>
          <w:szCs w:val="19"/>
          <w:b w:val="1"/>
          <w:bCs w:val="1"/>
          <w:color w:val="325889"/>
        </w:rPr>
        <w:t xml:space="preserve"> </w:t>
      </w:r>
      <w:r>
        <w:rPr>
          <w:rFonts w:ascii="Arial" w:cs="Arial" w:eastAsia="Arial" w:hAnsi="Arial"/>
          <w:sz w:val="15"/>
          <w:szCs w:val="15"/>
          <w:b w:val="1"/>
          <w:bCs w:val="1"/>
          <w:color w:val="000000"/>
        </w:rPr>
        <w:t>1997</w:t>
      </w:r>
      <w:r>
        <w:rPr>
          <w:rFonts w:ascii="Arial" w:cs="Arial" w:eastAsia="Arial" w:hAnsi="Arial"/>
          <w:sz w:val="19"/>
          <w:szCs w:val="19"/>
          <w:b w:val="1"/>
          <w:bCs w:val="1"/>
          <w:color w:val="325889"/>
        </w:rPr>
        <w:t xml:space="preserve"> </w:t>
      </w:r>
      <w:r>
        <w:rPr>
          <w:rFonts w:ascii="Arial" w:cs="Arial" w:eastAsia="Arial" w:hAnsi="Arial"/>
          <w:sz w:val="15"/>
          <w:szCs w:val="15"/>
          <w:color w:val="000000"/>
        </w:rPr>
        <w:t>Age:</w:t>
      </w:r>
      <w:r>
        <w:rPr>
          <w:rFonts w:ascii="Arial" w:cs="Arial" w:eastAsia="Arial" w:hAnsi="Arial"/>
          <w:sz w:val="19"/>
          <w:szCs w:val="19"/>
          <w:b w:val="1"/>
          <w:bCs w:val="1"/>
          <w:color w:val="325889"/>
        </w:rPr>
        <w:t xml:space="preserve"> </w:t>
      </w:r>
      <w:r>
        <w:rPr>
          <w:rFonts w:ascii="Arial" w:cs="Arial" w:eastAsia="Arial" w:hAnsi="Arial"/>
          <w:sz w:val="15"/>
          <w:szCs w:val="15"/>
          <w:b w:val="1"/>
          <w:bCs w:val="1"/>
          <w:color w:val="000000"/>
        </w:rPr>
        <w:t>81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46125" cy="9493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46125" cy="949325"/>
                    </a:xfrm>
                    <a:prstGeom prst="rect">
                      <a:avLst/>
                    </a:prstGeom>
                    <a:noFill/>
                  </pic:spPr>
                </pic:pic>
              </a:graphicData>
            </a:graphic>
          </wp:anchor>
        </w:drawing>
      </w:r>
    </w:p>
    <w:p>
      <w:pPr>
        <w:spacing w:after="0" w:line="126" w:lineRule="exact"/>
        <w:rPr>
          <w:sz w:val="20"/>
          <w:szCs w:val="20"/>
          <w:color w:val="auto"/>
        </w:rPr>
      </w:pPr>
    </w:p>
    <w:p>
      <w:pPr>
        <w:ind w:left="1265"/>
        <w:spacing w:after="0" w:line="250" w:lineRule="auto"/>
        <w:rPr>
          <w:sz w:val="20"/>
          <w:szCs w:val="20"/>
          <w:color w:val="auto"/>
        </w:rPr>
      </w:pPr>
      <w:r>
        <w:rPr>
          <w:rFonts w:ascii="Arial" w:cs="Arial" w:eastAsia="Arial" w:hAnsi="Arial"/>
          <w:sz w:val="15"/>
          <w:szCs w:val="15"/>
          <w:color w:val="auto"/>
        </w:rPr>
        <w:t>Mr. Levy retired from Lehman Brothers Inc. in 1995. From 1983 until 1995, at Lehman Brothers (or its predecessors), he served as Managing Director and Chief Administrative Officer of the Financial Services Division, Senior Executive Vice President and Co-Director of the International Division and Managing Partner of the Equity Securities Division. Mr. Levy was associated with A.G. Becker Incorporated (or its predecessors) from 1960 until 1983, where he served as Managing Director of the Execution Services Division, Vice President-Manager of Institutional and Retail Sales, Manager of the Institutional Sales Division, Manager of the New York Retail Office and a Registered Representative. Mr. Levy received a B.A. degree from Dartmouth College. Mr. Levy’s extensive skills, experience and sophistication in corporate governance, financial, compensation, legal and commercial matters, including his corporate finance expertise developed at Lehman Brothers, allow him to provide valuable insights into the Company’s business and finances.</w:t>
      </w:r>
    </w:p>
    <w:p>
      <w:pPr>
        <w:spacing w:after="0" w:line="188" w:lineRule="exact"/>
        <w:rPr>
          <w:sz w:val="20"/>
          <w:szCs w:val="20"/>
          <w:color w:val="auto"/>
        </w:rPr>
      </w:pPr>
    </w:p>
    <w:p>
      <w:pPr>
        <w:ind w:left="165" w:hanging="165"/>
        <w:spacing w:after="0"/>
        <w:tabs>
          <w:tab w:leader="none" w:pos="165" w:val="left"/>
        </w:tabs>
        <w:numPr>
          <w:ilvl w:val="0"/>
          <w:numId w:val="10"/>
        </w:numPr>
        <w:rPr>
          <w:rFonts w:ascii="Arial" w:cs="Arial" w:eastAsia="Arial" w:hAnsi="Arial"/>
          <w:sz w:val="15"/>
          <w:szCs w:val="15"/>
          <w:color w:val="325889"/>
        </w:rPr>
      </w:pPr>
      <w:r>
        <w:rPr>
          <w:rFonts w:ascii="Arial" w:cs="Arial" w:eastAsia="Arial" w:hAnsi="Arial"/>
          <w:sz w:val="15"/>
          <w:szCs w:val="15"/>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83450"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25"/>
          </w:cols>
          <w:pgMar w:left="235" w:top="528" w:right="239" w:bottom="1440" w:gutter="0" w:footer="0" w:header="0"/>
        </w:sectPr>
      </w:pPr>
    </w:p>
    <w:bookmarkStart w:id="10" w:name="page11"/>
    <w:bookmarkEnd w:id="10"/>
    <w:p>
      <w:pPr>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325889"/>
        </w:rPr>
        <w:t>OUR BOARD OF DIRECTORS AND CORPORATE GOVERNANCE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325889"/>
        </w:rPr>
        <w:t>Class I Continuing Directors—Terms Will Expire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132715</wp:posOffset>
            </wp:positionV>
            <wp:extent cx="7263130" cy="4972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3130" cy="497205"/>
                    </a:xfrm>
                    <a:prstGeom prst="rect">
                      <a:avLst/>
                    </a:prstGeom>
                    <a:noFill/>
                  </pic:spPr>
                </pic:pic>
              </a:graphicData>
            </a:graphic>
          </wp:anchor>
        </w:drawing>
      </w:r>
    </w:p>
    <w:p>
      <w:pPr>
        <w:spacing w:after="0" w:line="243" w:lineRule="exact"/>
        <w:rPr>
          <w:sz w:val="20"/>
          <w:szCs w:val="20"/>
          <w:color w:val="auto"/>
        </w:rPr>
      </w:pPr>
    </w:p>
    <w:p>
      <w:pPr>
        <w:ind w:left="280"/>
        <w:spacing w:after="0"/>
        <w:rPr>
          <w:sz w:val="20"/>
          <w:szCs w:val="20"/>
          <w:color w:val="auto"/>
        </w:rPr>
      </w:pPr>
      <w:r>
        <w:rPr>
          <w:rFonts w:ascii="Arial" w:cs="Arial" w:eastAsia="Arial" w:hAnsi="Arial"/>
          <w:sz w:val="19"/>
          <w:szCs w:val="19"/>
          <w:b w:val="1"/>
          <w:bCs w:val="1"/>
          <w:color w:val="325889"/>
        </w:rPr>
        <w:t>Edwin</w:t>
      </w:r>
    </w:p>
    <w:p>
      <w:pPr>
        <w:spacing w:after="0" w:line="4" w:lineRule="exact"/>
        <w:rPr>
          <w:sz w:val="20"/>
          <w:szCs w:val="20"/>
          <w:color w:val="auto"/>
        </w:rPr>
      </w:pPr>
    </w:p>
    <w:p>
      <w:pPr>
        <w:ind w:left="180"/>
        <w:spacing w:after="0"/>
        <w:tabs>
          <w:tab w:leader="none" w:pos="1240" w:val="left"/>
        </w:tabs>
        <w:rPr>
          <w:sz w:val="20"/>
          <w:szCs w:val="20"/>
          <w:color w:val="auto"/>
        </w:rPr>
      </w:pPr>
      <w:r>
        <w:rPr>
          <w:rFonts w:ascii="Arial" w:cs="Arial" w:eastAsia="Arial" w:hAnsi="Arial"/>
          <w:sz w:val="19"/>
          <w:szCs w:val="19"/>
          <w:b w:val="1"/>
          <w:bCs w:val="1"/>
          <w:color w:val="325889"/>
        </w:rPr>
        <w:t>Thomas</w:t>
      </w:r>
      <w:r>
        <w:rPr>
          <w:sz w:val="20"/>
          <w:szCs w:val="20"/>
          <w:color w:val="auto"/>
        </w:rPr>
        <w:tab/>
      </w:r>
      <w:r>
        <w:rPr>
          <w:rFonts w:ascii="Arial" w:cs="Arial" w:eastAsia="Arial" w:hAnsi="Arial"/>
          <w:sz w:val="15"/>
          <w:szCs w:val="15"/>
          <w:color w:val="auto"/>
        </w:rPr>
        <w:t xml:space="preserve">Director Since: </w:t>
      </w:r>
      <w:r>
        <w:rPr>
          <w:rFonts w:ascii="Arial" w:cs="Arial" w:eastAsia="Arial" w:hAnsi="Arial"/>
          <w:sz w:val="15"/>
          <w:szCs w:val="15"/>
          <w:b w:val="1"/>
          <w:bCs w:val="1"/>
          <w:color w:val="auto"/>
        </w:rPr>
        <w:t>1997</w:t>
      </w:r>
      <w:r>
        <w:rPr>
          <w:rFonts w:ascii="Arial" w:cs="Arial" w:eastAsia="Arial" w:hAnsi="Arial"/>
          <w:sz w:val="15"/>
          <w:szCs w:val="15"/>
          <w:color w:val="auto"/>
        </w:rPr>
        <w:t xml:space="preserve"> Age: </w:t>
      </w:r>
      <w:r>
        <w:rPr>
          <w:rFonts w:ascii="Arial" w:cs="Arial" w:eastAsia="Arial" w:hAnsi="Arial"/>
          <w:sz w:val="15"/>
          <w:szCs w:val="15"/>
          <w:b w:val="1"/>
          <w:bCs w:val="1"/>
          <w:color w:val="auto"/>
        </w:rPr>
        <w:t>74 Independent</w:t>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325889"/>
        </w:rPr>
        <w:t>Burton,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38100</wp:posOffset>
            </wp:positionV>
            <wp:extent cx="708025" cy="813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8025" cy="813435"/>
                    </a:xfrm>
                    <a:prstGeom prst="rect">
                      <a:avLst/>
                    </a:prstGeom>
                    <a:noFill/>
                  </pic:spPr>
                </pic:pic>
              </a:graphicData>
            </a:graphic>
          </wp:anchor>
        </w:drawing>
      </w:r>
    </w:p>
    <w:p>
      <w:pPr>
        <w:sectPr>
          <w:pgSz w:w="11900" w:h="16838" w:orient="portrait"/>
          <w:cols w:equalWidth="0" w:num="1">
            <w:col w:w="11440"/>
          </w:cols>
          <w:pgMar w:left="240" w:top="528"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325889"/>
        </w:rPr>
        <w:t>Craig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-164465</wp:posOffset>
            </wp:positionV>
            <wp:extent cx="70802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8025" cy="15240"/>
                    </a:xfrm>
                    <a:prstGeom prst="rect">
                      <a:avLst/>
                    </a:prstGeom>
                    <a:noFill/>
                  </pic:spPr>
                </pic:pic>
              </a:graphicData>
            </a:graphic>
          </wp:anchor>
        </w:drawing>
      </w:r>
    </w:p>
    <w:p>
      <w:pPr>
        <w:spacing w:after="0" w:line="11" w:lineRule="exact"/>
        <w:rPr>
          <w:sz w:val="20"/>
          <w:szCs w:val="20"/>
          <w:color w:val="auto"/>
        </w:rPr>
      </w:pPr>
    </w:p>
    <w:p>
      <w:pPr>
        <w:ind w:left="220"/>
        <w:spacing w:after="0"/>
        <w:rPr>
          <w:sz w:val="20"/>
          <w:szCs w:val="20"/>
          <w:color w:val="auto"/>
        </w:rPr>
      </w:pPr>
      <w:r>
        <w:rPr>
          <w:rFonts w:ascii="Arial" w:cs="Arial" w:eastAsia="Arial" w:hAnsi="Arial"/>
          <w:sz w:val="19"/>
          <w:szCs w:val="19"/>
          <w:b w:val="1"/>
          <w:bCs w:val="1"/>
          <w:color w:val="325889"/>
        </w:rPr>
        <w:t>Hatkoff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38100</wp:posOffset>
            </wp:positionV>
            <wp:extent cx="708025" cy="9493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8025" cy="9493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right="40"/>
        <w:spacing w:after="0" w:line="248" w:lineRule="auto"/>
        <w:rPr>
          <w:sz w:val="20"/>
          <w:szCs w:val="20"/>
          <w:color w:val="auto"/>
        </w:rPr>
      </w:pPr>
      <w:r>
        <w:rPr>
          <w:rFonts w:ascii="Arial" w:cs="Arial" w:eastAsia="Arial" w:hAnsi="Arial"/>
          <w:sz w:val="15"/>
          <w:szCs w:val="15"/>
          <w:color w:val="auto"/>
        </w:rPr>
        <w:t>Mr. Burton is a Professor of Economics at the University of Virginia, and has held teaching positions at York College, Rice University and Cornell University, and has written and lectured extensively in the field of Economics. Mr. Burton has also served as a member of the Board of Trustees of the Virginia Retirement System for state and local employees of the Commonwealth of Virginia from 1994 to 2001 and then again from 2004 to 2014, and served as its Chairman from 1997 until March 2001. Mr. Burton also serves as a consultant to numerous companies on investment strategy and investment banking. From 1994 until 1995, Mr. Burton served as Senior Vice President, Managing Director and director of Interstate Johnson Lane, Incorporated, an investment banking firm, where he was in charge of the Corporate Finance and Public Finance Divisions. From 1987 to 1994, Mr. Burton served as President of Rothschild Financial Services, Incorporated (a subsidiary of Rothschild, Inc. of North America), an investment banking company headquartered in New York City that is involved in proprietary trading, securities lending and other investment activities. Mr. Burton also served as a consultant to the American Stock Exchange from 1985 until 1986 and a senior vice president with Smith Barney (or its corporate predecessor) from 1976 until 1984. Since 2004, Mr. Burton has served as a member of the Board of Directors of Chase Investors, a privately-held registered investment advisor. Mr. Burton also has served as a member of the Board of Directors of Capstar Hotel Company, a publicly-traded hotel company, Virginia National Bank, a publicly-traded commercial bank, and SNL Securities, a private securities data company. Mr. Burton received a B.A. degree in Economics from Rice University and a Ph.D. degree in Economics from Northwestern University. In addition to his experience in academia as a seasoned professor of economics, Mr. Burton’s extensive skills and experience in corporate governance, financial, compensation and legal matters allow him to provide valuable financial expertise and insights into the Company’s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131445</wp:posOffset>
            </wp:positionV>
            <wp:extent cx="6494780" cy="3619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94780" cy="361950"/>
                    </a:xfrm>
                    <a:prstGeom prst="rect">
                      <a:avLst/>
                    </a:prstGeom>
                    <a:noFill/>
                  </pic:spPr>
                </pic:pic>
              </a:graphicData>
            </a:graphic>
          </wp:anchor>
        </w:drawing>
      </w:r>
    </w:p>
    <w:p>
      <w:pPr>
        <w:spacing w:after="0" w:line="373" w:lineRule="exact"/>
        <w:rPr>
          <w:sz w:val="20"/>
          <w:szCs w:val="20"/>
          <w:color w:val="auto"/>
        </w:rPr>
      </w:pPr>
    </w:p>
    <w:p>
      <w:pPr>
        <w:ind w:left="60"/>
        <w:spacing w:after="0"/>
        <w:rPr>
          <w:sz w:val="20"/>
          <w:szCs w:val="20"/>
          <w:color w:val="auto"/>
        </w:rPr>
      </w:pPr>
      <w:r>
        <w:rPr>
          <w:rFonts w:ascii="Arial" w:cs="Arial" w:eastAsia="Arial" w:hAnsi="Arial"/>
          <w:sz w:val="15"/>
          <w:szCs w:val="15"/>
          <w:color w:val="auto"/>
        </w:rPr>
        <w:t xml:space="preserve">Director Since: </w:t>
      </w:r>
      <w:r>
        <w:rPr>
          <w:rFonts w:ascii="Arial" w:cs="Arial" w:eastAsia="Arial" w:hAnsi="Arial"/>
          <w:sz w:val="15"/>
          <w:szCs w:val="15"/>
          <w:b w:val="1"/>
          <w:bCs w:val="1"/>
          <w:color w:val="auto"/>
        </w:rPr>
        <w:t>2011</w:t>
      </w:r>
      <w:r>
        <w:rPr>
          <w:rFonts w:ascii="Arial" w:cs="Arial" w:eastAsia="Arial" w:hAnsi="Arial"/>
          <w:sz w:val="15"/>
          <w:szCs w:val="15"/>
          <w:color w:val="auto"/>
        </w:rPr>
        <w:t xml:space="preserve"> Age: </w:t>
      </w:r>
      <w:r>
        <w:rPr>
          <w:rFonts w:ascii="Arial" w:cs="Arial" w:eastAsia="Arial" w:hAnsi="Arial"/>
          <w:sz w:val="15"/>
          <w:szCs w:val="15"/>
          <w:b w:val="1"/>
          <w:bCs w:val="1"/>
          <w:color w:val="auto"/>
        </w:rPr>
        <w:t>63 Independent</w:t>
      </w:r>
    </w:p>
    <w:p>
      <w:pPr>
        <w:spacing w:after="0" w:line="272" w:lineRule="exact"/>
        <w:rPr>
          <w:sz w:val="20"/>
          <w:szCs w:val="20"/>
          <w:color w:val="auto"/>
        </w:rPr>
      </w:pPr>
    </w:p>
    <w:p>
      <w:pPr>
        <w:sectPr>
          <w:pgSz w:w="11900" w:h="16838" w:orient="portrait"/>
          <w:cols w:equalWidth="0" w:num="2">
            <w:col w:w="920" w:space="280"/>
            <w:col w:w="10240"/>
          </w:cols>
          <w:pgMar w:left="240" w:top="528" w:right="219" w:bottom="1440" w:gutter="0" w:footer="0" w:header="0"/>
          <w:type w:val="continuous"/>
        </w:sectPr>
      </w:pPr>
    </w:p>
    <w:p>
      <w:pPr>
        <w:ind w:left="1200" w:right="100"/>
        <w:spacing w:after="0" w:line="249" w:lineRule="auto"/>
        <w:rPr>
          <w:sz w:val="20"/>
          <w:szCs w:val="20"/>
          <w:color w:val="auto"/>
        </w:rPr>
      </w:pPr>
      <w:r>
        <w:rPr>
          <w:rFonts w:ascii="Arial" w:cs="Arial" w:eastAsia="Arial" w:hAnsi="Arial"/>
          <w:sz w:val="15"/>
          <w:szCs w:val="15"/>
          <w:color w:val="auto"/>
        </w:rPr>
        <w:t>Mr. Hatkoff served as Vice Chairman of Capital Trust, Inc., a real estate investment management company that was listed on the New York Stock Exchange, or NYSE, and one of the largest dedicated real estate mezzanine lenders, from 1997 to 2000, and served on the Board of Directors from 1997 to 2010. From 2002 to 2005, Mr. Hatkoff was a trustee of the New York City School Construction Authority, the agency responsible for the construction of all public schools in New York City. Mr. Hatkoff was a founder and a managing partner of Victor Capital Group, L.P., from 1989 until its acquisition in 1997 by Capital Trust, Inc. Previously, he spent 11 years at Chemical Bank, including as co-head of the real estate investment banking unit, where he was a pioneer in commercial mortgage securitization. Mr. Hatkoff is a co-founder of the Tribeca Film Festival. Mr. Hatkoff is also Chairman of Turtle Pond Publications LLC, which is active in children’s publishing and entertainment and is a private investor in other entrepreneurial ventures. Mr. Hatkoff has been a director of Taubman Centers, Inc. since 2004. Mr. Hatkoff is an Adjunct Professor at Columbia Business School, where he teaches courses on entrepreneurship and innovation.</w:t>
      </w:r>
    </w:p>
    <w:p>
      <w:pPr>
        <w:spacing w:after="0" w:line="181" w:lineRule="exact"/>
        <w:rPr>
          <w:sz w:val="20"/>
          <w:szCs w:val="20"/>
          <w:color w:val="auto"/>
        </w:rPr>
      </w:pPr>
    </w:p>
    <w:p>
      <w:pPr>
        <w:ind w:left="1200" w:right="40"/>
        <w:spacing w:after="0" w:line="250" w:lineRule="auto"/>
        <w:rPr>
          <w:sz w:val="20"/>
          <w:szCs w:val="20"/>
          <w:color w:val="auto"/>
        </w:rPr>
      </w:pPr>
      <w:r>
        <w:rPr>
          <w:rFonts w:ascii="Arial" w:cs="Arial" w:eastAsia="Arial" w:hAnsi="Arial"/>
          <w:sz w:val="15"/>
          <w:szCs w:val="15"/>
          <w:color w:val="auto"/>
        </w:rPr>
        <w:t>Mr. Hatkoff has in-depth expertise and knowledge of real estate, capital markets, finance, private investing, entrepreneurship and executive management through his work with Chemical Bank, Victor Capital Group and Capital Trust. As a result of the foregoing, Mr. Hatkoff provides a unique insight into the financial markets generally, valuation analysis, strategic planning, and unique financing structures and alternatives. He also possesses entrepreneurial, brand marketing, social media, technology and innovation, and senior leadership experience through his private investments and service on the Boards of numerous educational and charitable organizations. Mr. Hatkoff also has extensive Board and Board committee experience at other public companies, including his current service at Taubman Centers, Inc. and his long-standing service to Capital Trust, Inc., which enables him to provide significant insight as to governance and compliance-related matters particular to real estate companies.</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2017 Proxy Statement </w:t>
      </w:r>
      <w:r>
        <w:rPr>
          <w:rFonts w:ascii="Arial" w:cs="Arial" w:eastAsia="Arial" w:hAnsi="Arial"/>
          <w:sz w:val="15"/>
          <w:szCs w:val="15"/>
          <w:color w:val="325889"/>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83450" cy="2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0"/>
          </w:cols>
          <w:pgMar w:left="240" w:top="528" w:right="219" w:bottom="1440" w:gutter="0" w:footer="0" w:header="0"/>
          <w:type w:val="continuous"/>
        </w:sectPr>
      </w:pPr>
    </w:p>
    <w:bookmarkStart w:id="11" w:name="page12"/>
    <w:bookmarkEnd w:id="11"/>
    <w:p>
      <w:pPr>
        <w:ind w:left="5"/>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ind w:left="5"/>
        <w:spacing w:after="0"/>
        <w:rPr>
          <w:sz w:val="20"/>
          <w:szCs w:val="20"/>
          <w:color w:val="auto"/>
        </w:rPr>
      </w:pPr>
      <w:r>
        <w:rPr>
          <w:rFonts w:ascii="Arial" w:cs="Arial" w:eastAsia="Arial" w:hAnsi="Arial"/>
          <w:sz w:val="15"/>
          <w:szCs w:val="15"/>
          <w:u w:val="single" w:color="auto"/>
          <w:color w:val="325889"/>
        </w:rPr>
        <w:t>OUR 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7263130" cy="3619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3130" cy="361950"/>
                    </a:xfrm>
                    <a:prstGeom prst="rect">
                      <a:avLst/>
                    </a:prstGeom>
                    <a:noFill/>
                  </pic:spPr>
                </pic:pic>
              </a:graphicData>
            </a:graphic>
          </wp:anchor>
        </w:drawing>
      </w:r>
    </w:p>
    <w:p>
      <w:pPr>
        <w:spacing w:after="0" w:line="38" w:lineRule="exact"/>
        <w:rPr>
          <w:sz w:val="20"/>
          <w:szCs w:val="20"/>
          <w:color w:val="auto"/>
        </w:rPr>
      </w:pPr>
    </w:p>
    <w:p>
      <w:pPr>
        <w:ind w:left="85"/>
        <w:spacing w:after="0"/>
        <w:tabs>
          <w:tab w:leader="none" w:pos="1265" w:val="left"/>
        </w:tabs>
        <w:rPr>
          <w:sz w:val="20"/>
          <w:szCs w:val="20"/>
          <w:color w:val="auto"/>
        </w:rPr>
      </w:pPr>
      <w:r>
        <w:rPr>
          <w:rFonts w:ascii="Arial" w:cs="Arial" w:eastAsia="Arial" w:hAnsi="Arial"/>
          <w:sz w:val="37"/>
          <w:szCs w:val="37"/>
          <w:b w:val="1"/>
          <w:bCs w:val="1"/>
          <w:color w:val="325889"/>
          <w:vertAlign w:val="superscript"/>
        </w:rPr>
        <w:t>Andrew W.</w:t>
      </w:r>
      <w:r>
        <w:rPr>
          <w:rFonts w:ascii="Arial" w:cs="Arial" w:eastAsia="Arial" w:hAnsi="Arial"/>
          <w:sz w:val="15"/>
          <w:szCs w:val="15"/>
          <w:b w:val="1"/>
          <w:bCs w:val="1"/>
          <w:color w:val="auto"/>
        </w:rPr>
        <w:tab/>
        <w:t xml:space="preserve">President </w:t>
      </w:r>
      <w:r>
        <w:rPr>
          <w:rFonts w:ascii="Arial" w:cs="Arial" w:eastAsia="Arial" w:hAnsi="Arial"/>
          <w:sz w:val="15"/>
          <w:szCs w:val="15"/>
          <w:color w:val="auto"/>
        </w:rPr>
        <w:t>since:</w:t>
      </w:r>
      <w:r>
        <w:rPr>
          <w:rFonts w:ascii="Arial" w:cs="Arial" w:eastAsia="Arial" w:hAnsi="Arial"/>
          <w:sz w:val="15"/>
          <w:szCs w:val="15"/>
          <w:b w:val="1"/>
          <w:bCs w:val="1"/>
          <w:color w:val="auto"/>
        </w:rPr>
        <w:t xml:space="preserve"> April 2007 </w:t>
      </w:r>
      <w:r>
        <w:rPr>
          <w:rFonts w:ascii="Arial" w:cs="Arial" w:eastAsia="Arial" w:hAnsi="Arial"/>
          <w:sz w:val="15"/>
          <w:szCs w:val="15"/>
          <w:color w:val="auto"/>
        </w:rPr>
        <w:t>Director Since:</w:t>
      </w:r>
      <w:r>
        <w:rPr>
          <w:rFonts w:ascii="Arial" w:cs="Arial" w:eastAsia="Arial" w:hAnsi="Arial"/>
          <w:sz w:val="15"/>
          <w:szCs w:val="15"/>
          <w:b w:val="1"/>
          <w:bCs w:val="1"/>
          <w:color w:val="auto"/>
        </w:rPr>
        <w:t xml:space="preserve"> June 2014 </w:t>
      </w:r>
      <w:r>
        <w:rPr>
          <w:rFonts w:ascii="Arial" w:cs="Arial" w:eastAsia="Arial" w:hAnsi="Arial"/>
          <w:sz w:val="15"/>
          <w:szCs w:val="15"/>
          <w:color w:val="auto"/>
        </w:rPr>
        <w:t>Age:</w:t>
      </w:r>
      <w:r>
        <w:rPr>
          <w:rFonts w:ascii="Arial" w:cs="Arial" w:eastAsia="Arial" w:hAnsi="Arial"/>
          <w:sz w:val="15"/>
          <w:szCs w:val="15"/>
          <w:b w:val="1"/>
          <w:bCs w:val="1"/>
          <w:color w:val="auto"/>
        </w:rPr>
        <w:t xml:space="preserve"> 43</w:t>
      </w:r>
    </w:p>
    <w:p>
      <w:pPr>
        <w:ind w:left="205"/>
        <w:spacing w:after="0"/>
        <w:rPr>
          <w:sz w:val="20"/>
          <w:szCs w:val="20"/>
          <w:color w:val="auto"/>
        </w:rPr>
      </w:pPr>
      <w:r>
        <w:rPr>
          <w:rFonts w:ascii="Arial" w:cs="Arial" w:eastAsia="Arial" w:hAnsi="Arial"/>
          <w:sz w:val="19"/>
          <w:szCs w:val="19"/>
          <w:b w:val="1"/>
          <w:bCs w:val="1"/>
          <w:color w:val="325889"/>
        </w:rPr>
        <w:t>Mathias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5645" cy="9645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645" cy="964565"/>
                    </a:xfrm>
                    <a:prstGeom prst="rect">
                      <a:avLst/>
                    </a:prstGeom>
                    <a:noFill/>
                  </pic:spPr>
                </pic:pic>
              </a:graphicData>
            </a:graphic>
          </wp:anchor>
        </w:drawing>
      </w:r>
    </w:p>
    <w:p>
      <w:pPr>
        <w:spacing w:after="0" w:line="102" w:lineRule="exact"/>
        <w:rPr>
          <w:sz w:val="20"/>
          <w:szCs w:val="20"/>
          <w:color w:val="auto"/>
        </w:rPr>
      </w:pPr>
    </w:p>
    <w:p>
      <w:pPr>
        <w:ind w:left="1225" w:right="100"/>
        <w:spacing w:after="0" w:line="250" w:lineRule="auto"/>
        <w:rPr>
          <w:sz w:val="20"/>
          <w:szCs w:val="20"/>
          <w:color w:val="auto"/>
        </w:rPr>
      </w:pPr>
      <w:r>
        <w:rPr>
          <w:rFonts w:ascii="Arial" w:cs="Arial" w:eastAsia="Arial" w:hAnsi="Arial"/>
          <w:sz w:val="15"/>
          <w:szCs w:val="15"/>
          <w:color w:val="auto"/>
        </w:rPr>
        <w:t>Mr. Mathias joined the Company in March 1999 as Vice President and was promoted to Director of Investments in 2002, a position he held until his promotion to Chief Investment Officer in January 2004, a position he held until January 2011. In October 2008, Mr. Mathias stepped down from his position as Chief Investment Officer of Gramercy, a position he had held since August 2004. Prior to joining the Company, Mr. Mathias worked at Capital Trust, Inc. and its predecessor, Victor Capital Group, L.P. Mr. Mathias also worked on the high yield and restructuring desk at Bear Stearns and Co. He currently serves on the Board of Directors for the Regional Plan Association, which works to improve the prosperity, infrastructure, sustainability and quality of life of the New York-New Jersey-Connecticut metropolitan region. Mr. Mathias received a B.S. degree in Economics from the Wharton School at the University of Pennsylvania.</w:t>
      </w:r>
    </w:p>
    <w:p>
      <w:pPr>
        <w:spacing w:after="0" w:line="200" w:lineRule="exact"/>
        <w:rPr>
          <w:sz w:val="20"/>
          <w:szCs w:val="20"/>
          <w:color w:val="auto"/>
        </w:rPr>
      </w:pPr>
    </w:p>
    <w:p>
      <w:pPr>
        <w:spacing w:after="0" w:line="377"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325889"/>
        </w:rPr>
        <w:t>Class III Continuing Directors—Terms Will Expire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63130" cy="3619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3130" cy="361950"/>
                    </a:xfrm>
                    <a:prstGeom prst="rect">
                      <a:avLst/>
                    </a:prstGeom>
                    <a:noFill/>
                  </pic:spPr>
                </pic:pic>
              </a:graphicData>
            </a:graphic>
          </wp:anchor>
        </w:drawing>
      </w:r>
    </w:p>
    <w:p>
      <w:pPr>
        <w:spacing w:after="0" w:line="238" w:lineRule="exact"/>
        <w:rPr>
          <w:sz w:val="20"/>
          <w:szCs w:val="20"/>
          <w:color w:val="auto"/>
        </w:rPr>
      </w:pPr>
    </w:p>
    <w:tbl>
      <w:tblPr>
        <w:tblLayout w:type="fixed"/>
        <w:tblInd w:w="125" w:type="dxa"/>
        <w:tblCellMar>
          <w:top w:w="0" w:type="dxa"/>
          <w:left w:w="0" w:type="dxa"/>
          <w:bottom w:w="0" w:type="dxa"/>
          <w:right w:w="0" w:type="dxa"/>
        </w:tblCellMar>
      </w:tblPr>
      <w:tr>
        <w:trPr>
          <w:trHeight w:val="218"/>
        </w:trPr>
        <w:tc>
          <w:tcPr>
            <w:tcW w:w="1000" w:type="dxa"/>
            <w:vAlign w:val="bottom"/>
          </w:tcPr>
          <w:p>
            <w:pPr>
              <w:jc w:val="center"/>
              <w:ind w:right="45"/>
              <w:spacing w:after="0"/>
              <w:rPr>
                <w:sz w:val="20"/>
                <w:szCs w:val="20"/>
                <w:color w:val="auto"/>
              </w:rPr>
            </w:pPr>
            <w:r>
              <w:rPr>
                <w:rFonts w:ascii="Arial" w:cs="Arial" w:eastAsia="Arial" w:hAnsi="Arial"/>
                <w:sz w:val="19"/>
                <w:szCs w:val="19"/>
                <w:b w:val="1"/>
                <w:bCs w:val="1"/>
                <w:color w:val="325889"/>
              </w:rPr>
              <w:t>John H.</w:t>
            </w:r>
          </w:p>
        </w:tc>
        <w:tc>
          <w:tcPr>
            <w:tcW w:w="508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 xml:space="preserve">Lead Independent Director </w:t>
            </w:r>
            <w:r>
              <w:rPr>
                <w:rFonts w:ascii="Arial" w:cs="Arial" w:eastAsia="Arial" w:hAnsi="Arial"/>
                <w:sz w:val="15"/>
                <w:szCs w:val="15"/>
                <w:color w:val="auto"/>
              </w:rPr>
              <w:t>Director Since:</w:t>
            </w:r>
            <w:r>
              <w:rPr>
                <w:rFonts w:ascii="Arial" w:cs="Arial" w:eastAsia="Arial" w:hAnsi="Arial"/>
                <w:sz w:val="15"/>
                <w:szCs w:val="15"/>
                <w:b w:val="1"/>
                <w:bCs w:val="1"/>
                <w:color w:val="auto"/>
              </w:rPr>
              <w:t xml:space="preserve"> 1997 </w:t>
            </w:r>
            <w:r>
              <w:rPr>
                <w:rFonts w:ascii="Arial" w:cs="Arial" w:eastAsia="Arial" w:hAnsi="Arial"/>
                <w:sz w:val="15"/>
                <w:szCs w:val="15"/>
                <w:color w:val="auto"/>
              </w:rPr>
              <w:t>Age:</w:t>
            </w:r>
            <w:r>
              <w:rPr>
                <w:rFonts w:ascii="Arial" w:cs="Arial" w:eastAsia="Arial" w:hAnsi="Arial"/>
                <w:sz w:val="15"/>
                <w:szCs w:val="15"/>
                <w:b w:val="1"/>
                <w:bCs w:val="1"/>
                <w:color w:val="auto"/>
              </w:rPr>
              <w:t xml:space="preserve"> 69 Independent</w:t>
            </w:r>
          </w:p>
        </w:tc>
        <w:tc>
          <w:tcPr>
            <w:tcW w:w="0" w:type="dxa"/>
            <w:vAlign w:val="bottom"/>
          </w:tcPr>
          <w:p>
            <w:pPr>
              <w:spacing w:after="0"/>
              <w:rPr>
                <w:sz w:val="1"/>
                <w:szCs w:val="1"/>
                <w:color w:val="auto"/>
              </w:rPr>
            </w:pPr>
          </w:p>
        </w:tc>
      </w:tr>
      <w:tr>
        <w:trPr>
          <w:trHeight w:val="123"/>
        </w:trPr>
        <w:tc>
          <w:tcPr>
            <w:tcW w:w="1000" w:type="dxa"/>
            <w:vAlign w:val="bottom"/>
            <w:vMerge w:val="restart"/>
          </w:tcPr>
          <w:p>
            <w:pPr>
              <w:jc w:val="center"/>
              <w:ind w:right="45"/>
              <w:spacing w:after="0"/>
              <w:rPr>
                <w:sz w:val="20"/>
                <w:szCs w:val="20"/>
                <w:color w:val="auto"/>
              </w:rPr>
            </w:pPr>
            <w:r>
              <w:rPr>
                <w:rFonts w:ascii="Arial" w:cs="Arial" w:eastAsia="Arial" w:hAnsi="Arial"/>
                <w:sz w:val="19"/>
                <w:szCs w:val="19"/>
                <w:b w:val="1"/>
                <w:bCs w:val="1"/>
                <w:color w:val="325889"/>
                <w:w w:val="99"/>
              </w:rPr>
              <w:t>Alschuler</w:t>
            </w:r>
          </w:p>
        </w:tc>
        <w:tc>
          <w:tcPr>
            <w:tcW w:w="5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000" w:type="dxa"/>
            <w:vAlign w:val="bottom"/>
            <w:vMerge w:val="continue"/>
          </w:tcPr>
          <w:p>
            <w:pPr>
              <w:spacing w:after="0"/>
              <w:rPr>
                <w:sz w:val="11"/>
                <w:szCs w:val="11"/>
                <w:color w:val="auto"/>
              </w:rPr>
            </w:pPr>
          </w:p>
        </w:tc>
        <w:tc>
          <w:tcPr>
            <w:tcW w:w="50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708025" cy="9569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8025" cy="956945"/>
                    </a:xfrm>
                    <a:prstGeom prst="rect">
                      <a:avLst/>
                    </a:prstGeom>
                    <a:noFill/>
                  </pic:spPr>
                </pic:pic>
              </a:graphicData>
            </a:graphic>
          </wp:anchor>
        </w:drawing>
      </w:r>
    </w:p>
    <w:p>
      <w:pPr>
        <w:sectPr>
          <w:pgSz w:w="11900" w:h="16838" w:orient="portrait"/>
          <w:cols w:equalWidth="0" w:num="1">
            <w:col w:w="11425"/>
          </w:cols>
          <w:pgMar w:left="235" w:top="52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left="65"/>
        <w:spacing w:after="0" w:line="271" w:lineRule="auto"/>
        <w:rPr>
          <w:sz w:val="20"/>
          <w:szCs w:val="20"/>
          <w:color w:val="auto"/>
        </w:rPr>
      </w:pPr>
      <w:r>
        <w:rPr>
          <w:rFonts w:ascii="Arial" w:cs="Arial" w:eastAsia="Arial" w:hAnsi="Arial"/>
          <w:sz w:val="19"/>
          <w:szCs w:val="19"/>
          <w:b w:val="1"/>
          <w:bCs w:val="1"/>
          <w:color w:val="325889"/>
        </w:rPr>
        <w:t>Stephen L.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-346710</wp:posOffset>
            </wp:positionV>
            <wp:extent cx="708025"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8025"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708025" cy="9417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8025" cy="941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40"/>
        <w:spacing w:after="0" w:line="249" w:lineRule="auto"/>
        <w:rPr>
          <w:sz w:val="20"/>
          <w:szCs w:val="20"/>
          <w:color w:val="auto"/>
        </w:rPr>
      </w:pPr>
      <w:r>
        <w:rPr>
          <w:rFonts w:ascii="Arial" w:cs="Arial" w:eastAsia="Arial" w:hAnsi="Arial"/>
          <w:sz w:val="15"/>
          <w:szCs w:val="15"/>
          <w:color w:val="auto"/>
        </w:rPr>
        <w:t>Since 2008, Mr. Alschuler has been the Chairman of HR&amp;A Advisors Inc., an economic development, real-estate and public policy consulting organization. Mr. Alschuler also is an Adjunct Associate Professor at Columbia University, where he teaches real estate development at the Graduate School of Architecture, Planning &amp; Preservation. Mr. Alschuler currently serves on the Board of Directors of Xenia Hotels and Resorts, The Macerich Company, the Center for an Urban Future, a Section 501(c)(3) tax-exempt organization, and Friends of the High Line Inc., a Section 501(c)(3) tax-exempt organization. Mr. Alschuler received a B.A. degree from Wesleyan University and an Ed.D. degree from the University of Massachusetts at Amherst. Mr. Alschuler’s achievements in academia and business, as well as his extensive knowledge of commercial real estate, New York City’s economy, commercial and other markets in New York City and national and international markets for real estate, and his expertise in inter-governmental relations, allow him to assess the real estate market and the Company’s business from a knowledgeable and informed perspective, from which he provides valuable insights into the Company’s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6494780" cy="3619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94780" cy="361950"/>
                    </a:xfrm>
                    <a:prstGeom prst="rect">
                      <a:avLst/>
                    </a:prstGeom>
                    <a:noFill/>
                  </pic:spPr>
                </pic:pic>
              </a:graphicData>
            </a:graphic>
          </wp:anchor>
        </w:drawing>
      </w:r>
    </w:p>
    <w:p>
      <w:pPr>
        <w:spacing w:after="0" w:line="369"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 xml:space="preserve">Chairman </w:t>
      </w:r>
      <w:r>
        <w:rPr>
          <w:rFonts w:ascii="Arial" w:cs="Arial" w:eastAsia="Arial" w:hAnsi="Arial"/>
          <w:sz w:val="15"/>
          <w:szCs w:val="15"/>
          <w:color w:val="auto"/>
        </w:rPr>
        <w:t>and Director Since</w:t>
      </w:r>
      <w:r>
        <w:rPr>
          <w:rFonts w:ascii="Arial" w:cs="Arial" w:eastAsia="Arial" w:hAnsi="Arial"/>
          <w:sz w:val="15"/>
          <w:szCs w:val="15"/>
          <w:b w:val="1"/>
          <w:bCs w:val="1"/>
          <w:color w:val="auto"/>
        </w:rPr>
        <w:t xml:space="preserve"> 1997 </w:t>
      </w:r>
      <w:r>
        <w:rPr>
          <w:rFonts w:ascii="Arial" w:cs="Arial" w:eastAsia="Arial" w:hAnsi="Arial"/>
          <w:sz w:val="15"/>
          <w:szCs w:val="15"/>
          <w:color w:val="auto"/>
        </w:rPr>
        <w:t>Age</w:t>
      </w:r>
      <w:r>
        <w:rPr>
          <w:rFonts w:ascii="Arial" w:cs="Arial" w:eastAsia="Arial" w:hAnsi="Arial"/>
          <w:sz w:val="15"/>
          <w:szCs w:val="15"/>
          <w:b w:val="1"/>
          <w:bCs w:val="1"/>
          <w:color w:val="auto"/>
        </w:rPr>
        <w:t>: 79</w:t>
      </w:r>
    </w:p>
    <w:p>
      <w:pPr>
        <w:spacing w:after="0" w:line="272" w:lineRule="exact"/>
        <w:rPr>
          <w:sz w:val="20"/>
          <w:szCs w:val="20"/>
          <w:color w:val="auto"/>
        </w:rPr>
      </w:pPr>
    </w:p>
    <w:p>
      <w:pPr>
        <w:sectPr>
          <w:pgSz w:w="11900" w:h="16838" w:orient="portrait"/>
          <w:cols w:equalWidth="0" w:num="2">
            <w:col w:w="1045" w:space="160"/>
            <w:col w:w="10220"/>
          </w:cols>
          <w:pgMar w:left="235" w:top="528" w:right="239" w:bottom="1440" w:gutter="0" w:footer="0" w:header="0"/>
          <w:type w:val="continuous"/>
        </w:sectPr>
      </w:pPr>
    </w:p>
    <w:p>
      <w:pPr>
        <w:ind w:left="1205"/>
        <w:spacing w:after="0" w:line="249" w:lineRule="auto"/>
        <w:rPr>
          <w:sz w:val="20"/>
          <w:szCs w:val="20"/>
          <w:color w:val="auto"/>
        </w:rPr>
      </w:pPr>
      <w:r>
        <w:rPr>
          <w:rFonts w:ascii="Arial" w:cs="Arial" w:eastAsia="Arial" w:hAnsi="Arial"/>
          <w:sz w:val="15"/>
          <w:szCs w:val="15"/>
          <w:color w:val="auto"/>
        </w:rPr>
        <w:t>Mr. Green serves as an executive officer, working in conjunction with our Chief Executive Officer, overseeing our long-term strategic direction. Mr. Green formerly served as our Chief Executive Officer. Mr. Green founded our predecessor, S.L. Green Properties, Inc., in 1980. Prior to our initial public offering in 1997, Mr. Green had been involved in the acquisition of over 50 Manhattan office buildings containing in excess of 10.0 million square feet. Mr. Green also served as Chairman of the Board of Gramercy from August 2004 through June 2009. Mr. Green is an at-large member of the Executive Committee of the Board of Governors of the Real Estate Board of New York and previously has served as Chairman of the Real Estate Board of New York’s Tax Committee. Mr. Green also served as a member of the Board of Directors of Stemedica Cell Technologies, Inc. from August 2007 through April 2009. Mr. Green currently serves as a member of the Board of Directors of Streetsquash, Inc., a Section 501(c)(3) tax-exempt organization. Mr. Green also served as a member of the board of trustees of the NYU Langone Medical Center. Mr. Green received a B.A. degree from Hartwick College and a J.D. degree from Boston College Law School. In addition to his industry-wide reputation, Mr. Green’s extensive skills and experience in real estate, including founding our predecessor, provide him with invaluable knowledge of and expertise in our business and industry. This experience, particularly his experience having led our predecessor and the Company, contributes depth and context to the Board’s discussions of the Company’s business.</w:t>
      </w:r>
    </w:p>
    <w:p>
      <w:pPr>
        <w:spacing w:after="0" w:line="200" w:lineRule="exact"/>
        <w:rPr>
          <w:sz w:val="20"/>
          <w:szCs w:val="20"/>
          <w:color w:val="auto"/>
        </w:rPr>
      </w:pPr>
    </w:p>
    <w:p>
      <w:pPr>
        <w:spacing w:after="0" w:line="371" w:lineRule="exact"/>
        <w:rPr>
          <w:sz w:val="20"/>
          <w:szCs w:val="20"/>
          <w:color w:val="auto"/>
        </w:rPr>
      </w:pPr>
    </w:p>
    <w:p>
      <w:pPr>
        <w:ind w:left="265" w:hanging="265"/>
        <w:spacing w:after="0"/>
        <w:tabs>
          <w:tab w:leader="none" w:pos="265" w:val="left"/>
        </w:tabs>
        <w:numPr>
          <w:ilvl w:val="0"/>
          <w:numId w:val="11"/>
        </w:numPr>
        <w:rPr>
          <w:rFonts w:ascii="Arial" w:cs="Arial" w:eastAsia="Arial" w:hAnsi="Arial"/>
          <w:sz w:val="15"/>
          <w:szCs w:val="15"/>
          <w:color w:val="325889"/>
        </w:rPr>
      </w:pPr>
      <w:r>
        <w:rPr>
          <w:rFonts w:ascii="Arial" w:cs="Arial" w:eastAsia="Arial" w:hAnsi="Arial"/>
          <w:sz w:val="15"/>
          <w:szCs w:val="15"/>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83450"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25"/>
          </w:cols>
          <w:pgMar w:left="235" w:top="528" w:right="239" w:bottom="1440" w:gutter="0" w:footer="0" w:header="0"/>
          <w:type w:val="continuous"/>
        </w:sectPr>
      </w:pPr>
    </w:p>
    <w:bookmarkStart w:id="12" w:name="page13"/>
    <w:bookmarkEnd w:id="12"/>
    <w:p>
      <w:pPr>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ind w:left="6780"/>
        <w:spacing w:after="0"/>
        <w:rPr>
          <w:sz w:val="20"/>
          <w:szCs w:val="20"/>
          <w:color w:val="auto"/>
        </w:rPr>
      </w:pPr>
      <w:r>
        <w:rPr>
          <w:rFonts w:ascii="Arial" w:cs="Arial" w:eastAsia="Arial" w:hAnsi="Arial"/>
          <w:sz w:val="15"/>
          <w:szCs w:val="15"/>
          <w:u w:val="single" w:color="auto"/>
          <w:color w:val="325889"/>
        </w:rPr>
        <w:t>OUR BOARD OF DIRECTORS AND CORPORATE GOVERNANCE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1080" w:type="dxa"/>
            <w:vAlign w:val="bottom"/>
            <w:tcBorders>
              <w:top w:val="single" w:sz="8" w:color="325889"/>
            </w:tcBorders>
          </w:tcPr>
          <w:p>
            <w:pPr>
              <w:jc w:val="center"/>
              <w:spacing w:after="0"/>
              <w:rPr>
                <w:sz w:val="20"/>
                <w:szCs w:val="20"/>
                <w:color w:val="auto"/>
              </w:rPr>
            </w:pPr>
            <w:r>
              <w:rPr>
                <w:rFonts w:ascii="Arial" w:cs="Arial" w:eastAsia="Arial" w:hAnsi="Arial"/>
                <w:sz w:val="19"/>
                <w:szCs w:val="19"/>
                <w:b w:val="1"/>
                <w:bCs w:val="1"/>
                <w:color w:val="325889"/>
              </w:rPr>
              <w:t>Lauren B.</w:t>
            </w:r>
          </w:p>
        </w:tc>
        <w:tc>
          <w:tcPr>
            <w:tcW w:w="80" w:type="dxa"/>
            <w:vAlign w:val="bottom"/>
          </w:tcPr>
          <w:p>
            <w:pPr>
              <w:spacing w:after="0"/>
              <w:rPr>
                <w:sz w:val="23"/>
                <w:szCs w:val="23"/>
                <w:color w:val="auto"/>
              </w:rPr>
            </w:pPr>
          </w:p>
        </w:tc>
        <w:tc>
          <w:tcPr>
            <w:tcW w:w="10280" w:type="dxa"/>
            <w:vAlign w:val="bottom"/>
            <w:tcBorders>
              <w:top w:val="single" w:sz="8" w:color="325889"/>
            </w:tcBorders>
            <w:vMerge w:val="restart"/>
            <w:shd w:val="clear" w:color="auto" w:fill="E9EEF3"/>
          </w:tcPr>
          <w:p>
            <w:pPr>
              <w:ind w:left="80"/>
              <w:spacing w:after="0"/>
              <w:rPr>
                <w:sz w:val="20"/>
                <w:szCs w:val="20"/>
                <w:color w:val="auto"/>
              </w:rPr>
            </w:pPr>
            <w:r>
              <w:rPr>
                <w:rFonts w:ascii="Arial" w:cs="Arial" w:eastAsia="Arial" w:hAnsi="Arial"/>
                <w:sz w:val="15"/>
                <w:szCs w:val="15"/>
                <w:color w:val="auto"/>
              </w:rPr>
              <w:t xml:space="preserve">Director Since: </w:t>
            </w:r>
            <w:r>
              <w:rPr>
                <w:rFonts w:ascii="Arial" w:cs="Arial" w:eastAsia="Arial" w:hAnsi="Arial"/>
                <w:sz w:val="15"/>
                <w:szCs w:val="15"/>
                <w:b w:val="1"/>
                <w:bCs w:val="1"/>
                <w:color w:val="auto"/>
              </w:rPr>
              <w:t>2016</w:t>
            </w:r>
            <w:r>
              <w:rPr>
                <w:rFonts w:ascii="Arial" w:cs="Arial" w:eastAsia="Arial" w:hAnsi="Arial"/>
                <w:sz w:val="15"/>
                <w:szCs w:val="15"/>
                <w:color w:val="auto"/>
              </w:rPr>
              <w:t xml:space="preserve"> Age: </w:t>
            </w:r>
            <w:r>
              <w:rPr>
                <w:rFonts w:ascii="Arial" w:cs="Arial" w:eastAsia="Arial" w:hAnsi="Arial"/>
                <w:sz w:val="15"/>
                <w:szCs w:val="15"/>
                <w:b w:val="1"/>
                <w:bCs w:val="1"/>
                <w:color w:val="auto"/>
              </w:rPr>
              <w:t>41 Independent</w:t>
            </w:r>
          </w:p>
        </w:tc>
        <w:tc>
          <w:tcPr>
            <w:tcW w:w="0" w:type="dxa"/>
            <w:vAlign w:val="bottom"/>
          </w:tcPr>
          <w:p>
            <w:pPr>
              <w:spacing w:after="0"/>
              <w:rPr>
                <w:sz w:val="1"/>
                <w:szCs w:val="1"/>
                <w:color w:val="auto"/>
              </w:rPr>
            </w:pPr>
          </w:p>
        </w:tc>
      </w:tr>
      <w:tr>
        <w:trPr>
          <w:trHeight w:val="123"/>
        </w:trPr>
        <w:tc>
          <w:tcPr>
            <w:tcW w:w="1160" w:type="dxa"/>
            <w:vAlign w:val="bottom"/>
            <w:gridSpan w:val="2"/>
            <w:vMerge w:val="restart"/>
          </w:tcPr>
          <w:p>
            <w:pPr>
              <w:jc w:val="center"/>
              <w:ind w:right="80"/>
              <w:spacing w:after="0"/>
              <w:rPr>
                <w:sz w:val="20"/>
                <w:szCs w:val="20"/>
                <w:color w:val="auto"/>
              </w:rPr>
            </w:pPr>
            <w:r>
              <w:rPr>
                <w:rFonts w:ascii="Arial" w:cs="Arial" w:eastAsia="Arial" w:hAnsi="Arial"/>
                <w:sz w:val="19"/>
                <w:szCs w:val="19"/>
                <w:b w:val="1"/>
                <w:bCs w:val="1"/>
                <w:color w:val="325889"/>
              </w:rPr>
              <w:t>Dillard</w:t>
            </w:r>
          </w:p>
        </w:tc>
        <w:tc>
          <w:tcPr>
            <w:tcW w:w="10280" w:type="dxa"/>
            <w:vAlign w:val="bottom"/>
            <w:vMerge w:val="continue"/>
            <w:shd w:val="clear" w:color="auto" w:fill="E9EEF3"/>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160" w:type="dxa"/>
            <w:vAlign w:val="bottom"/>
            <w:gridSpan w:val="2"/>
            <w:vMerge w:val="continue"/>
          </w:tcPr>
          <w:p>
            <w:pPr>
              <w:spacing w:after="0"/>
              <w:rPr>
                <w:sz w:val="15"/>
                <w:szCs w:val="15"/>
                <w:color w:val="auto"/>
              </w:rPr>
            </w:pPr>
          </w:p>
        </w:tc>
        <w:tc>
          <w:tcPr>
            <w:tcW w:w="10280" w:type="dxa"/>
            <w:vAlign w:val="bottom"/>
            <w:tcBorders>
              <w:bottom w:val="single" w:sz="8" w:color="E9EEF3"/>
            </w:tcBorders>
            <w:shd w:val="clear" w:color="auto" w:fill="E9EEF3"/>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080" w:type="dxa"/>
            <w:vAlign w:val="bottom"/>
            <w:tcBorders>
              <w:top w:val="single" w:sz="8" w:color="325889"/>
            </w:tcBorders>
          </w:tcPr>
          <w:p>
            <w:pPr>
              <w:spacing w:after="0"/>
              <w:rPr>
                <w:sz w:val="19"/>
                <w:szCs w:val="19"/>
                <w:color w:val="auto"/>
              </w:rPr>
            </w:pPr>
          </w:p>
        </w:tc>
        <w:tc>
          <w:tcPr>
            <w:tcW w:w="80" w:type="dxa"/>
            <w:vAlign w:val="bottom"/>
          </w:tcPr>
          <w:p>
            <w:pPr>
              <w:spacing w:after="0"/>
              <w:rPr>
                <w:sz w:val="19"/>
                <w:szCs w:val="19"/>
                <w:color w:val="auto"/>
              </w:rPr>
            </w:pPr>
          </w:p>
        </w:tc>
        <w:tc>
          <w:tcPr>
            <w:tcW w:w="10280" w:type="dxa"/>
            <w:vAlign w:val="bottom"/>
          </w:tcPr>
          <w:p>
            <w:pPr>
              <w:spacing w:after="0"/>
              <w:rPr>
                <w:sz w:val="20"/>
                <w:szCs w:val="20"/>
                <w:color w:val="auto"/>
              </w:rPr>
            </w:pPr>
            <w:r>
              <w:rPr>
                <w:rFonts w:ascii="Arial" w:cs="Arial" w:eastAsia="Arial" w:hAnsi="Arial"/>
                <w:sz w:val="15"/>
                <w:szCs w:val="15"/>
                <w:color w:val="auto"/>
              </w:rPr>
              <w:t>Ms. Dillard has been a Managing Director for the Carlyle Group, a global alternative asset manager, since 2011 and Head of Carlyle’s Investment</w:t>
            </w:r>
          </w:p>
        </w:tc>
        <w:tc>
          <w:tcPr>
            <w:tcW w:w="0" w:type="dxa"/>
            <w:vAlign w:val="bottom"/>
          </w:tcPr>
          <w:p>
            <w:pPr>
              <w:spacing w:after="0"/>
              <w:rPr>
                <w:sz w:val="1"/>
                <w:szCs w:val="1"/>
                <w:color w:val="auto"/>
              </w:rPr>
            </w:pPr>
          </w:p>
        </w:tc>
      </w:tr>
      <w:tr>
        <w:trPr>
          <w:trHeight w:val="178"/>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rPr>
              <w:t>Solutions Group since December 2015, where she also served as Chief Operating Officer and Chief Financial Officer from 2013 until December 2015.</w:t>
            </w:r>
          </w:p>
        </w:tc>
        <w:tc>
          <w:tcPr>
            <w:tcW w:w="0" w:type="dxa"/>
            <w:vAlign w:val="bottom"/>
          </w:tcPr>
          <w:p>
            <w:pPr>
              <w:spacing w:after="0"/>
              <w:rPr>
                <w:sz w:val="1"/>
                <w:szCs w:val="1"/>
                <w:color w:val="auto"/>
              </w:rPr>
            </w:pPr>
          </w:p>
        </w:tc>
      </w:tr>
      <w:tr>
        <w:trPr>
          <w:trHeight w:val="178"/>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rPr>
              <w:t>Since joining the Carlyle Group in 2002, Ms. Dillard has held a series of positions including Head of Global Tax Department and Head of Global Equity</w:t>
            </w:r>
          </w:p>
        </w:tc>
        <w:tc>
          <w:tcPr>
            <w:tcW w:w="0" w:type="dxa"/>
            <w:vAlign w:val="bottom"/>
          </w:tcPr>
          <w:p>
            <w:pPr>
              <w:spacing w:after="0"/>
              <w:rPr>
                <w:sz w:val="1"/>
                <w:szCs w:val="1"/>
                <w:color w:val="auto"/>
              </w:rPr>
            </w:pPr>
          </w:p>
        </w:tc>
      </w:tr>
      <w:tr>
        <w:trPr>
          <w:trHeight w:val="178"/>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rPr>
              <w:t>Programs. Ms. Dillard was a member of Carlyle’s Transaction Team where she played a significant role in transactions, including Carlyle’s initial public</w:t>
            </w:r>
          </w:p>
        </w:tc>
        <w:tc>
          <w:tcPr>
            <w:tcW w:w="0" w:type="dxa"/>
            <w:vAlign w:val="bottom"/>
          </w:tcPr>
          <w:p>
            <w:pPr>
              <w:spacing w:after="0"/>
              <w:rPr>
                <w:sz w:val="1"/>
                <w:szCs w:val="1"/>
                <w:color w:val="auto"/>
              </w:rPr>
            </w:pPr>
          </w:p>
        </w:tc>
      </w:tr>
      <w:tr>
        <w:trPr>
          <w:trHeight w:val="178"/>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rPr>
              <w:t>offering. Ms. Dillard currently serves on Carlyle’s Management Committee and is a board member of AlpInvest Partners. Prior to 2002, Ms. Dillard</w:t>
            </w:r>
          </w:p>
        </w:tc>
        <w:tc>
          <w:tcPr>
            <w:tcW w:w="0" w:type="dxa"/>
            <w:vAlign w:val="bottom"/>
          </w:tcPr>
          <w:p>
            <w:pPr>
              <w:spacing w:after="0"/>
              <w:rPr>
                <w:sz w:val="1"/>
                <w:szCs w:val="1"/>
                <w:color w:val="auto"/>
              </w:rPr>
            </w:pPr>
          </w:p>
        </w:tc>
      </w:tr>
      <w:tr>
        <w:trPr>
          <w:trHeight w:val="178"/>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rPr>
              <w:t>served in the Real Estate and Financial Services Group of the Tax Practice of Arthur Andersen, LLP. Ms. Dillard is active in a range of leadership,</w:t>
            </w:r>
          </w:p>
        </w:tc>
        <w:tc>
          <w:tcPr>
            <w:tcW w:w="0" w:type="dxa"/>
            <w:vAlign w:val="bottom"/>
          </w:tcPr>
          <w:p>
            <w:pPr>
              <w:spacing w:after="0"/>
              <w:rPr>
                <w:sz w:val="1"/>
                <w:szCs w:val="1"/>
                <w:color w:val="auto"/>
              </w:rPr>
            </w:pPr>
          </w:p>
        </w:tc>
      </w:tr>
      <w:tr>
        <w:trPr>
          <w:trHeight w:val="178"/>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rPr>
              <w:t>philanthropic, and internal and external mentoring efforts to advance the role of women in private equity, including: founder and leader of Carlyle’s</w:t>
            </w:r>
          </w:p>
        </w:tc>
        <w:tc>
          <w:tcPr>
            <w:tcW w:w="0" w:type="dxa"/>
            <w:vAlign w:val="bottom"/>
          </w:tcPr>
          <w:p>
            <w:pPr>
              <w:spacing w:after="0"/>
              <w:rPr>
                <w:sz w:val="1"/>
                <w:szCs w:val="1"/>
                <w:color w:val="auto"/>
              </w:rPr>
            </w:pPr>
          </w:p>
        </w:tc>
      </w:tr>
      <w:tr>
        <w:trPr>
          <w:trHeight w:val="178"/>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rPr>
              <w:t>Women’s Employee Resource Group, member of the Private Equity Women Investor Network (PEWIN) and other industry initiatives. She is also the</w:t>
            </w:r>
          </w:p>
        </w:tc>
        <w:tc>
          <w:tcPr>
            <w:tcW w:w="0" w:type="dxa"/>
            <w:vAlign w:val="bottom"/>
          </w:tcPr>
          <w:p>
            <w:pPr>
              <w:spacing w:after="0"/>
              <w:rPr>
                <w:sz w:val="1"/>
                <w:szCs w:val="1"/>
                <w:color w:val="auto"/>
              </w:rPr>
            </w:pPr>
          </w:p>
        </w:tc>
      </w:tr>
      <w:tr>
        <w:trPr>
          <w:trHeight w:val="178"/>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rPr>
              <w:t>recipient of the prestigious One Carlyle Award in recognition of her contributions to and support of the firm’s collaborative culture. Ms. Dillard received</w:t>
            </w:r>
          </w:p>
        </w:tc>
        <w:tc>
          <w:tcPr>
            <w:tcW w:w="0" w:type="dxa"/>
            <w:vAlign w:val="bottom"/>
          </w:tcPr>
          <w:p>
            <w:pPr>
              <w:spacing w:after="0"/>
              <w:rPr>
                <w:sz w:val="1"/>
                <w:szCs w:val="1"/>
                <w:color w:val="auto"/>
              </w:rPr>
            </w:pPr>
          </w:p>
        </w:tc>
      </w:tr>
      <w:tr>
        <w:trPr>
          <w:trHeight w:val="178"/>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rPr>
              <w:t>her B.S. in business administration from the University of Richmond. Ms. Dillard’s sophisticated understanding of tax, real estate and global equity and</w:t>
            </w:r>
          </w:p>
        </w:tc>
        <w:tc>
          <w:tcPr>
            <w:tcW w:w="0" w:type="dxa"/>
            <w:vAlign w:val="bottom"/>
          </w:tcPr>
          <w:p>
            <w:pPr>
              <w:spacing w:after="0"/>
              <w:rPr>
                <w:sz w:val="1"/>
                <w:szCs w:val="1"/>
                <w:color w:val="auto"/>
              </w:rPr>
            </w:pPr>
          </w:p>
        </w:tc>
      </w:tr>
      <w:tr>
        <w:trPr>
          <w:trHeight w:val="178"/>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80" w:type="dxa"/>
            <w:vAlign w:val="bottom"/>
          </w:tcPr>
          <w:p>
            <w:pPr>
              <w:spacing w:after="0"/>
              <w:rPr>
                <w:sz w:val="20"/>
                <w:szCs w:val="20"/>
                <w:color w:val="auto"/>
              </w:rPr>
            </w:pPr>
            <w:r>
              <w:rPr>
                <w:rFonts w:ascii="Arial" w:cs="Arial" w:eastAsia="Arial" w:hAnsi="Arial"/>
                <w:sz w:val="15"/>
                <w:szCs w:val="15"/>
                <w:color w:val="auto"/>
              </w:rPr>
              <w:t>investment programs, together with her considerable operational expertise, provides the Board and the Company with deep and practical insight on a</w:t>
            </w: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80" w:type="dxa"/>
            <w:vAlign w:val="bottom"/>
          </w:tcPr>
          <w:p>
            <w:pPr>
              <w:spacing w:after="0"/>
              <w:rPr>
                <w:sz w:val="20"/>
                <w:szCs w:val="20"/>
                <w:color w:val="auto"/>
              </w:rPr>
            </w:pPr>
            <w:r>
              <w:rPr>
                <w:rFonts w:ascii="Arial" w:cs="Arial" w:eastAsia="Arial" w:hAnsi="Arial"/>
                <w:sz w:val="15"/>
                <w:szCs w:val="15"/>
                <w:color w:val="auto"/>
              </w:rPr>
              <w:t>broad range of matters.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-1392555</wp:posOffset>
            </wp:positionV>
            <wp:extent cx="685800" cy="10096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0" cy="1009650"/>
                    </a:xfrm>
                    <a:prstGeom prst="rect">
                      <a:avLst/>
                    </a:prstGeom>
                    <a:noFill/>
                  </pic:spPr>
                </pic:pic>
              </a:graphicData>
            </a:graphic>
          </wp:anchor>
        </w:drawing>
      </w: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325889"/>
        </w:rPr>
        <w:t>Board Refreshment</w:t>
      </w:r>
    </w:p>
    <w:p>
      <w:pPr>
        <w:spacing w:after="0" w:line="212" w:lineRule="exact"/>
        <w:rPr>
          <w:sz w:val="20"/>
          <w:szCs w:val="20"/>
          <w:color w:val="auto"/>
        </w:rPr>
      </w:pPr>
    </w:p>
    <w:p>
      <w:pPr>
        <w:ind w:right="140"/>
        <w:spacing w:after="0" w:line="253" w:lineRule="auto"/>
        <w:rPr>
          <w:sz w:val="20"/>
          <w:szCs w:val="20"/>
          <w:color w:val="auto"/>
        </w:rPr>
      </w:pPr>
      <w:r>
        <w:rPr>
          <w:rFonts w:ascii="Arial" w:cs="Arial" w:eastAsia="Arial" w:hAnsi="Arial"/>
          <w:sz w:val="15"/>
          <w:szCs w:val="15"/>
          <w:color w:val="auto"/>
        </w:rPr>
        <w:t>Led by our Nominating and Corporate Governance Committee, the Board engages in ongoing director succession planning, including a focus on refreshing the Board and enhancing the level of diversity. We believe that we have achieved much in this regard; we have added three new independent directors since 2011, including two women – Betsy Atkins, who joined our Board in 2015, and Lauren Dillard, who joined our Board in 2016. Together with the addition of Craig Hatkoff in 2011, these additions reduce the average age and tenure of our independent directors by approximately nine years.</w:t>
      </w:r>
    </w:p>
    <w:p>
      <w:pPr>
        <w:spacing w:after="0" w:line="174" w:lineRule="exact"/>
        <w:rPr>
          <w:sz w:val="20"/>
          <w:szCs w:val="20"/>
          <w:color w:val="auto"/>
        </w:rPr>
      </w:pPr>
    </w:p>
    <w:p>
      <w:pPr>
        <w:ind w:right="160"/>
        <w:spacing w:after="0" w:line="256" w:lineRule="auto"/>
        <w:rPr>
          <w:sz w:val="20"/>
          <w:szCs w:val="20"/>
          <w:color w:val="auto"/>
        </w:rPr>
      </w:pPr>
      <w:r>
        <w:rPr>
          <w:rFonts w:ascii="Arial" w:cs="Arial" w:eastAsia="Arial" w:hAnsi="Arial"/>
          <w:sz w:val="15"/>
          <w:szCs w:val="15"/>
          <w:color w:val="auto"/>
        </w:rPr>
        <w:t>Thanks to the efforts of the Board, we believe that, taken as a whole, the Board has the desired mix of expertise, experience, reputation and diversity necessary for us to continue to deliver superior performance in a highly competitive marketplace, as well as the knowledge, ability and independence to continue to deliver the high standard of governance expected by our investors.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shd w:val="clear" w:color="auto" w:fill="98A3B8"/>
          </w:tcPr>
          <w:p>
            <w:pPr>
              <w:ind w:left="100"/>
              <w:spacing w:after="0"/>
              <w:rPr>
                <w:sz w:val="20"/>
                <w:szCs w:val="20"/>
                <w:color w:val="auto"/>
              </w:rPr>
            </w:pPr>
            <w:r>
              <w:rPr>
                <w:rFonts w:ascii="Arial" w:cs="Arial" w:eastAsia="Arial" w:hAnsi="Arial"/>
                <w:sz w:val="12"/>
                <w:szCs w:val="12"/>
                <w:b w:val="1"/>
                <w:bCs w:val="1"/>
                <w:color w:val="325889"/>
              </w:rPr>
              <w:t>Diversity</w:t>
            </w:r>
          </w:p>
        </w:tc>
        <w:tc>
          <w:tcPr>
            <w:tcW w:w="4020" w:type="dxa"/>
            <w:vAlign w:val="bottom"/>
            <w:shd w:val="clear" w:color="auto" w:fill="98A3B8"/>
          </w:tcPr>
          <w:p>
            <w:pPr>
              <w:ind w:left="160"/>
              <w:spacing w:after="0"/>
              <w:rPr>
                <w:sz w:val="20"/>
                <w:szCs w:val="20"/>
                <w:color w:val="auto"/>
              </w:rPr>
            </w:pPr>
            <w:r>
              <w:rPr>
                <w:rFonts w:ascii="Arial" w:cs="Arial" w:eastAsia="Arial" w:hAnsi="Arial"/>
                <w:sz w:val="12"/>
                <w:szCs w:val="12"/>
                <w:b w:val="1"/>
                <w:bCs w:val="1"/>
                <w:color w:val="325889"/>
              </w:rPr>
              <w:t>Experience</w:t>
            </w:r>
          </w:p>
        </w:tc>
        <w:tc>
          <w:tcPr>
            <w:tcW w:w="3880" w:type="dxa"/>
            <w:vAlign w:val="bottom"/>
            <w:shd w:val="clear" w:color="auto" w:fill="98A3B8"/>
          </w:tcPr>
          <w:p>
            <w:pPr>
              <w:ind w:left="80"/>
              <w:spacing w:after="0"/>
              <w:rPr>
                <w:sz w:val="20"/>
                <w:szCs w:val="20"/>
                <w:color w:val="auto"/>
              </w:rPr>
            </w:pPr>
            <w:r>
              <w:rPr>
                <w:rFonts w:ascii="Arial" w:cs="Arial" w:eastAsia="Arial" w:hAnsi="Arial"/>
                <w:sz w:val="12"/>
                <w:szCs w:val="12"/>
                <w:b w:val="1"/>
                <w:bCs w:val="1"/>
                <w:color w:val="325889"/>
              </w:rPr>
              <w:t>Leadership</w:t>
            </w:r>
          </w:p>
        </w:tc>
        <w:tc>
          <w:tcPr>
            <w:tcW w:w="20" w:type="dxa"/>
            <w:vAlign w:val="bottom"/>
          </w:tcPr>
          <w:p>
            <w:pPr>
              <w:spacing w:after="0"/>
              <w:rPr>
                <w:sz w:val="12"/>
                <w:szCs w:val="12"/>
                <w:color w:val="auto"/>
              </w:rPr>
            </w:pPr>
          </w:p>
        </w:tc>
      </w:tr>
      <w:tr>
        <w:trPr>
          <w:trHeight w:val="193"/>
        </w:trPr>
        <w:tc>
          <w:tcPr>
            <w:tcW w:w="3540" w:type="dxa"/>
            <w:vAlign w:val="bottom"/>
            <w:shd w:val="clear" w:color="auto" w:fill="98A3B8"/>
          </w:tcPr>
          <w:p>
            <w:pPr>
              <w:ind w:left="100"/>
              <w:spacing w:after="0"/>
              <w:rPr>
                <w:sz w:val="20"/>
                <w:szCs w:val="20"/>
                <w:color w:val="auto"/>
              </w:rPr>
            </w:pPr>
            <w:r>
              <w:rPr>
                <w:rFonts w:ascii="Arial" w:cs="Arial" w:eastAsia="Arial" w:hAnsi="Arial"/>
                <w:sz w:val="15"/>
                <w:szCs w:val="15"/>
                <w:color w:val="325889"/>
              </w:rPr>
              <w:t>Our Board represents diversity in its broader</w:t>
            </w:r>
          </w:p>
        </w:tc>
        <w:tc>
          <w:tcPr>
            <w:tcW w:w="4020" w:type="dxa"/>
            <w:vAlign w:val="bottom"/>
            <w:shd w:val="clear" w:color="auto" w:fill="98A3B8"/>
          </w:tcPr>
          <w:p>
            <w:pPr>
              <w:ind w:left="160"/>
              <w:spacing w:after="0"/>
              <w:rPr>
                <w:sz w:val="20"/>
                <w:szCs w:val="20"/>
                <w:color w:val="auto"/>
              </w:rPr>
            </w:pPr>
            <w:r>
              <w:rPr>
                <w:rFonts w:ascii="Arial" w:cs="Arial" w:eastAsia="Arial" w:hAnsi="Arial"/>
                <w:sz w:val="15"/>
                <w:szCs w:val="15"/>
                <w:color w:val="325889"/>
              </w:rPr>
              <w:t>Our Board members have broad experience serving on</w:t>
            </w:r>
          </w:p>
        </w:tc>
        <w:tc>
          <w:tcPr>
            <w:tcW w:w="3880" w:type="dxa"/>
            <w:vAlign w:val="bottom"/>
            <w:shd w:val="clear" w:color="auto" w:fill="98A3B8"/>
          </w:tcPr>
          <w:p>
            <w:pPr>
              <w:ind w:left="80"/>
              <w:spacing w:after="0"/>
              <w:rPr>
                <w:sz w:val="20"/>
                <w:szCs w:val="20"/>
                <w:color w:val="auto"/>
              </w:rPr>
            </w:pPr>
            <w:r>
              <w:rPr>
                <w:rFonts w:ascii="Arial" w:cs="Arial" w:eastAsia="Arial" w:hAnsi="Arial"/>
                <w:sz w:val="15"/>
                <w:szCs w:val="15"/>
                <w:color w:val="325889"/>
              </w:rPr>
              <w:t>Our Board members have strong corporate</w:t>
            </w:r>
          </w:p>
        </w:tc>
        <w:tc>
          <w:tcPr>
            <w:tcW w:w="20" w:type="dxa"/>
            <w:vAlign w:val="bottom"/>
          </w:tcPr>
          <w:p>
            <w:pPr>
              <w:spacing w:after="0"/>
              <w:rPr>
                <w:sz w:val="16"/>
                <w:szCs w:val="16"/>
                <w:color w:val="auto"/>
              </w:rPr>
            </w:pPr>
          </w:p>
        </w:tc>
      </w:tr>
      <w:tr>
        <w:trPr>
          <w:trHeight w:val="178"/>
        </w:trPr>
        <w:tc>
          <w:tcPr>
            <w:tcW w:w="3540" w:type="dxa"/>
            <w:vAlign w:val="bottom"/>
            <w:shd w:val="clear" w:color="auto" w:fill="98A3B8"/>
          </w:tcPr>
          <w:p>
            <w:pPr>
              <w:ind w:left="100"/>
              <w:spacing w:after="0"/>
              <w:rPr>
                <w:sz w:val="20"/>
                <w:szCs w:val="20"/>
                <w:color w:val="auto"/>
              </w:rPr>
            </w:pPr>
            <w:r>
              <w:rPr>
                <w:rFonts w:ascii="Arial" w:cs="Arial" w:eastAsia="Arial" w:hAnsi="Arial"/>
                <w:sz w:val="15"/>
                <w:szCs w:val="15"/>
                <w:color w:val="325889"/>
              </w:rPr>
              <w:t>sense. This means diversity of knowledge, skills,</w:t>
            </w:r>
          </w:p>
        </w:tc>
        <w:tc>
          <w:tcPr>
            <w:tcW w:w="4020" w:type="dxa"/>
            <w:vAlign w:val="bottom"/>
            <w:shd w:val="clear" w:color="auto" w:fill="98A3B8"/>
          </w:tcPr>
          <w:p>
            <w:pPr>
              <w:ind w:left="160"/>
              <w:spacing w:after="0"/>
              <w:rPr>
                <w:sz w:val="20"/>
                <w:szCs w:val="20"/>
                <w:color w:val="auto"/>
              </w:rPr>
            </w:pPr>
            <w:r>
              <w:rPr>
                <w:rFonts w:ascii="Arial" w:cs="Arial" w:eastAsia="Arial" w:hAnsi="Arial"/>
                <w:sz w:val="15"/>
                <w:szCs w:val="15"/>
                <w:color w:val="325889"/>
              </w:rPr>
              <w:t>public boards in industries relevant to the Company</w:t>
            </w:r>
          </w:p>
        </w:tc>
        <w:tc>
          <w:tcPr>
            <w:tcW w:w="3880" w:type="dxa"/>
            <w:vAlign w:val="bottom"/>
            <w:shd w:val="clear" w:color="auto" w:fill="98A3B8"/>
          </w:tcPr>
          <w:p>
            <w:pPr>
              <w:ind w:left="80"/>
              <w:spacing w:after="0"/>
              <w:rPr>
                <w:sz w:val="20"/>
                <w:szCs w:val="20"/>
                <w:color w:val="auto"/>
              </w:rPr>
            </w:pPr>
            <w:r>
              <w:rPr>
                <w:rFonts w:ascii="Arial" w:cs="Arial" w:eastAsia="Arial" w:hAnsi="Arial"/>
                <w:sz w:val="15"/>
                <w:szCs w:val="15"/>
                <w:color w:val="325889"/>
              </w:rPr>
              <w:t>leadership backgrounds such as being a CEO, CFO</w:t>
            </w:r>
          </w:p>
        </w:tc>
        <w:tc>
          <w:tcPr>
            <w:tcW w:w="20" w:type="dxa"/>
            <w:vAlign w:val="bottom"/>
          </w:tcPr>
          <w:p>
            <w:pPr>
              <w:spacing w:after="0"/>
              <w:rPr>
                <w:sz w:val="15"/>
                <w:szCs w:val="15"/>
                <w:color w:val="auto"/>
              </w:rPr>
            </w:pPr>
          </w:p>
        </w:tc>
      </w:tr>
      <w:tr>
        <w:trPr>
          <w:trHeight w:val="178"/>
        </w:trPr>
        <w:tc>
          <w:tcPr>
            <w:tcW w:w="3540" w:type="dxa"/>
            <w:vAlign w:val="bottom"/>
            <w:shd w:val="clear" w:color="auto" w:fill="98A3B8"/>
          </w:tcPr>
          <w:p>
            <w:pPr>
              <w:ind w:left="100"/>
              <w:spacing w:after="0"/>
              <w:rPr>
                <w:sz w:val="20"/>
                <w:szCs w:val="20"/>
                <w:color w:val="auto"/>
              </w:rPr>
            </w:pPr>
            <w:r>
              <w:rPr>
                <w:rFonts w:ascii="Arial" w:cs="Arial" w:eastAsia="Arial" w:hAnsi="Arial"/>
                <w:sz w:val="15"/>
                <w:szCs w:val="15"/>
                <w:color w:val="325889"/>
              </w:rPr>
              <w:t>and education, as well as diversity of age, gender,</w:t>
            </w:r>
          </w:p>
        </w:tc>
        <w:tc>
          <w:tcPr>
            <w:tcW w:w="4020" w:type="dxa"/>
            <w:vAlign w:val="bottom"/>
            <w:shd w:val="clear" w:color="auto" w:fill="98A3B8"/>
          </w:tcPr>
          <w:p>
            <w:pPr>
              <w:spacing w:after="0"/>
              <w:rPr>
                <w:sz w:val="15"/>
                <w:szCs w:val="15"/>
                <w:color w:val="auto"/>
              </w:rPr>
            </w:pPr>
          </w:p>
        </w:tc>
        <w:tc>
          <w:tcPr>
            <w:tcW w:w="3880" w:type="dxa"/>
            <w:vAlign w:val="bottom"/>
            <w:shd w:val="clear" w:color="auto" w:fill="98A3B8"/>
          </w:tcPr>
          <w:p>
            <w:pPr>
              <w:ind w:left="80"/>
              <w:spacing w:after="0"/>
              <w:rPr>
                <w:sz w:val="20"/>
                <w:szCs w:val="20"/>
                <w:color w:val="auto"/>
              </w:rPr>
            </w:pPr>
            <w:r>
              <w:rPr>
                <w:rFonts w:ascii="Arial" w:cs="Arial" w:eastAsia="Arial" w:hAnsi="Arial"/>
                <w:sz w:val="15"/>
                <w:szCs w:val="15"/>
                <w:color w:val="325889"/>
              </w:rPr>
              <w:t>or holding other Executive positions</w:t>
            </w:r>
          </w:p>
        </w:tc>
        <w:tc>
          <w:tcPr>
            <w:tcW w:w="20" w:type="dxa"/>
            <w:vAlign w:val="bottom"/>
          </w:tcPr>
          <w:p>
            <w:pPr>
              <w:spacing w:after="0"/>
              <w:rPr>
                <w:sz w:val="15"/>
                <w:szCs w:val="15"/>
                <w:color w:val="auto"/>
              </w:rPr>
            </w:pPr>
          </w:p>
        </w:tc>
      </w:tr>
      <w:tr>
        <w:trPr>
          <w:trHeight w:val="186"/>
        </w:trPr>
        <w:tc>
          <w:tcPr>
            <w:tcW w:w="3540" w:type="dxa"/>
            <w:vAlign w:val="bottom"/>
            <w:shd w:val="clear" w:color="auto" w:fill="98A3B8"/>
          </w:tcPr>
          <w:p>
            <w:pPr>
              <w:ind w:left="100"/>
              <w:spacing w:after="0"/>
              <w:rPr>
                <w:sz w:val="20"/>
                <w:szCs w:val="20"/>
                <w:color w:val="auto"/>
              </w:rPr>
            </w:pPr>
            <w:r>
              <w:rPr>
                <w:rFonts w:ascii="Arial" w:cs="Arial" w:eastAsia="Arial" w:hAnsi="Arial"/>
                <w:sz w:val="15"/>
                <w:szCs w:val="15"/>
                <w:color w:val="325889"/>
              </w:rPr>
              <w:t>and outlook</w:t>
            </w:r>
          </w:p>
        </w:tc>
        <w:tc>
          <w:tcPr>
            <w:tcW w:w="4020" w:type="dxa"/>
            <w:vAlign w:val="bottom"/>
            <w:shd w:val="clear" w:color="auto" w:fill="98A3B8"/>
          </w:tcPr>
          <w:p>
            <w:pPr>
              <w:spacing w:after="0"/>
              <w:rPr>
                <w:sz w:val="16"/>
                <w:szCs w:val="16"/>
                <w:color w:val="auto"/>
              </w:rPr>
            </w:pPr>
          </w:p>
        </w:tc>
        <w:tc>
          <w:tcPr>
            <w:tcW w:w="3880" w:type="dxa"/>
            <w:vAlign w:val="bottom"/>
            <w:shd w:val="clear" w:color="auto" w:fill="98A3B8"/>
          </w:tcPr>
          <w:p>
            <w:pPr>
              <w:spacing w:after="0"/>
              <w:rPr>
                <w:sz w:val="16"/>
                <w:szCs w:val="16"/>
                <w:color w:val="auto"/>
              </w:rPr>
            </w:pPr>
          </w:p>
        </w:tc>
        <w:tc>
          <w:tcPr>
            <w:tcW w:w="20" w:type="dxa"/>
            <w:vAlign w:val="bottom"/>
          </w:tcPr>
          <w:p>
            <w:pPr>
              <w:spacing w:after="0"/>
              <w:rPr>
                <w:sz w:val="16"/>
                <w:szCs w:val="16"/>
                <w:color w:val="auto"/>
              </w:rPr>
            </w:pPr>
          </w:p>
        </w:tc>
      </w:tr>
      <w:tr>
        <w:trPr>
          <w:trHeight w:val="1381"/>
        </w:trPr>
        <w:tc>
          <w:tcPr>
            <w:tcW w:w="3540" w:type="dxa"/>
            <w:vAlign w:val="bottom"/>
            <w:shd w:val="clear" w:color="auto" w:fill="98A3B8"/>
          </w:tcPr>
          <w:p>
            <w:pPr>
              <w:ind w:left="100"/>
              <w:spacing w:after="0"/>
              <w:rPr>
                <w:sz w:val="20"/>
                <w:szCs w:val="20"/>
                <w:color w:val="auto"/>
              </w:rPr>
            </w:pPr>
            <w:r>
              <w:rPr>
                <w:rFonts w:ascii="Arial" w:cs="Arial" w:eastAsia="Arial" w:hAnsi="Arial"/>
                <w:sz w:val="15"/>
                <w:szCs w:val="15"/>
                <w:b w:val="1"/>
                <w:bCs w:val="1"/>
                <w:color w:val="325889"/>
              </w:rPr>
              <w:t xml:space="preserve">33% </w:t>
            </w:r>
            <w:r>
              <w:rPr>
                <w:rFonts w:ascii="Arial" w:cs="Arial" w:eastAsia="Arial" w:hAnsi="Arial"/>
                <w:sz w:val="15"/>
                <w:szCs w:val="15"/>
                <w:color w:val="325889"/>
              </w:rPr>
              <w:t>of our independent Board members are</w:t>
            </w:r>
          </w:p>
        </w:tc>
        <w:tc>
          <w:tcPr>
            <w:tcW w:w="4020" w:type="dxa"/>
            <w:vAlign w:val="bottom"/>
            <w:shd w:val="clear" w:color="auto" w:fill="98A3B8"/>
          </w:tcPr>
          <w:p>
            <w:pPr>
              <w:ind w:left="160"/>
              <w:spacing w:after="0"/>
              <w:rPr>
                <w:sz w:val="20"/>
                <w:szCs w:val="20"/>
                <w:color w:val="auto"/>
              </w:rPr>
            </w:pPr>
            <w:r>
              <w:rPr>
                <w:rFonts w:ascii="Arial" w:cs="Arial" w:eastAsia="Arial" w:hAnsi="Arial"/>
                <w:sz w:val="15"/>
                <w:szCs w:val="15"/>
                <w:b w:val="1"/>
                <w:bCs w:val="1"/>
                <w:color w:val="325889"/>
              </w:rPr>
              <w:t xml:space="preserve">78% </w:t>
            </w:r>
            <w:r>
              <w:rPr>
                <w:rFonts w:ascii="Arial" w:cs="Arial" w:eastAsia="Arial" w:hAnsi="Arial"/>
                <w:sz w:val="15"/>
                <w:szCs w:val="15"/>
                <w:color w:val="325889"/>
              </w:rPr>
              <w:t>of our Board have served on the Boards of other</w:t>
            </w:r>
          </w:p>
        </w:tc>
        <w:tc>
          <w:tcPr>
            <w:tcW w:w="3880" w:type="dxa"/>
            <w:vAlign w:val="bottom"/>
            <w:shd w:val="clear" w:color="auto" w:fill="98A3B8"/>
          </w:tcPr>
          <w:p>
            <w:pPr>
              <w:ind w:left="80"/>
              <w:spacing w:after="0"/>
              <w:rPr>
                <w:sz w:val="20"/>
                <w:szCs w:val="20"/>
                <w:color w:val="auto"/>
              </w:rPr>
            </w:pPr>
            <w:r>
              <w:rPr>
                <w:rFonts w:ascii="Arial" w:cs="Arial" w:eastAsia="Arial" w:hAnsi="Arial"/>
                <w:sz w:val="15"/>
                <w:szCs w:val="15"/>
                <w:b w:val="1"/>
                <w:bCs w:val="1"/>
                <w:color w:val="325889"/>
              </w:rPr>
              <w:t xml:space="preserve">89% </w:t>
            </w:r>
            <w:r>
              <w:rPr>
                <w:rFonts w:ascii="Arial" w:cs="Arial" w:eastAsia="Arial" w:hAnsi="Arial"/>
                <w:sz w:val="15"/>
                <w:szCs w:val="15"/>
                <w:color w:val="325889"/>
              </w:rPr>
              <w:t>of our Board have served as CEO or in senior</w:t>
            </w:r>
          </w:p>
        </w:tc>
        <w:tc>
          <w:tcPr>
            <w:tcW w:w="20" w:type="dxa"/>
            <w:vAlign w:val="bottom"/>
          </w:tcPr>
          <w:p>
            <w:pPr>
              <w:spacing w:after="0"/>
              <w:rPr>
                <w:sz w:val="24"/>
                <w:szCs w:val="24"/>
                <w:color w:val="auto"/>
              </w:rPr>
            </w:pPr>
          </w:p>
        </w:tc>
      </w:tr>
      <w:tr>
        <w:trPr>
          <w:trHeight w:val="175"/>
        </w:trPr>
        <w:tc>
          <w:tcPr>
            <w:tcW w:w="3540" w:type="dxa"/>
            <w:vAlign w:val="bottom"/>
            <w:shd w:val="clear" w:color="auto" w:fill="98A3B8"/>
          </w:tcPr>
          <w:p>
            <w:pPr>
              <w:ind w:left="100"/>
              <w:spacing w:after="0"/>
              <w:rPr>
                <w:sz w:val="20"/>
                <w:szCs w:val="20"/>
                <w:color w:val="auto"/>
              </w:rPr>
            </w:pPr>
            <w:r>
              <w:rPr>
                <w:rFonts w:ascii="Arial" w:cs="Arial" w:eastAsia="Arial" w:hAnsi="Arial"/>
                <w:sz w:val="15"/>
                <w:szCs w:val="15"/>
                <w:color w:val="325889"/>
              </w:rPr>
              <w:t>women</w:t>
            </w:r>
          </w:p>
        </w:tc>
        <w:tc>
          <w:tcPr>
            <w:tcW w:w="4020" w:type="dxa"/>
            <w:vAlign w:val="bottom"/>
            <w:shd w:val="clear" w:color="auto" w:fill="98A3B8"/>
          </w:tcPr>
          <w:p>
            <w:pPr>
              <w:ind w:left="160"/>
              <w:spacing w:after="0"/>
              <w:rPr>
                <w:sz w:val="20"/>
                <w:szCs w:val="20"/>
                <w:color w:val="auto"/>
              </w:rPr>
            </w:pPr>
            <w:r>
              <w:rPr>
                <w:rFonts w:ascii="Arial" w:cs="Arial" w:eastAsia="Arial" w:hAnsi="Arial"/>
                <w:sz w:val="15"/>
                <w:szCs w:val="15"/>
                <w:color w:val="325889"/>
              </w:rPr>
              <w:t>publicly traded companies</w:t>
            </w:r>
          </w:p>
        </w:tc>
        <w:tc>
          <w:tcPr>
            <w:tcW w:w="3880" w:type="dxa"/>
            <w:vAlign w:val="bottom"/>
            <w:shd w:val="clear" w:color="auto" w:fill="98A3B8"/>
          </w:tcPr>
          <w:p>
            <w:pPr>
              <w:ind w:left="80"/>
              <w:spacing w:after="0"/>
              <w:rPr>
                <w:sz w:val="20"/>
                <w:szCs w:val="20"/>
                <w:color w:val="auto"/>
              </w:rPr>
            </w:pPr>
            <w:r>
              <w:rPr>
                <w:rFonts w:ascii="Arial" w:cs="Arial" w:eastAsia="Arial" w:hAnsi="Arial"/>
                <w:sz w:val="15"/>
                <w:szCs w:val="15"/>
                <w:color w:val="325889"/>
              </w:rPr>
              <w:t>leadership positions</w:t>
            </w:r>
          </w:p>
        </w:tc>
        <w:tc>
          <w:tcPr>
            <w:tcW w:w="20" w:type="dxa"/>
            <w:vAlign w:val="bottom"/>
          </w:tcPr>
          <w:p>
            <w:pPr>
              <w:spacing w:after="0"/>
              <w:rPr>
                <w:sz w:val="15"/>
                <w:szCs w:val="15"/>
                <w:color w:val="auto"/>
              </w:rPr>
            </w:pPr>
          </w:p>
        </w:tc>
      </w:tr>
      <w:tr>
        <w:trPr>
          <w:trHeight w:val="592"/>
        </w:trPr>
        <w:tc>
          <w:tcPr>
            <w:tcW w:w="35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900" w:type="dxa"/>
            <w:vAlign w:val="bottom"/>
            <w:gridSpan w:val="2"/>
          </w:tcPr>
          <w:p>
            <w:pPr>
              <w:ind w:left="2100"/>
              <w:spacing w:after="0"/>
              <w:rPr>
                <w:sz w:val="20"/>
                <w:szCs w:val="20"/>
                <w:color w:val="auto"/>
              </w:rPr>
            </w:pPr>
            <w:r>
              <w:rPr>
                <w:rFonts w:ascii="Arial" w:cs="Arial" w:eastAsia="Arial" w:hAnsi="Arial"/>
                <w:sz w:val="15"/>
                <w:szCs w:val="15"/>
                <w:color w:val="auto"/>
              </w:rPr>
              <w:t xml:space="preserve">2017 Proxy Statement </w:t>
            </w:r>
            <w:r>
              <w:rPr>
                <w:rFonts w:ascii="Arial" w:cs="Arial" w:eastAsia="Arial" w:hAnsi="Arial"/>
                <w:sz w:val="15"/>
                <w:szCs w:val="15"/>
                <w:color w:val="325889"/>
              </w:rPr>
              <w:t>11</w:t>
            </w:r>
          </w:p>
        </w:tc>
      </w:tr>
      <w:tr>
        <w:trPr>
          <w:trHeight w:val="187"/>
        </w:trPr>
        <w:tc>
          <w:tcPr>
            <w:tcW w:w="3540" w:type="dxa"/>
            <w:vAlign w:val="bottom"/>
            <w:tcBorders>
              <w:bottom w:val="single" w:sz="8" w:color="808080"/>
            </w:tcBorders>
          </w:tcPr>
          <w:p>
            <w:pPr>
              <w:spacing w:after="0"/>
              <w:rPr>
                <w:sz w:val="16"/>
                <w:szCs w:val="16"/>
                <w:color w:val="auto"/>
              </w:rPr>
            </w:pPr>
          </w:p>
        </w:tc>
        <w:tc>
          <w:tcPr>
            <w:tcW w:w="4020" w:type="dxa"/>
            <w:vAlign w:val="bottom"/>
            <w:tcBorders>
              <w:bottom w:val="single" w:sz="8" w:color="808080"/>
            </w:tcBorders>
          </w:tcPr>
          <w:p>
            <w:pPr>
              <w:spacing w:after="0"/>
              <w:rPr>
                <w:sz w:val="16"/>
                <w:szCs w:val="16"/>
                <w:color w:val="auto"/>
              </w:rPr>
            </w:pPr>
          </w:p>
        </w:tc>
        <w:tc>
          <w:tcPr>
            <w:tcW w:w="388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-1960880</wp:posOffset>
            </wp:positionV>
            <wp:extent cx="712025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20255" cy="7620"/>
                    </a:xfrm>
                    <a:prstGeom prst="rect">
                      <a:avLst/>
                    </a:prstGeom>
                    <a:noFill/>
                  </pic:spPr>
                </pic:pic>
              </a:graphicData>
            </a:graphic>
          </wp:anchor>
        </w:drawing>
        <w:drawing>
          <wp:anchor simplePos="0" relativeHeight="251657728" behindDoc="1" locked="0" layoutInCell="0" allowOverlap="1">
            <wp:simplePos x="0" y="0"/>
            <wp:positionH relativeFrom="column">
              <wp:posOffset>7265035</wp:posOffset>
            </wp:positionH>
            <wp:positionV relativeFrom="paragraph">
              <wp:posOffset>-13335</wp:posOffset>
            </wp:positionV>
            <wp:extent cx="1270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1270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-1380490</wp:posOffset>
            </wp:positionV>
            <wp:extent cx="436880" cy="647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36880" cy="647700"/>
                    </a:xfrm>
                    <a:prstGeom prst="rect">
                      <a:avLst/>
                    </a:prstGeom>
                    <a:noFill/>
                  </pic:spPr>
                </pic:pic>
              </a:graphicData>
            </a:graphic>
          </wp:anchor>
        </w:drawing>
        <w:drawing>
          <wp:anchor simplePos="0" relativeHeight="251657728" behindDoc="1" locked="0" layoutInCell="0" allowOverlap="1">
            <wp:simplePos x="0" y="0"/>
            <wp:positionH relativeFrom="column">
              <wp:posOffset>2347595</wp:posOffset>
            </wp:positionH>
            <wp:positionV relativeFrom="paragraph">
              <wp:posOffset>-1606550</wp:posOffset>
            </wp:positionV>
            <wp:extent cx="949325" cy="7385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49325" cy="738505"/>
                    </a:xfrm>
                    <a:prstGeom prst="rect">
                      <a:avLst/>
                    </a:prstGeom>
                    <a:noFill/>
                  </pic:spPr>
                </pic:pic>
              </a:graphicData>
            </a:graphic>
          </wp:anchor>
        </w:drawing>
        <w:drawing>
          <wp:anchor simplePos="0" relativeHeight="251657728" behindDoc="1" locked="0" layoutInCell="0" allowOverlap="1">
            <wp:simplePos x="0" y="0"/>
            <wp:positionH relativeFrom="column">
              <wp:posOffset>4856480</wp:posOffset>
            </wp:positionH>
            <wp:positionV relativeFrom="paragraph">
              <wp:posOffset>-1493520</wp:posOffset>
            </wp:positionV>
            <wp:extent cx="760730" cy="7461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0730" cy="746125"/>
                    </a:xfrm>
                    <a:prstGeom prst="rect">
                      <a:avLst/>
                    </a:prstGeom>
                    <a:noFill/>
                  </pic:spPr>
                </pic:pic>
              </a:graphicData>
            </a:graphic>
          </wp:anchor>
        </w:drawing>
      </w:r>
    </w:p>
    <w:p>
      <w:pPr>
        <w:sectPr>
          <w:pgSz w:w="11900" w:h="16838" w:orient="portrait"/>
          <w:cols w:equalWidth="0" w:num="1">
            <w:col w:w="11460"/>
          </w:cols>
          <w:pgMar w:left="240" w:top="528" w:right="199" w:bottom="1440" w:gutter="0" w:footer="0" w:header="0"/>
        </w:sectPr>
      </w:pPr>
    </w:p>
    <w:bookmarkStart w:id="13" w:name="page14"/>
    <w:bookmarkEnd w:id="13"/>
    <w:p>
      <w:pPr>
        <w:ind w:left="5"/>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ind w:left="5"/>
        <w:spacing w:after="0"/>
        <w:rPr>
          <w:sz w:val="20"/>
          <w:szCs w:val="20"/>
          <w:color w:val="auto"/>
        </w:rPr>
      </w:pPr>
      <w:r>
        <w:rPr>
          <w:rFonts w:ascii="Arial" w:cs="Arial" w:eastAsia="Arial" w:hAnsi="Arial"/>
          <w:sz w:val="15"/>
          <w:szCs w:val="15"/>
          <w:u w:val="single" w:color="auto"/>
          <w:color w:val="325889"/>
        </w:rPr>
        <w:t>OUR BOARD OF DIRECTORS AND CORPORATE GOVERNANCE</w:t>
      </w:r>
    </w:p>
    <w:p>
      <w:pPr>
        <w:spacing w:after="0" w:line="167"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325889"/>
        </w:rPr>
        <w:t>Identification of Director Candidates</w:t>
      </w:r>
    </w:p>
    <w:p>
      <w:pPr>
        <w:spacing w:after="0" w:line="212" w:lineRule="exact"/>
        <w:rPr>
          <w:sz w:val="20"/>
          <w:szCs w:val="20"/>
          <w:color w:val="auto"/>
        </w:rPr>
      </w:pPr>
    </w:p>
    <w:p>
      <w:pPr>
        <w:ind w:left="5" w:right="200"/>
        <w:spacing w:after="0" w:line="256" w:lineRule="auto"/>
        <w:rPr>
          <w:sz w:val="20"/>
          <w:szCs w:val="20"/>
          <w:color w:val="auto"/>
        </w:rPr>
      </w:pPr>
      <w:r>
        <w:rPr>
          <w:rFonts w:ascii="Arial" w:cs="Arial" w:eastAsia="Arial" w:hAnsi="Arial"/>
          <w:sz w:val="15"/>
          <w:szCs w:val="15"/>
          <w:color w:val="auto"/>
        </w:rPr>
        <w:t>Our Nominating and Corporate Governance Committee assists the Board in identifying and reviewing director candidates to determine whether they qualify for membership on the Board and recommends director nominees to the Board to be considered for election at our annual meeting of stockholders. Our Nominating and Corporate Governance Committee adopted a written policy on the criteria and process of identifying and reviewing director candidates.</w:t>
      </w:r>
    </w:p>
    <w:p>
      <w:pPr>
        <w:spacing w:after="0" w:line="172" w:lineRule="exact"/>
        <w:rPr>
          <w:sz w:val="20"/>
          <w:szCs w:val="20"/>
          <w:color w:val="auto"/>
        </w:rPr>
      </w:pPr>
    </w:p>
    <w:p>
      <w:pPr>
        <w:ind w:left="5" w:right="120"/>
        <w:spacing w:after="0" w:line="256" w:lineRule="auto"/>
        <w:rPr>
          <w:sz w:val="20"/>
          <w:szCs w:val="20"/>
          <w:color w:val="auto"/>
        </w:rPr>
      </w:pPr>
      <w:r>
        <w:rPr>
          <w:rFonts w:ascii="Arial" w:cs="Arial" w:eastAsia="Arial" w:hAnsi="Arial"/>
          <w:sz w:val="15"/>
          <w:szCs w:val="15"/>
          <w:color w:val="auto"/>
        </w:rPr>
        <w:t>Each director candidate must have (1) education and experience that provides knowledge of business, financial, governmental or legal matters that are relevant to the Company’s business or to its status as a publicly owned company, (2) an unblemished reputation for integrity, (3) a reputation for exercising good business judgment and (4) sufficient available time to be able to fulfill his or her responsibilities as a member of the Board and of any committees to which he or she may be appointed.</w:t>
      </w:r>
    </w:p>
    <w:p>
      <w:pPr>
        <w:spacing w:after="0" w:line="172" w:lineRule="exact"/>
        <w:rPr>
          <w:sz w:val="20"/>
          <w:szCs w:val="20"/>
          <w:color w:val="auto"/>
        </w:rPr>
      </w:pPr>
    </w:p>
    <w:p>
      <w:pPr>
        <w:ind w:left="5" w:right="60"/>
        <w:spacing w:after="0" w:line="249" w:lineRule="auto"/>
        <w:rPr>
          <w:sz w:val="20"/>
          <w:szCs w:val="20"/>
          <w:color w:val="auto"/>
        </w:rPr>
      </w:pPr>
      <w:r>
        <w:rPr>
          <w:rFonts w:ascii="Arial" w:cs="Arial" w:eastAsia="Arial" w:hAnsi="Arial"/>
          <w:sz w:val="15"/>
          <w:szCs w:val="15"/>
          <w:color w:val="auto"/>
        </w:rPr>
        <w:t>In making recommendations to the Board, our Nominating and Corporate Governance Committee considers such factors as it deems appropriate. These factors may include judgment, skill, diversity (including diversity of knowledge, skills, professional experience, education, expertise and representation in industries relevant to the Company), ability to bring new perspectives and add to Board discussion and consideration, experience with businesses and other organizations comparable to the Company (including experience managing public companies, marketing experience or experience determining compensation of officers of public companies), the interplay of the candidate’s experience with the experience of other Board members, the candidate’s industry knowledge and experience, the ability of a nominee to devote sufficient time to the affairs of the Company, any actual or potential conflicts of interest and whether the candidate meets the NYSE independence criteria, the extent to which the candidate generally would be a desirable addition to the Board and any committees of the Board, qualifications to serve on appropriate Board committees (including financial acumen), technological literacy, strategic insight, familiarity with desired markets or regions, ability to make independent and analytical judgments, ability to introduce the Company to business or other opportunities, reputation in the corporate governance community, personal rapport with senior officers of the Company, risk management skills and effective communication skills. Such matters are considered in light of the skills, qualifications and diversity of the other members of the Board.</w:t>
      </w:r>
    </w:p>
    <w:p>
      <w:pPr>
        <w:spacing w:after="0" w:line="358" w:lineRule="exact"/>
        <w:rPr>
          <w:sz w:val="20"/>
          <w:szCs w:val="20"/>
          <w:color w:val="auto"/>
        </w:rPr>
      </w:pPr>
    </w:p>
    <w:p>
      <w:pPr>
        <w:ind w:left="5" w:right="40"/>
        <w:spacing w:after="0" w:line="265" w:lineRule="auto"/>
        <w:rPr>
          <w:sz w:val="20"/>
          <w:szCs w:val="20"/>
          <w:color w:val="auto"/>
        </w:rPr>
      </w:pPr>
      <w:r>
        <w:rPr>
          <w:rFonts w:ascii="Arial" w:cs="Arial" w:eastAsia="Arial" w:hAnsi="Arial"/>
          <w:sz w:val="15"/>
          <w:szCs w:val="15"/>
          <w:color w:val="auto"/>
        </w:rPr>
        <w:t>The Nominating and Corporate Governance Committee ensures that the potential nominee is not an employee or agent of and does not serve on the board of directors or similar managing body of any of our competitors and determines whether the potential nominee has an interest in any transactions to which we are a party.</w:t>
      </w:r>
    </w:p>
    <w:p>
      <w:pPr>
        <w:spacing w:after="0" w:line="165" w:lineRule="exact"/>
        <w:rPr>
          <w:sz w:val="20"/>
          <w:szCs w:val="20"/>
          <w:color w:val="auto"/>
        </w:rPr>
      </w:pPr>
    </w:p>
    <w:p>
      <w:pPr>
        <w:ind w:left="5" w:right="20"/>
        <w:spacing w:after="0" w:line="253" w:lineRule="auto"/>
        <w:rPr>
          <w:sz w:val="20"/>
          <w:szCs w:val="20"/>
          <w:color w:val="auto"/>
        </w:rPr>
      </w:pPr>
      <w:r>
        <w:rPr>
          <w:rFonts w:ascii="Arial" w:cs="Arial" w:eastAsia="Arial" w:hAnsi="Arial"/>
          <w:sz w:val="15"/>
          <w:szCs w:val="15"/>
          <w:color w:val="auto"/>
        </w:rPr>
        <w:t>Prior to a vote as to whether a potential nominee is recommended to the Board of Directors, each member of the Nominating and Corporate Governance Committee is provided access to such potential nominee. Such access includes an opportunity to interview such potential nominee in person or by telephone and to submit questions to such potential candidate. In addition, each potential nominee provides the Nominating and Corporate Governance Committee with a written detailed biography and other requested information.</w:t>
      </w:r>
    </w:p>
    <w:p>
      <w:pPr>
        <w:spacing w:after="0" w:line="174" w:lineRule="exact"/>
        <w:rPr>
          <w:sz w:val="20"/>
          <w:szCs w:val="20"/>
          <w:color w:val="auto"/>
        </w:rPr>
      </w:pPr>
    </w:p>
    <w:p>
      <w:pPr>
        <w:ind w:left="5" w:right="40"/>
        <w:spacing w:after="0" w:line="265" w:lineRule="auto"/>
        <w:rPr>
          <w:sz w:val="20"/>
          <w:szCs w:val="20"/>
          <w:color w:val="auto"/>
        </w:rPr>
      </w:pPr>
      <w:r>
        <w:rPr>
          <w:rFonts w:ascii="Arial" w:cs="Arial" w:eastAsia="Arial" w:hAnsi="Arial"/>
          <w:sz w:val="15"/>
          <w:szCs w:val="15"/>
          <w:color w:val="auto"/>
        </w:rPr>
        <w:t>Our Nominating and Corporate Governance Committee solicits and considers suggestions of our directors or management regarding possible nominees. Our Nominating and Corporate Governance Committee also may procure the services of outside sources or third parties to assist in the identification of director candidates.</w:t>
      </w:r>
    </w:p>
    <w:p>
      <w:pPr>
        <w:spacing w:after="0" w:line="165" w:lineRule="exact"/>
        <w:rPr>
          <w:sz w:val="20"/>
          <w:szCs w:val="20"/>
          <w:color w:val="auto"/>
        </w:rPr>
      </w:pPr>
    </w:p>
    <w:p>
      <w:pPr>
        <w:ind w:left="5" w:right="120"/>
        <w:spacing w:after="0" w:line="252" w:lineRule="auto"/>
        <w:rPr>
          <w:sz w:val="20"/>
          <w:szCs w:val="20"/>
          <w:color w:val="auto"/>
        </w:rPr>
      </w:pPr>
      <w:r>
        <w:rPr>
          <w:rFonts w:ascii="Arial" w:cs="Arial" w:eastAsia="Arial" w:hAnsi="Arial"/>
          <w:sz w:val="15"/>
          <w:szCs w:val="15"/>
          <w:color w:val="auto"/>
        </w:rPr>
        <w:t>Our Nominating and Corporate Governance Committee may consider director candidates recommended by our stockholders. Our Nominating and Corporate Governance Committee will apply the same standards in considering candidates submitted by stockholders as it does in evaluating candidates submitted by members of the Board. Any recommendations by stockholders are to follow the procedures outlined under “Other Information—Other Matters—Stockholder Proposals and Nominations” in this proxy statement and should provide the reasons supporting a candidate’s recommendation, the candidate’s qualifications and the candidate’s written consent to being considered as a director nominee.</w:t>
      </w:r>
    </w:p>
    <w:p>
      <w:pPr>
        <w:spacing w:after="0" w:line="174" w:lineRule="exact"/>
        <w:rPr>
          <w:sz w:val="20"/>
          <w:szCs w:val="20"/>
          <w:color w:val="auto"/>
        </w:rPr>
      </w:pPr>
    </w:p>
    <w:p>
      <w:pPr>
        <w:ind w:left="5"/>
        <w:spacing w:after="0" w:line="251" w:lineRule="auto"/>
        <w:rPr>
          <w:sz w:val="20"/>
          <w:szCs w:val="20"/>
          <w:color w:val="auto"/>
        </w:rPr>
      </w:pPr>
      <w:r>
        <w:rPr>
          <w:rFonts w:ascii="Arial" w:cs="Arial" w:eastAsia="Arial" w:hAnsi="Arial"/>
          <w:sz w:val="15"/>
          <w:szCs w:val="15"/>
          <w:color w:val="auto"/>
        </w:rPr>
        <w:t>In connection with the identification and review of director candidates and related matters, FTI Consulting, Inc., or FTI Consulting, provides services to us that include actively working with the Chairman of the Board, the Lead Independent Director and our Chief Executive Officer in reviewing governance issues, specific board member roles and responsibilities and committee assignments. FTI Consulting also assists us in the initial search, screening, interviewing and vetting of potential new directors and worked closely with our Nominating and Corporate Governance Committee in connection with the recent additions of Craig Hatkoff in 2011, Betsy Atkins in 2015 (who was initially recommended for consideration by our Chief Executive Officer and has been nominated for re-election at the annual meeting) and Lauren Dillard in 2016.</w:t>
      </w:r>
    </w:p>
    <w:p>
      <w:pPr>
        <w:spacing w:after="0" w:line="356" w:lineRule="exact"/>
        <w:rPr>
          <w:sz w:val="20"/>
          <w:szCs w:val="20"/>
          <w:color w:val="auto"/>
        </w:rPr>
      </w:pPr>
    </w:p>
    <w:p>
      <w:pPr>
        <w:ind w:left="265" w:hanging="265"/>
        <w:spacing w:after="0"/>
        <w:tabs>
          <w:tab w:leader="none" w:pos="265" w:val="left"/>
        </w:tabs>
        <w:numPr>
          <w:ilvl w:val="0"/>
          <w:numId w:val="12"/>
        </w:numPr>
        <w:rPr>
          <w:rFonts w:ascii="Arial" w:cs="Arial" w:eastAsia="Arial" w:hAnsi="Arial"/>
          <w:sz w:val="15"/>
          <w:szCs w:val="15"/>
          <w:color w:val="325889"/>
        </w:rPr>
      </w:pPr>
      <w:r>
        <w:rPr>
          <w:rFonts w:ascii="Arial" w:cs="Arial" w:eastAsia="Arial" w:hAnsi="Arial"/>
          <w:sz w:val="15"/>
          <w:szCs w:val="15"/>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83450" cy="20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25"/>
          </w:cols>
          <w:pgMar w:left="235" w:top="528" w:right="239" w:bottom="1440" w:gutter="0" w:footer="0" w:header="0"/>
        </w:sectPr>
      </w:pPr>
    </w:p>
    <w:bookmarkStart w:id="14" w:name="page15"/>
    <w:bookmarkEnd w:id="14"/>
    <w:p>
      <w:pPr>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325889"/>
        </w:rPr>
        <w:t>OUR BOARD OF DIRECTORS AND CORPORATE GOVERNANCE</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Structure and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22225</wp:posOffset>
            </wp:positionV>
            <wp:extent cx="726313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325889"/>
        </w:rPr>
        <w:t>Board Structure</w:t>
      </w:r>
    </w:p>
    <w:p>
      <w:pPr>
        <w:spacing w:after="0" w:line="212" w:lineRule="exact"/>
        <w:rPr>
          <w:sz w:val="20"/>
          <w:szCs w:val="20"/>
          <w:color w:val="auto"/>
        </w:rPr>
      </w:pPr>
    </w:p>
    <w:p>
      <w:pPr>
        <w:ind w:right="280"/>
        <w:spacing w:after="0" w:line="265" w:lineRule="auto"/>
        <w:rPr>
          <w:sz w:val="20"/>
          <w:szCs w:val="20"/>
          <w:color w:val="auto"/>
        </w:rPr>
      </w:pPr>
      <w:r>
        <w:rPr>
          <w:rFonts w:ascii="Arial" w:cs="Arial" w:eastAsia="Arial" w:hAnsi="Arial"/>
          <w:sz w:val="15"/>
          <w:szCs w:val="15"/>
          <w:color w:val="auto"/>
        </w:rPr>
        <w:t>The Board currently consists of nine members and is divided into three classes. Directors in each class serve for a term of three years and until their successors are duly elected and qualify. The term of directors of one class expires at each annual meeting of stockholders.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325889"/>
        </w:rPr>
        <w:t>Board Leadership Structure; Lead Independent Director</w:t>
      </w:r>
    </w:p>
    <w:p>
      <w:pPr>
        <w:spacing w:after="0" w:line="212" w:lineRule="exact"/>
        <w:rPr>
          <w:sz w:val="20"/>
          <w:szCs w:val="20"/>
          <w:color w:val="auto"/>
        </w:rPr>
      </w:pPr>
    </w:p>
    <w:p>
      <w:pPr>
        <w:ind w:right="140"/>
        <w:spacing w:after="0" w:line="253" w:lineRule="auto"/>
        <w:rPr>
          <w:sz w:val="20"/>
          <w:szCs w:val="20"/>
          <w:color w:val="auto"/>
        </w:rPr>
      </w:pPr>
      <w:r>
        <w:rPr>
          <w:rFonts w:ascii="Arial" w:cs="Arial" w:eastAsia="Arial" w:hAnsi="Arial"/>
          <w:sz w:val="15"/>
          <w:szCs w:val="15"/>
          <w:color w:val="auto"/>
        </w:rPr>
        <w:t>As noted above, the Board currently is comprised of six independent and three employee directors. Mr. Green has served as Chairman of the Board since 1997 and serves as an executive officer. The Board has appointed Mr. Alschuler, one of the independent directors, as Lead Independent Director. We believe that the number of independent, experienced directors that make up the Board, along with the independent oversight of our Lead Independent Director, benefits the Company and its stockholders.</w:t>
      </w:r>
    </w:p>
    <w:p>
      <w:pPr>
        <w:spacing w:after="0" w:line="174" w:lineRule="exact"/>
        <w:rPr>
          <w:sz w:val="20"/>
          <w:szCs w:val="20"/>
          <w:color w:val="auto"/>
        </w:rPr>
      </w:pPr>
    </w:p>
    <w:p>
      <w:pPr>
        <w:spacing w:after="0" w:line="253" w:lineRule="auto"/>
        <w:rPr>
          <w:sz w:val="20"/>
          <w:szCs w:val="20"/>
          <w:color w:val="auto"/>
        </w:rPr>
      </w:pPr>
      <w:r>
        <w:rPr>
          <w:rFonts w:ascii="Arial" w:cs="Arial" w:eastAsia="Arial" w:hAnsi="Arial"/>
          <w:sz w:val="15"/>
          <w:szCs w:val="15"/>
          <w:color w:val="auto"/>
        </w:rPr>
        <w:t>We recognize that different board leadership structures may be appropriate for companies in different situations, and that no one structure is suitable for all companies. Our current Board leadership structure is optimal for us because it demonstrates to our employees and other stakeholders that the Company is under strong leadership, coordinated closely between a separate Chief Executive Officer and Chairman of the Board. In our judgment, the Company, like many companies, has been well-served by this leadership structure.</w:t>
      </w:r>
    </w:p>
    <w:p>
      <w:pPr>
        <w:spacing w:after="0" w:line="174" w:lineRule="exact"/>
        <w:rPr>
          <w:sz w:val="20"/>
          <w:szCs w:val="20"/>
          <w:color w:val="auto"/>
        </w:rPr>
      </w:pPr>
    </w:p>
    <w:p>
      <w:pPr>
        <w:spacing w:after="0" w:line="249" w:lineRule="auto"/>
        <w:rPr>
          <w:sz w:val="20"/>
          <w:szCs w:val="20"/>
          <w:color w:val="auto"/>
        </w:rPr>
      </w:pPr>
      <w:r>
        <w:rPr>
          <w:rFonts w:ascii="Arial" w:cs="Arial" w:eastAsia="Arial" w:hAnsi="Arial"/>
          <w:sz w:val="15"/>
          <w:szCs w:val="15"/>
          <w:color w:val="auto"/>
        </w:rPr>
        <w:t>To facilitate the role of the independent directors, the Board determined that it is appropriate for the independent directors to appoint one independent director to serve as Lead Independent Director. In addition to presiding at executive sessions of independent directors, the Lead Independent Director has the responsibility to: (1) consult with the Chief Executive Officer as to an appropriate schedule and agenda for each Board meeting, seeking to ensure that the independent directors can perform their duties effectively and responsibly, (2) ensure the independent directors have adequate resources, especially by way of full, timely and relevant information to support their decision making, (3) advise the Chief Executive Officer as to the quality, quantity and timeliness of the information submitted by the Company’s management that is necessary or appropriate for the independent directors to effectively and responsibly perform their duties, (4) recommend to the Board and the Board Committees the retention of advisers and consultants who report directly to the Board, (5) ensure that independent directors have adequate opportunities to meet and discuss issues in sessions of the independent directors without management present and, as appropriate, call meetings of the Independent Directors, (6) serve as Chairman of the sessions of the independent directors, (7) serve as principal liaison between the independent directors and the Chief Executive Officer of the Company and between the independent directors and senior management, (8) communicate to management, as appropriate, the results of private discussions among independent directors, (9) chair the meetings of the Board when the Chairman is not present, (10) with respect to questions and comments directed to the Lead Independent Director or to the independent directors as a group, determine the appropriate means of response, with such consultation with the Chief Executive Officer and other directors as the Lead Independent Director may deem appropriate and (11) perform such other duties as the Board from time to time may delegate. Mr. Alschuler serves as the Lead Independent Director.</w:t>
      </w:r>
    </w:p>
    <w:p>
      <w:pPr>
        <w:spacing w:after="0" w:line="355" w:lineRule="exact"/>
        <w:rPr>
          <w:sz w:val="20"/>
          <w:szCs w:val="20"/>
          <w:color w:val="auto"/>
        </w:rPr>
      </w:pPr>
    </w:p>
    <w:p>
      <w:pPr>
        <w:ind w:right="60"/>
        <w:spacing w:after="0" w:line="252" w:lineRule="auto"/>
        <w:rPr>
          <w:sz w:val="20"/>
          <w:szCs w:val="20"/>
          <w:color w:val="auto"/>
        </w:rPr>
      </w:pPr>
      <w:r>
        <w:rPr>
          <w:rFonts w:ascii="Arial" w:cs="Arial" w:eastAsia="Arial" w:hAnsi="Arial"/>
          <w:sz w:val="15"/>
          <w:szCs w:val="15"/>
          <w:color w:val="auto"/>
        </w:rPr>
        <w:t>Throughout the year, the Board discusses corporate governance practices with stockholders and third party advisers to ensure that the Board and its committees follow practices that are optimal for the Company and its stockholders while also delivering superior total return. As part of this process, the Board conducts an annual evaluation in order to determine whether it and its committees function effectively, with independent directors meeting separately with outside counsel. The discussion with stockholders, as well as the evaluations, are the basis for the Board’s annual review of possible changes to the Company’s corporate governance practices. Our Governance Principles provide the flexibility for the Board to modify our leadership structure as the Board deems appropriate.</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325889"/>
        </w:rPr>
        <w:t>Director Independence</w:t>
      </w:r>
    </w:p>
    <w:p>
      <w:pPr>
        <w:spacing w:after="0" w:line="212" w:lineRule="exact"/>
        <w:rPr>
          <w:sz w:val="20"/>
          <w:szCs w:val="20"/>
          <w:color w:val="auto"/>
        </w:rPr>
      </w:pPr>
    </w:p>
    <w:p>
      <w:pPr>
        <w:ind w:right="120"/>
        <w:spacing w:after="0" w:line="250" w:lineRule="auto"/>
        <w:rPr>
          <w:sz w:val="20"/>
          <w:szCs w:val="20"/>
          <w:color w:val="auto"/>
        </w:rPr>
      </w:pPr>
      <w:r>
        <w:rPr>
          <w:rFonts w:ascii="Arial" w:cs="Arial" w:eastAsia="Arial" w:hAnsi="Arial"/>
          <w:sz w:val="15"/>
          <w:szCs w:val="15"/>
          <w:color w:val="auto"/>
        </w:rPr>
        <w:t>Our Governance Principles provide that a majority of our directors serving on the Board must be independent as required by the listing standards of the NYSE and the applicable rules promulgated by the SEC. In addition, the Board adopted director independence standards that assist the Board in making its determinations with respect to the independence of directors. The Board determined affirmatively, based upon its review of all relevant facts and circumstances and after considering all applicable relationships of which the Board had knowledge, between or among the directors and the Company or our management (some of such relationships are described in the section of this proxy statement entitled “Certain Relationships and Related Party Transactions”), that each of the following directors and director nominees has no direct or indirect material relationship with us and is independent under the listing standards of the NYSE, the applicable rules promulgated by the SEC and our director independence</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2017 Proxy Statement </w:t>
      </w:r>
      <w:r>
        <w:rPr>
          <w:rFonts w:ascii="Arial" w:cs="Arial" w:eastAsia="Arial" w:hAnsi="Arial"/>
          <w:sz w:val="15"/>
          <w:szCs w:val="15"/>
          <w:color w:val="325889"/>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83450" cy="20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0"/>
          </w:cols>
          <w:pgMar w:left="240" w:top="528" w:right="219" w:bottom="1440" w:gutter="0" w:footer="0" w:header="0"/>
        </w:sectPr>
      </w:pPr>
    </w:p>
    <w:bookmarkStart w:id="15" w:name="page16"/>
    <w:bookmarkEnd w:id="15"/>
    <w:p>
      <w:pPr>
        <w:ind w:left="5"/>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ind w:left="5"/>
        <w:spacing w:after="0"/>
        <w:rPr>
          <w:sz w:val="20"/>
          <w:szCs w:val="20"/>
          <w:color w:val="auto"/>
        </w:rPr>
      </w:pPr>
      <w:r>
        <w:rPr>
          <w:rFonts w:ascii="Arial" w:cs="Arial" w:eastAsia="Arial" w:hAnsi="Arial"/>
          <w:sz w:val="15"/>
          <w:szCs w:val="15"/>
          <w:u w:val="single" w:color="auto"/>
          <w:color w:val="325889"/>
        </w:rPr>
        <w:t>OUR BOARD OF DIRECTORS AND CORPORATE GOVERNANCE</w:t>
      </w:r>
    </w:p>
    <w:p>
      <w:pPr>
        <w:spacing w:after="0" w:line="195" w:lineRule="exact"/>
        <w:rPr>
          <w:sz w:val="20"/>
          <w:szCs w:val="20"/>
          <w:color w:val="auto"/>
        </w:rPr>
      </w:pPr>
    </w:p>
    <w:p>
      <w:pPr>
        <w:ind w:left="5"/>
        <w:spacing w:after="0" w:line="256" w:lineRule="auto"/>
        <w:rPr>
          <w:sz w:val="20"/>
          <w:szCs w:val="20"/>
          <w:color w:val="auto"/>
        </w:rPr>
      </w:pPr>
      <w:r>
        <w:rPr>
          <w:rFonts w:ascii="Arial" w:cs="Arial" w:eastAsia="Arial" w:hAnsi="Arial"/>
          <w:sz w:val="15"/>
          <w:szCs w:val="15"/>
          <w:color w:val="auto"/>
        </w:rPr>
        <w:t>standards: Mses. Betsy Atkins and Lauren B. Dillard and Messrs. Edwin T. Burton, III, John H. Alschuler, John S. Levy and Craig M. Hatkoff. The Board has determined that Messrs. Steven L. Green, Marc Holliday and Andrew W. Mathias, our three other directors, are not independent because they are also executive officers of the Company.</w:t>
      </w:r>
    </w:p>
    <w:p>
      <w:pPr>
        <w:spacing w:after="0" w:line="144"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325889"/>
        </w:rPr>
        <w:t>Executive Sessions of Non-Management Directors</w:t>
      </w:r>
    </w:p>
    <w:p>
      <w:pPr>
        <w:spacing w:after="0" w:line="212" w:lineRule="exact"/>
        <w:rPr>
          <w:sz w:val="20"/>
          <w:szCs w:val="20"/>
          <w:color w:val="auto"/>
        </w:rPr>
      </w:pPr>
    </w:p>
    <w:p>
      <w:pPr>
        <w:ind w:left="5" w:right="120"/>
        <w:spacing w:after="0" w:line="256" w:lineRule="auto"/>
        <w:rPr>
          <w:sz w:val="20"/>
          <w:szCs w:val="20"/>
          <w:color w:val="auto"/>
        </w:rPr>
      </w:pPr>
      <w:r>
        <w:rPr>
          <w:rFonts w:ascii="Arial" w:cs="Arial" w:eastAsia="Arial" w:hAnsi="Arial"/>
          <w:sz w:val="15"/>
          <w:szCs w:val="15"/>
          <w:color w:val="auto"/>
        </w:rPr>
        <w:t>Our Governance Principles require the non-management directors serving on the Board to meet in an executive session at least annually without the presence of any directors or other persons who are part of our management. In accordance with such requirement, the independent directors, who currently comprise all of the non-management directors, meet in executive sessions from time to time on such a basis. The executive sessions are regularly chaired by our Lead Independent Director.</w:t>
      </w:r>
    </w:p>
    <w:p>
      <w:pPr>
        <w:spacing w:after="0" w:line="144"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325889"/>
        </w:rPr>
        <w:t>Communications with the Board</w:t>
      </w:r>
    </w:p>
    <w:p>
      <w:pPr>
        <w:spacing w:after="0" w:line="212" w:lineRule="exact"/>
        <w:rPr>
          <w:sz w:val="20"/>
          <w:szCs w:val="20"/>
          <w:color w:val="auto"/>
        </w:rPr>
      </w:pPr>
    </w:p>
    <w:p>
      <w:pPr>
        <w:ind w:left="5" w:right="100"/>
        <w:spacing w:after="0" w:line="253" w:lineRule="auto"/>
        <w:rPr>
          <w:sz w:val="20"/>
          <w:szCs w:val="20"/>
          <w:color w:val="auto"/>
        </w:rPr>
      </w:pPr>
      <w:r>
        <w:rPr>
          <w:rFonts w:ascii="Arial" w:cs="Arial" w:eastAsia="Arial" w:hAnsi="Arial"/>
          <w:sz w:val="15"/>
          <w:szCs w:val="15"/>
          <w:color w:val="auto"/>
        </w:rPr>
        <w:t>We have a process by which stockholders and/or other parties may communicate with the Board, individual directors (including the independent directors) or independent directors as a group. Any such communications may be sent to the Board or any named individual director (including the independent directors), by U.S. mail or overnight delivery and should be directed to Andrew S. Levine, Secretary, at SL Green Realty Corp., 420 Lexington Avenue, New York, New York 10170-1881. Mr. Levine forwards all such communications to the intended recipient or recipients. Any such communications may be made anonymously.</w:t>
      </w:r>
    </w:p>
    <w:p>
      <w:pPr>
        <w:spacing w:after="0" w:line="146"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325889"/>
        </w:rPr>
        <w:t>Director Attendance</w:t>
      </w:r>
    </w:p>
    <w:p>
      <w:pPr>
        <w:spacing w:after="0" w:line="212" w:lineRule="exact"/>
        <w:rPr>
          <w:sz w:val="20"/>
          <w:szCs w:val="20"/>
          <w:color w:val="auto"/>
        </w:rPr>
      </w:pPr>
    </w:p>
    <w:p>
      <w:pPr>
        <w:ind w:left="5" w:right="220"/>
        <w:spacing w:after="0" w:line="265" w:lineRule="auto"/>
        <w:rPr>
          <w:sz w:val="20"/>
          <w:szCs w:val="20"/>
          <w:color w:val="auto"/>
        </w:rPr>
      </w:pPr>
      <w:r>
        <w:rPr>
          <w:rFonts w:ascii="Arial" w:cs="Arial" w:eastAsia="Arial" w:hAnsi="Arial"/>
          <w:sz w:val="15"/>
          <w:szCs w:val="15"/>
          <w:color w:val="auto"/>
        </w:rPr>
        <w:t>The Board held six meetings and all directors attended 75% or more of the board of directors meetings and meetings of the committees on which they served during the periods they served during fiscal year 2016.</w:t>
      </w:r>
    </w:p>
    <w:p>
      <w:pPr>
        <w:spacing w:after="0" w:line="165" w:lineRule="exact"/>
        <w:rPr>
          <w:sz w:val="20"/>
          <w:szCs w:val="20"/>
          <w:color w:val="auto"/>
        </w:rPr>
      </w:pPr>
    </w:p>
    <w:p>
      <w:pPr>
        <w:ind w:left="5" w:right="240"/>
        <w:spacing w:after="0" w:line="265" w:lineRule="auto"/>
        <w:rPr>
          <w:sz w:val="20"/>
          <w:szCs w:val="20"/>
          <w:color w:val="auto"/>
        </w:rPr>
      </w:pPr>
      <w:r>
        <w:rPr>
          <w:rFonts w:ascii="Arial" w:cs="Arial" w:eastAsia="Arial" w:hAnsi="Arial"/>
          <w:sz w:val="15"/>
          <w:szCs w:val="15"/>
          <w:color w:val="auto"/>
        </w:rPr>
        <w:t>We encourage each member of the Board to attend each annual meeting of stockholders. Four of our directors attended the annual meeting of stockholders held on June 2, 2016.</w:t>
      </w:r>
    </w:p>
    <w:p>
      <w:pPr>
        <w:spacing w:after="0" w:line="112"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auto"/>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26313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5" w:right="140"/>
        <w:spacing w:after="0" w:line="252" w:lineRule="auto"/>
        <w:rPr>
          <w:sz w:val="20"/>
          <w:szCs w:val="20"/>
          <w:color w:val="auto"/>
        </w:rPr>
      </w:pPr>
      <w:r>
        <w:rPr>
          <w:rFonts w:ascii="Arial" w:cs="Arial" w:eastAsia="Arial" w:hAnsi="Arial"/>
          <w:sz w:val="15"/>
          <w:szCs w:val="15"/>
          <w:color w:val="auto"/>
        </w:rPr>
        <w:t>The Board has four standing committees: an Audit Committee, a Compensation Committee, a Nominating and Corporate Governance Committee and an Executive Committee. The current charters for each of the Audit Committee, Compensation Committee and Nominating and Corporate Governance Committee are available on our corporate website at www.slgreen.com under the “Investors—Corporate Governance” section. Further, we will provide a copy of these charters without charge to each stockholder upon written request. Requests for copies should be addressed to Andrew S. Levine, Secretary, at SL Green Realty Corp., 420 Lexington Avenue, New York, New York 10170-1881. From time to time, the Board also may create additional committees for such purposes as the Board may determine.</w:t>
      </w:r>
    </w:p>
    <w:p>
      <w:pPr>
        <w:spacing w:after="0" w:line="146"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325889"/>
        </w:rPr>
        <w:t>Audit Committee</w:t>
      </w:r>
    </w:p>
    <w:p>
      <w:pPr>
        <w:spacing w:after="0" w:line="212" w:lineRule="exact"/>
        <w:rPr>
          <w:sz w:val="20"/>
          <w:szCs w:val="20"/>
          <w:color w:val="auto"/>
        </w:rPr>
      </w:pPr>
    </w:p>
    <w:p>
      <w:pPr>
        <w:ind w:left="5" w:right="60"/>
        <w:spacing w:after="0" w:line="249" w:lineRule="auto"/>
        <w:rPr>
          <w:sz w:val="20"/>
          <w:szCs w:val="20"/>
          <w:color w:val="auto"/>
        </w:rPr>
      </w:pPr>
      <w:r>
        <w:rPr>
          <w:rFonts w:ascii="Arial" w:cs="Arial" w:eastAsia="Arial" w:hAnsi="Arial"/>
          <w:sz w:val="15"/>
          <w:szCs w:val="15"/>
          <w:color w:val="auto"/>
        </w:rPr>
        <w:t>Our Audit Committee consists of Edwin Thomas Burton, III (Chairman), Lauren B. Dillard and Craig M. Hatkoff, each of whom is “independent” within the meaning of the rules of the NYSE and the SEC and each of whom meets the financial literacy standard required by the rules of the NYSE. Our Audit Committee’s primary purpose is to select and appoint our independent registered public accounting firm and to assist the Board in its oversight of the integrity of the Company’s financial statements; the Company’s compliance with legal and regulatory requirements; the qualifications and independence of the registered public accounting firm employed by the Company for the audit of the Company’s financial statements; the performance of the people responsible for the Company’s internal audit function; and the performance of the Company’s independent registered public accounting firm. Our Audit Committee also prepares the report that the rules of the SEC require be included in this proxy statement and provides an open avenue of communication among the Company’s independent registered public accounting firm, its internal auditors, its management and the Board. Our management is responsible for the preparation, presentation and integrity of our financial statements and for the effectiveness of internal control over financial reporting. Management is responsible for maintaining appropriate accounting and financial reporting principles and policies and internal controls and procedures that provide for compliance with accounting standards and applicable laws and regulations. Our independent registered public accounting firm is responsible for planning and carrying out a proper audit of our annual financial statements prior to the filing of our Annual Report on Form 10-K, reviewing our quarterly financial statements prior to the filing of each Quarterly Report on Form 10-Q</w:t>
      </w:r>
    </w:p>
    <w:p>
      <w:pPr>
        <w:spacing w:after="0" w:line="178" w:lineRule="exact"/>
        <w:rPr>
          <w:sz w:val="20"/>
          <w:szCs w:val="20"/>
          <w:color w:val="auto"/>
        </w:rPr>
      </w:pPr>
    </w:p>
    <w:p>
      <w:pPr>
        <w:ind w:left="265" w:hanging="265"/>
        <w:spacing w:after="0"/>
        <w:tabs>
          <w:tab w:leader="none" w:pos="265" w:val="left"/>
        </w:tabs>
        <w:numPr>
          <w:ilvl w:val="0"/>
          <w:numId w:val="13"/>
        </w:numPr>
        <w:rPr>
          <w:rFonts w:ascii="Arial" w:cs="Arial" w:eastAsia="Arial" w:hAnsi="Arial"/>
          <w:sz w:val="15"/>
          <w:szCs w:val="15"/>
          <w:color w:val="325889"/>
        </w:rPr>
      </w:pPr>
      <w:r>
        <w:rPr>
          <w:rFonts w:ascii="Arial" w:cs="Arial" w:eastAsia="Arial" w:hAnsi="Arial"/>
          <w:sz w:val="15"/>
          <w:szCs w:val="15"/>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83450" cy="20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05"/>
          </w:cols>
          <w:pgMar w:left="235" w:top="528" w:right="259" w:bottom="1440" w:gutter="0" w:footer="0" w:header="0"/>
        </w:sectPr>
      </w:pPr>
    </w:p>
    <w:bookmarkStart w:id="16" w:name="page17"/>
    <w:bookmarkEnd w:id="16"/>
    <w:p>
      <w:pPr>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ind w:left="6780"/>
        <w:spacing w:after="0"/>
        <w:rPr>
          <w:sz w:val="20"/>
          <w:szCs w:val="20"/>
          <w:color w:val="auto"/>
        </w:rPr>
      </w:pPr>
      <w:r>
        <w:rPr>
          <w:rFonts w:ascii="Arial" w:cs="Arial" w:eastAsia="Arial" w:hAnsi="Arial"/>
          <w:sz w:val="15"/>
          <w:szCs w:val="15"/>
          <w:u w:val="single" w:color="auto"/>
          <w:color w:val="325889"/>
        </w:rPr>
        <w:t>OUR BOARD OF DIRECTORS AND CORPORATE GOVERNANCE</w:t>
      </w:r>
    </w:p>
    <w:p>
      <w:pPr>
        <w:spacing w:after="0" w:line="195" w:lineRule="exact"/>
        <w:rPr>
          <w:sz w:val="20"/>
          <w:szCs w:val="20"/>
          <w:color w:val="auto"/>
        </w:rPr>
      </w:pPr>
    </w:p>
    <w:p>
      <w:pPr>
        <w:ind w:right="240"/>
        <w:spacing w:after="0" w:line="256" w:lineRule="auto"/>
        <w:rPr>
          <w:sz w:val="20"/>
          <w:szCs w:val="20"/>
          <w:color w:val="auto"/>
        </w:rPr>
      </w:pPr>
      <w:r>
        <w:rPr>
          <w:rFonts w:ascii="Arial" w:cs="Arial" w:eastAsia="Arial" w:hAnsi="Arial"/>
          <w:sz w:val="15"/>
          <w:szCs w:val="15"/>
          <w:color w:val="auto"/>
        </w:rPr>
        <w:t>and annually auditing the effectiveness of our internal control over financial reporting and other procedures. Our Audit Committee held 12 meetings during fiscal year 2016. Additional information regarding the functions performed by our Audit Committee is set forth in the “Audit Committee Report” included in this annual proxy statement.</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325889"/>
        </w:rPr>
        <w:t>Audit Committee Financial Expert</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The Board determined that Edwin T. Burton, III qualifies as an “audit committee financial expert,” as defined in Item 401(h) of SEC Regulation S-K.</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325889"/>
        </w:rPr>
        <w:t>Compensation Committee</w:t>
      </w:r>
    </w:p>
    <w:p>
      <w:pPr>
        <w:spacing w:after="0" w:line="212" w:lineRule="exact"/>
        <w:rPr>
          <w:sz w:val="20"/>
          <w:szCs w:val="20"/>
          <w:color w:val="auto"/>
        </w:rPr>
      </w:pPr>
    </w:p>
    <w:p>
      <w:pPr>
        <w:ind w:right="40"/>
        <w:spacing w:after="0" w:line="249" w:lineRule="auto"/>
        <w:rPr>
          <w:sz w:val="20"/>
          <w:szCs w:val="20"/>
          <w:color w:val="auto"/>
        </w:rPr>
      </w:pPr>
      <w:r>
        <w:rPr>
          <w:rFonts w:ascii="Arial" w:cs="Arial" w:eastAsia="Arial" w:hAnsi="Arial"/>
          <w:sz w:val="15"/>
          <w:szCs w:val="15"/>
          <w:color w:val="auto"/>
        </w:rPr>
        <w:t>Our Compensation Committee consists of John H. Alschuler (Chairman), Edwin Thomas Burton, III and John S. Levy, each of whom is “independent” within the meaning of the rules of the NYSE. Our Compensation Committee’s primary purposes are to determine how the Company’s Chief Executive Officer should be compensated; to administer the Company’s employee benefit plans and executive compensation programs; to determine compensation of our executive officers other than our Chief Executive Officer; and to produce the report on executive compensation that is required to be included in this proxy statement. With respect to the compensation of our executive officers, our Compensation Committee solicits recommendations from our Chief Executive Officer regarding total compensation for all executive officers other than the Chief Executive Officer and reviews his recommendations in terms of total compensation and the allocation of such compensation among base salary, annual bonus amounts and other long-term incentive compensation as well as the allocation of such items between cash and equity compensation. Our Compensation Committee retained Gressle &amp; McGinley LLC as its independent outside compensation consulting firm and engaged Gressle &amp; McGinley LLC to provide our Compensation Committee with relevant data concerning the marketplace, our peer group and its own independent analysis and recommendations concerning executive compensation. Gressle &amp; McGinley LLC regularly participates in Compensation Committee meetings. See “Executive Compensation— Compensation Discussion and Analysis.” Our Compensation Committee held two meetings during fiscal year 2016.</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325889"/>
        </w:rPr>
        <w:t>Nominating and Corporate Governance Committee</w:t>
      </w:r>
    </w:p>
    <w:p>
      <w:pPr>
        <w:spacing w:after="0" w:line="212" w:lineRule="exact"/>
        <w:rPr>
          <w:sz w:val="20"/>
          <w:szCs w:val="20"/>
          <w:color w:val="auto"/>
        </w:rPr>
      </w:pPr>
    </w:p>
    <w:p>
      <w:pPr>
        <w:ind w:right="260"/>
        <w:spacing w:after="0" w:line="252" w:lineRule="auto"/>
        <w:rPr>
          <w:sz w:val="20"/>
          <w:szCs w:val="20"/>
          <w:color w:val="auto"/>
        </w:rPr>
      </w:pPr>
      <w:r>
        <w:rPr>
          <w:rFonts w:ascii="Arial" w:cs="Arial" w:eastAsia="Arial" w:hAnsi="Arial"/>
          <w:sz w:val="15"/>
          <w:szCs w:val="15"/>
          <w:color w:val="auto"/>
        </w:rPr>
        <w:t>Our Nominating and Corporate Governance Committee consists of John H. Alschuler, Betsy Atkins, Craig M. Hatkoff and John S. Levy (Chairman), each of whom is “independent” within the meaning of the rules of the NYSE. Our Nominating and Corporate Governance Committee’s primary purposes are to identify individuals qualified to fill vacancies or newly-created positions on the Board; to recommend to the Board the persons it should nominate for election as directors at annual meetings of the Company’s stockholders; to recommend directors to serve on all committees of the Board; and to develop and recommend to the Board governance principles applicable to the Company. Our Nominating and Corporate Governance Committee held one meeting during fiscal year 2016.</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325889"/>
        </w:rPr>
        <w:t>Executive Committee</w:t>
      </w:r>
    </w:p>
    <w:p>
      <w:pPr>
        <w:spacing w:after="0" w:line="212" w:lineRule="exact"/>
        <w:rPr>
          <w:sz w:val="20"/>
          <w:szCs w:val="20"/>
          <w:color w:val="auto"/>
        </w:rPr>
      </w:pPr>
    </w:p>
    <w:p>
      <w:pPr>
        <w:ind w:right="80"/>
        <w:spacing w:after="0" w:line="252" w:lineRule="auto"/>
        <w:rPr>
          <w:sz w:val="20"/>
          <w:szCs w:val="20"/>
          <w:color w:val="auto"/>
        </w:rPr>
      </w:pPr>
      <w:r>
        <w:rPr>
          <w:rFonts w:ascii="Arial" w:cs="Arial" w:eastAsia="Arial" w:hAnsi="Arial"/>
          <w:sz w:val="15"/>
          <w:szCs w:val="15"/>
          <w:color w:val="auto"/>
        </w:rPr>
        <w:t>Subject to the supervision and oversight of the Board, our Executive Committee, which consists of Stephen L. Green (Chairman), Marc Holliday and John H. Alschuler, is responsible for, among other things, the approval of our acquisition, disposition and financing of investments; the authorization of the execution of certain contracts and agreements, including those relating to our borrowing of money; and the exercise, in general, of all other powers of the Board, except for such powers that require action by all directors or the independent directors under our articles of incorporation or bylaws or under applicable law. Our Executive Committee did not hold any meetings and did not take any actions by written consent during fiscal year 2016, as all matters within its authority were approved by the Board.</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2017 Proxy Statement </w:t>
      </w:r>
      <w:r>
        <w:rPr>
          <w:rFonts w:ascii="Arial" w:cs="Arial" w:eastAsia="Arial" w:hAnsi="Arial"/>
          <w:sz w:val="15"/>
          <w:szCs w:val="15"/>
          <w:color w:val="325889"/>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83450" cy="20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0"/>
          </w:cols>
          <w:pgMar w:left="240" w:top="528" w:right="219" w:bottom="1440" w:gutter="0" w:footer="0" w:header="0"/>
        </w:sectPr>
      </w:pPr>
    </w:p>
    <w:bookmarkStart w:id="17" w:name="page18"/>
    <w:bookmarkEnd w:id="17"/>
    <w:p>
      <w:pPr>
        <w:ind w:left="5"/>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ind w:left="5"/>
        <w:spacing w:after="0"/>
        <w:rPr>
          <w:sz w:val="20"/>
          <w:szCs w:val="20"/>
          <w:color w:val="auto"/>
        </w:rPr>
      </w:pPr>
      <w:r>
        <w:rPr>
          <w:rFonts w:ascii="Arial" w:cs="Arial" w:eastAsia="Arial" w:hAnsi="Arial"/>
          <w:sz w:val="15"/>
          <w:szCs w:val="15"/>
          <w:u w:val="single" w:color="auto"/>
          <w:color w:val="325889"/>
        </w:rPr>
        <w:t>OUR BOARD OF DIRECTORS AND CORPORATE GOVERNANCE</w:t>
      </w:r>
    </w:p>
    <w:p>
      <w:pPr>
        <w:spacing w:after="0" w:line="142"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26313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325889"/>
        </w:rPr>
        <w:t>Stockholder Outreach</w:t>
      </w:r>
    </w:p>
    <w:p>
      <w:pPr>
        <w:spacing w:after="0" w:line="212" w:lineRule="exact"/>
        <w:rPr>
          <w:sz w:val="20"/>
          <w:szCs w:val="20"/>
          <w:color w:val="auto"/>
        </w:rPr>
      </w:pPr>
    </w:p>
    <w:p>
      <w:pPr>
        <w:ind w:left="5" w:right="40"/>
        <w:spacing w:after="0" w:line="252" w:lineRule="auto"/>
        <w:rPr>
          <w:sz w:val="20"/>
          <w:szCs w:val="20"/>
          <w:color w:val="auto"/>
        </w:rPr>
      </w:pPr>
      <w:r>
        <w:rPr>
          <w:rFonts w:ascii="Arial" w:cs="Arial" w:eastAsia="Arial" w:hAnsi="Arial"/>
          <w:sz w:val="15"/>
          <w:szCs w:val="15"/>
          <w:color w:val="auto"/>
        </w:rPr>
        <w:t>The Board and our Lead Independent Director believe that engaging in stockholder outreach is an essential element of strong corporate governance. We strive for a collaborative approach to issues of importance to investors and continually seek to better understand the views of our investors on key topics affecting our business. In 2016 and 2017, our Lead Independent Director and members of our senior management team engaged with many of our largest institutional investors, representing ownership of approximately 74% of our outstanding common stock. We then shared the feedback received during our outreach process with the Board and its committees to make meaningful changes to our corporate governance practices and launch new initiatives.</w:t>
      </w:r>
    </w:p>
    <w:p>
      <w:pPr>
        <w:spacing w:after="0" w:line="146"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325889"/>
        </w:rPr>
        <w:t>Declassified Board</w:t>
      </w:r>
    </w:p>
    <w:p>
      <w:pPr>
        <w:spacing w:after="0" w:line="212" w:lineRule="exact"/>
        <w:rPr>
          <w:sz w:val="20"/>
          <w:szCs w:val="20"/>
          <w:color w:val="auto"/>
        </w:rPr>
      </w:pPr>
    </w:p>
    <w:p>
      <w:pPr>
        <w:ind w:left="5" w:right="20"/>
        <w:spacing w:after="0" w:line="253" w:lineRule="auto"/>
        <w:rPr>
          <w:sz w:val="20"/>
          <w:szCs w:val="20"/>
          <w:color w:val="auto"/>
        </w:rPr>
      </w:pPr>
      <w:r>
        <w:rPr>
          <w:rFonts w:ascii="Arial" w:cs="Arial" w:eastAsia="Arial" w:hAnsi="Arial"/>
          <w:sz w:val="15"/>
          <w:szCs w:val="15"/>
          <w:color w:val="auto"/>
        </w:rPr>
        <w:t>As a result of our stockholder engagement efforts and our commitment to corporate governance, we have proposed to declassify our Board of Directors. With stockholder approval, we will phase out board classes, so that beginning in 2018 directors whose terms are expiring will be elected for one-year terms. By our 2020 annual meeting, our Board of Directors will be fully declassified. For more information regarding the declassification of our Board, see “Proposal 3: Charter Amendment to Declassify Board of Directors” in this proxy statement.</w:t>
      </w:r>
    </w:p>
    <w:p>
      <w:pPr>
        <w:spacing w:after="0" w:line="146"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325889"/>
        </w:rPr>
        <w:t>Proxy Access</w:t>
      </w:r>
    </w:p>
    <w:p>
      <w:pPr>
        <w:spacing w:after="0" w:line="212" w:lineRule="exact"/>
        <w:rPr>
          <w:sz w:val="20"/>
          <w:szCs w:val="20"/>
          <w:color w:val="auto"/>
        </w:rPr>
      </w:pPr>
    </w:p>
    <w:p>
      <w:pPr>
        <w:ind w:left="5" w:right="140"/>
        <w:spacing w:after="0" w:line="253" w:lineRule="auto"/>
        <w:rPr>
          <w:sz w:val="20"/>
          <w:szCs w:val="20"/>
          <w:color w:val="auto"/>
        </w:rPr>
      </w:pPr>
      <w:r>
        <w:rPr>
          <w:rFonts w:ascii="Arial" w:cs="Arial" w:eastAsia="Arial" w:hAnsi="Arial"/>
          <w:sz w:val="15"/>
          <w:szCs w:val="15"/>
          <w:color w:val="auto"/>
        </w:rPr>
        <w:t>As a result of our stockholder engagement efforts and our commitment to corporate governance, in March 2016 we adopted a proxy access bylaw, enabling our stockholders to include their own director nominees in our proxy materials along with candidates nominated by the Board, so long as stockholder-nominees meet certain requirements, as set forth in our bylaws. For more information on our proxy access bylaw, see the section entitled “Other Matters—Stockholder Proposals and Nominations.”</w:t>
      </w:r>
    </w:p>
    <w:p>
      <w:pPr>
        <w:spacing w:after="0" w:line="146"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325889"/>
        </w:rPr>
        <w:t>Majority Voting Standard and Director Resignation Policy</w:t>
      </w:r>
    </w:p>
    <w:p>
      <w:pPr>
        <w:spacing w:after="0" w:line="212" w:lineRule="exact"/>
        <w:rPr>
          <w:sz w:val="20"/>
          <w:szCs w:val="20"/>
          <w:color w:val="auto"/>
        </w:rPr>
      </w:pPr>
    </w:p>
    <w:p>
      <w:pPr>
        <w:ind w:left="5"/>
        <w:spacing w:after="0" w:line="250" w:lineRule="auto"/>
        <w:rPr>
          <w:sz w:val="20"/>
          <w:szCs w:val="20"/>
          <w:color w:val="auto"/>
        </w:rPr>
      </w:pPr>
      <w:r>
        <w:rPr>
          <w:rFonts w:ascii="Arial" w:cs="Arial" w:eastAsia="Arial" w:hAnsi="Arial"/>
          <w:sz w:val="15"/>
          <w:szCs w:val="15"/>
          <w:color w:val="auto"/>
        </w:rPr>
        <w:t>As a result of our stockholder engagement efforts and our commitment to corporate governance, in March 2016 the Board implemented a majority voting standard for director elections. In an uncontested election (as is the case for this annual meeting), our bylaws provide that a majority of all the votes cast with respect to a nominee’s election is required for such nominee to be elected to serve on the Board. This means that the number of votes cast “for” a nominee must exceed the number of votes cast “against” such nominee, with abstentions and broker non-votes not counted as a vote cast either “for” or “against” a nominee. With respect to a contested election, a plurality of all of the votes cast is sufficient for the election of directors. For this purpose, a contested election is deemed to occur at any meeting of stockholders for which the Secretary determines that the number of nominees or proposed nominees exceeds the number of directors to be elected at such meeting as of the seventh day preceding the date the Company files its definitive proxy statement for such meeting with the Securities and Exchange Commission (regardless of whether or not thereafter revised or supplemented).</w:t>
      </w:r>
    </w:p>
    <w:p>
      <w:pPr>
        <w:spacing w:after="0" w:line="176" w:lineRule="exact"/>
        <w:rPr>
          <w:sz w:val="20"/>
          <w:szCs w:val="20"/>
          <w:color w:val="auto"/>
        </w:rPr>
      </w:pPr>
    </w:p>
    <w:p>
      <w:pPr>
        <w:ind w:left="5" w:right="100"/>
        <w:spacing w:after="0" w:line="250" w:lineRule="auto"/>
        <w:rPr>
          <w:sz w:val="20"/>
          <w:szCs w:val="20"/>
          <w:color w:val="auto"/>
        </w:rPr>
      </w:pPr>
      <w:r>
        <w:rPr>
          <w:rFonts w:ascii="Arial" w:cs="Arial" w:eastAsia="Arial" w:hAnsi="Arial"/>
          <w:sz w:val="15"/>
          <w:szCs w:val="15"/>
          <w:color w:val="auto"/>
        </w:rPr>
        <w:t>If a nominee who currently is serving as a director receives a greater number of votes “against” his or her election than votes “for” such election in an uncontested election, Maryland law provides that the director would continue to serve on the Board as a “holdover director.” However, under our Governance Principles, any nominee for election as a director in an uncontested election who receives a greater number of votes “against” his or her election than votes “for” such election must, within ten business days following the certification of the stockholder vote, tender his or her written resignation to the Chairman of the Board for consideration by the Nominating and Corporate Governance Committee. The Nominating and Corporate Governance Committee will consider the resignation and, within 60 days following the date of the stockholders’ meeting at which the election occurred, will make a recommendation to the Board concerning the acceptance or rejection of the resignation.</w:t>
      </w:r>
    </w:p>
    <w:p>
      <w:pPr>
        <w:spacing w:after="0" w:line="358" w:lineRule="exact"/>
        <w:rPr>
          <w:sz w:val="20"/>
          <w:szCs w:val="20"/>
          <w:color w:val="auto"/>
        </w:rPr>
      </w:pPr>
    </w:p>
    <w:p>
      <w:pPr>
        <w:ind w:left="5"/>
        <w:spacing w:after="0" w:line="253" w:lineRule="auto"/>
        <w:rPr>
          <w:sz w:val="20"/>
          <w:szCs w:val="20"/>
          <w:color w:val="auto"/>
        </w:rPr>
      </w:pPr>
      <w:r>
        <w:rPr>
          <w:rFonts w:ascii="Arial" w:cs="Arial" w:eastAsia="Arial" w:hAnsi="Arial"/>
          <w:sz w:val="15"/>
          <w:szCs w:val="15"/>
          <w:color w:val="auto"/>
        </w:rPr>
        <w:t>The Board will then take formal action on the recommendation no later than 90 days following the date of the stockholders’ meeting at which the election occurred. In considering the recommendation, the Board will consider the information, factors and alternatives considered by the Nominating and Corporate Governance Committee and such additional factors, information and alternatives as the Board deems relevant. We will publicly disclose, in a Form 8-K filed with the SEC, the Board’s decision within four business days after the decision is made. The Board also will provide, if applicable, the Board’s reason or reasons for rejecting the tendered resignation.</w:t>
      </w:r>
    </w:p>
    <w:p>
      <w:pPr>
        <w:spacing w:after="0" w:line="174" w:lineRule="exact"/>
        <w:rPr>
          <w:sz w:val="20"/>
          <w:szCs w:val="20"/>
          <w:color w:val="auto"/>
        </w:rPr>
      </w:pPr>
    </w:p>
    <w:p>
      <w:pPr>
        <w:ind w:left="265" w:hanging="265"/>
        <w:spacing w:after="0"/>
        <w:tabs>
          <w:tab w:leader="none" w:pos="265" w:val="left"/>
        </w:tabs>
        <w:numPr>
          <w:ilvl w:val="0"/>
          <w:numId w:val="14"/>
        </w:numPr>
        <w:rPr>
          <w:rFonts w:ascii="Arial" w:cs="Arial" w:eastAsia="Arial" w:hAnsi="Arial"/>
          <w:sz w:val="15"/>
          <w:szCs w:val="15"/>
          <w:color w:val="325889"/>
        </w:rPr>
      </w:pPr>
      <w:r>
        <w:rPr>
          <w:rFonts w:ascii="Arial" w:cs="Arial" w:eastAsia="Arial" w:hAnsi="Arial"/>
          <w:sz w:val="15"/>
          <w:szCs w:val="15"/>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83450" cy="20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05"/>
          </w:cols>
          <w:pgMar w:left="235" w:top="528" w:right="259" w:bottom="1440" w:gutter="0" w:footer="0" w:header="0"/>
        </w:sectPr>
      </w:pPr>
    </w:p>
    <w:bookmarkStart w:id="18" w:name="page19"/>
    <w:bookmarkEnd w:id="18"/>
    <w:p>
      <w:pPr>
        <w:ind w:left="5"/>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325889"/>
        </w:rPr>
        <w:t>OUR BOARD OF DIRECTORS AND CORPORATE GOVERNANCE</w:t>
      </w:r>
    </w:p>
    <w:p>
      <w:pPr>
        <w:spacing w:after="0" w:line="167"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325889"/>
        </w:rPr>
        <w:t>Sustainability</w:t>
      </w:r>
    </w:p>
    <w:p>
      <w:pPr>
        <w:spacing w:after="0" w:line="212" w:lineRule="exact"/>
        <w:rPr>
          <w:sz w:val="20"/>
          <w:szCs w:val="20"/>
          <w:color w:val="auto"/>
        </w:rPr>
      </w:pPr>
    </w:p>
    <w:p>
      <w:pPr>
        <w:ind w:left="5" w:right="520"/>
        <w:spacing w:after="0" w:line="256" w:lineRule="auto"/>
        <w:rPr>
          <w:sz w:val="20"/>
          <w:szCs w:val="20"/>
          <w:color w:val="auto"/>
        </w:rPr>
      </w:pPr>
      <w:r>
        <w:rPr>
          <w:rFonts w:ascii="Arial" w:cs="Arial" w:eastAsia="Arial" w:hAnsi="Arial"/>
          <w:sz w:val="15"/>
          <w:szCs w:val="15"/>
          <w:color w:val="auto"/>
        </w:rPr>
        <w:t>The Board shares our commitment to environmentally sustainable initiatives and innovation that deliver efficiency, value and health for our business, tenants and community. Structured around the three key areas of efficiency, tenant experience and industry leadership, our sustainability program integrates market-leading initiatives to address energy usage, natural resource consumption, air quality, recycling, transportation and education.</w:t>
      </w:r>
    </w:p>
    <w:p>
      <w:pPr>
        <w:spacing w:after="0" w:line="172" w:lineRule="exact"/>
        <w:rPr>
          <w:sz w:val="20"/>
          <w:szCs w:val="20"/>
          <w:color w:val="auto"/>
        </w:rPr>
      </w:pPr>
    </w:p>
    <w:p>
      <w:pPr>
        <w:ind w:left="5" w:right="140"/>
        <w:spacing w:after="0" w:line="252" w:lineRule="auto"/>
        <w:rPr>
          <w:sz w:val="20"/>
          <w:szCs w:val="20"/>
          <w:color w:val="auto"/>
        </w:rPr>
      </w:pPr>
      <w:r>
        <w:rPr>
          <w:rFonts w:ascii="Arial" w:cs="Arial" w:eastAsia="Arial" w:hAnsi="Arial"/>
          <w:sz w:val="15"/>
          <w:szCs w:val="15"/>
          <w:color w:val="auto"/>
        </w:rPr>
        <w:t>Our commitment toward efficiency is evidenced by portfolio-wide investments. By implementing cutting edge technologies and modernizing obsolete building systems, we continue to optimize building performance, reduce maintenance costs and provide tenants with a Class A experience. We have installed more than 35,000 LED bulbs, monitor energy consumption through a real-time energy platform and track our portfolio’s sustainability performance through a web based environmental management system. Currently, we are exploring the deployment of cogeneration, photovoltaic “solar” panels, fuel cells and steam reduction technologies to provide healthier and more reliable forms of energy throughout our portfolio.</w:t>
      </w:r>
    </w:p>
    <w:p>
      <w:pPr>
        <w:spacing w:after="0" w:line="174" w:lineRule="exact"/>
        <w:rPr>
          <w:sz w:val="20"/>
          <w:szCs w:val="20"/>
          <w:color w:val="auto"/>
        </w:rPr>
      </w:pPr>
    </w:p>
    <w:p>
      <w:pPr>
        <w:jc w:val="both"/>
        <w:ind w:left="5" w:right="140"/>
        <w:spacing w:after="0" w:line="256" w:lineRule="auto"/>
        <w:rPr>
          <w:sz w:val="20"/>
          <w:szCs w:val="20"/>
          <w:color w:val="auto"/>
        </w:rPr>
      </w:pPr>
      <w:r>
        <w:rPr>
          <w:rFonts w:ascii="Arial" w:cs="Arial" w:eastAsia="Arial" w:hAnsi="Arial"/>
          <w:sz w:val="15"/>
          <w:szCs w:val="15"/>
          <w:color w:val="auto"/>
        </w:rPr>
        <w:t>Key to our program is active tenant engagement. We partner with tenant sustainability teams in a number of ways, including LEED-CI certifications, Earth Day events, annual community service days, quarterly tenant educational webinars on sustainability topics, Urban Green Council award nominations and participation in the NYC Mayor’s Zero Waste Challenge.</w:t>
      </w:r>
    </w:p>
    <w:p>
      <w:pPr>
        <w:spacing w:after="0" w:line="172" w:lineRule="exact"/>
        <w:rPr>
          <w:sz w:val="20"/>
          <w:szCs w:val="20"/>
          <w:color w:val="auto"/>
        </w:rPr>
      </w:pPr>
    </w:p>
    <w:p>
      <w:pPr>
        <w:ind w:left="5" w:right="60"/>
        <w:spacing w:after="0" w:line="252" w:lineRule="auto"/>
        <w:rPr>
          <w:sz w:val="20"/>
          <w:szCs w:val="20"/>
          <w:color w:val="auto"/>
        </w:rPr>
      </w:pPr>
      <w:r>
        <w:rPr>
          <w:rFonts w:ascii="Arial" w:cs="Arial" w:eastAsia="Arial" w:hAnsi="Arial"/>
          <w:sz w:val="15"/>
          <w:szCs w:val="15"/>
          <w:color w:val="auto"/>
        </w:rPr>
        <w:t>Our industry leadership has been widely recognized. During 2015 and 2016, we were recognized by the United States Environmental Protection Agency as an ENERGY STAR Partner of the Year for our efforts to strategically manage and improve energy efficiency across our Manhattan and suburban portfolios. In addition to releasing a compliant GRI report for the past 3 consecutive years, we have been recognized by Newsweek as one of the greenest companies in the United States and as REIT of the Year – Sustainability by Real Estate &amp; Investment Finance in its 2017 award ceremonies. Additionally, we have been included in the MSCI Sustainability Index since 2015. Our sustainability strategy, achievements and reports are available on our website at http://www.slgreen.com/sustainability.</w:t>
      </w:r>
    </w:p>
    <w:p>
      <w:pPr>
        <w:spacing w:after="0" w:line="146"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325889"/>
        </w:rPr>
        <w:t>Risk Oversight</w:t>
      </w:r>
    </w:p>
    <w:p>
      <w:pPr>
        <w:spacing w:after="0" w:line="212" w:lineRule="exact"/>
        <w:rPr>
          <w:sz w:val="20"/>
          <w:szCs w:val="20"/>
          <w:color w:val="auto"/>
        </w:rPr>
      </w:pPr>
    </w:p>
    <w:p>
      <w:pPr>
        <w:ind w:left="5" w:right="220"/>
        <w:spacing w:after="0" w:line="252" w:lineRule="auto"/>
        <w:rPr>
          <w:sz w:val="20"/>
          <w:szCs w:val="20"/>
          <w:color w:val="auto"/>
        </w:rPr>
      </w:pPr>
      <w:r>
        <w:rPr>
          <w:rFonts w:ascii="Arial" w:cs="Arial" w:eastAsia="Arial" w:hAnsi="Arial"/>
          <w:sz w:val="15"/>
          <w:szCs w:val="15"/>
          <w:color w:val="auto"/>
        </w:rPr>
        <w:t>The Board is responsible for overseeing the Company’s risk management process. The Board focuses on the Company’s general risk management strategy and the most significant risks facing the Company, and ensures that appropriate risk mitigation strategies are implemented by management. The Board also is apprised of particular risk management matters in connection with its general oversight and approval of corporate matters. In particular, the Board focuses on overseeing risks relating to the structure and amount of our debt, including overall aggregate principal balance, variable rate versus fixed rate debt, maturity schedules and balance of secured and unsecured debt.</w:t>
      </w:r>
    </w:p>
    <w:p>
      <w:pPr>
        <w:spacing w:after="0" w:line="174" w:lineRule="exact"/>
        <w:rPr>
          <w:sz w:val="20"/>
          <w:szCs w:val="20"/>
          <w:color w:val="auto"/>
        </w:rPr>
      </w:pPr>
    </w:p>
    <w:p>
      <w:pPr>
        <w:ind w:left="5"/>
        <w:spacing w:after="0"/>
        <w:rPr>
          <w:sz w:val="20"/>
          <w:szCs w:val="20"/>
          <w:color w:val="auto"/>
        </w:rPr>
      </w:pPr>
      <w:r>
        <w:rPr>
          <w:rFonts w:ascii="Arial" w:cs="Arial" w:eastAsia="Arial" w:hAnsi="Arial"/>
          <w:sz w:val="15"/>
          <w:szCs w:val="15"/>
          <w:color w:val="auto"/>
        </w:rPr>
        <w:t>The Board delegated to the Audit Committee oversight of the Company’s risk management process. Among its duties, the Audit Committee reviews with management</w:t>
      </w:r>
    </w:p>
    <w:p>
      <w:pPr>
        <w:spacing w:after="0" w:line="5" w:lineRule="exact"/>
        <w:rPr>
          <w:sz w:val="20"/>
          <w:szCs w:val="20"/>
          <w:color w:val="auto"/>
        </w:rPr>
      </w:pPr>
    </w:p>
    <w:p>
      <w:pPr>
        <w:ind w:left="5" w:right="80" w:hanging="5"/>
        <w:spacing w:after="0" w:line="252" w:lineRule="auto"/>
        <w:tabs>
          <w:tab w:leader="none" w:pos="236"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Company policies with respect to risk assessment and management of risks that may be material to the Company, (b) the Company’s system of disclosure controls and system of internal controls over financial reporting and (c) the Company’s compliance with legal and regulatory requirements. The Audit Committee also is responsible for reviewing major legislative and regulatory developments that could have a material impact on the Company’s contingent liabilities and risks. Our other Board committees also consider and address risk as they perform their respective committee responsibilities. All committees report to the full Board as appropriate, including when a matter rises to the level of a material or enterprise level risk.</w:t>
      </w:r>
    </w:p>
    <w:p>
      <w:pPr>
        <w:spacing w:after="0" w:line="174" w:lineRule="exact"/>
        <w:rPr>
          <w:sz w:val="20"/>
          <w:szCs w:val="20"/>
          <w:color w:val="auto"/>
        </w:rPr>
      </w:pPr>
    </w:p>
    <w:p>
      <w:pPr>
        <w:ind w:left="5" w:right="760"/>
        <w:spacing w:after="0" w:line="265" w:lineRule="auto"/>
        <w:rPr>
          <w:sz w:val="20"/>
          <w:szCs w:val="20"/>
          <w:color w:val="auto"/>
        </w:rPr>
      </w:pPr>
      <w:r>
        <w:rPr>
          <w:rFonts w:ascii="Arial" w:cs="Arial" w:eastAsia="Arial" w:hAnsi="Arial"/>
          <w:sz w:val="15"/>
          <w:szCs w:val="15"/>
          <w:color w:val="auto"/>
        </w:rPr>
        <w:t>In addition, our Compensation Committee considers the risks to the Company’s stockholders and to the achievement of our goals that may be inherent in the Company’s executive compensation program.</w:t>
      </w:r>
    </w:p>
    <w:p>
      <w:pPr>
        <w:spacing w:after="0" w:line="165" w:lineRule="exact"/>
        <w:rPr>
          <w:sz w:val="20"/>
          <w:szCs w:val="20"/>
          <w:color w:val="auto"/>
        </w:rPr>
      </w:pPr>
    </w:p>
    <w:p>
      <w:pPr>
        <w:ind w:left="5" w:right="440"/>
        <w:spacing w:after="0" w:line="256" w:lineRule="auto"/>
        <w:rPr>
          <w:sz w:val="20"/>
          <w:szCs w:val="20"/>
          <w:color w:val="auto"/>
        </w:rPr>
      </w:pPr>
      <w:r>
        <w:rPr>
          <w:rFonts w:ascii="Arial" w:cs="Arial" w:eastAsia="Arial" w:hAnsi="Arial"/>
          <w:sz w:val="15"/>
          <w:szCs w:val="15"/>
          <w:color w:val="auto"/>
        </w:rPr>
        <w:t>The Company’s management is responsible for day-to-day risk management, including the primary monitoring and testing function for company-wide policies and procedures, and management of the day-to-day oversight of the risk management strategy for the ongoing business of the Company. This oversight includes identifying, evaluating, and addressing potential risks that may exist at the enterprise, strategic, financial, operational, and compliance and reporting levels.</w:t>
      </w:r>
    </w:p>
    <w:p>
      <w:pPr>
        <w:spacing w:after="0" w:line="172" w:lineRule="exact"/>
        <w:rPr>
          <w:sz w:val="20"/>
          <w:szCs w:val="20"/>
          <w:color w:val="auto"/>
        </w:rPr>
      </w:pPr>
    </w:p>
    <w:p>
      <w:pPr>
        <w:ind w:left="5" w:right="220"/>
        <w:spacing w:after="0" w:line="265" w:lineRule="auto"/>
        <w:rPr>
          <w:sz w:val="20"/>
          <w:szCs w:val="20"/>
          <w:color w:val="auto"/>
        </w:rPr>
      </w:pPr>
      <w:r>
        <w:rPr>
          <w:rFonts w:ascii="Arial" w:cs="Arial" w:eastAsia="Arial" w:hAnsi="Arial"/>
          <w:sz w:val="15"/>
          <w:szCs w:val="15"/>
          <w:color w:val="auto"/>
        </w:rPr>
        <w:t>We believe the division of risk management responsibilities described above is an effective approach for addressing the risks facing the Company and that the Board leadership structure supports this approach.</w:t>
      </w:r>
    </w:p>
    <w:p>
      <w:pPr>
        <w:spacing w:after="0" w:line="137"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325889"/>
        </w:rPr>
        <w:t>Governance Principles</w:t>
      </w:r>
    </w:p>
    <w:p>
      <w:pPr>
        <w:spacing w:after="0" w:line="212" w:lineRule="exact"/>
        <w:rPr>
          <w:sz w:val="20"/>
          <w:szCs w:val="20"/>
          <w:color w:val="auto"/>
        </w:rPr>
      </w:pPr>
    </w:p>
    <w:p>
      <w:pPr>
        <w:ind w:left="5" w:right="60"/>
        <w:spacing w:after="0" w:line="256" w:lineRule="auto"/>
        <w:rPr>
          <w:sz w:val="20"/>
          <w:szCs w:val="20"/>
          <w:color w:val="auto"/>
        </w:rPr>
      </w:pPr>
      <w:r>
        <w:rPr>
          <w:rFonts w:ascii="Arial" w:cs="Arial" w:eastAsia="Arial" w:hAnsi="Arial"/>
          <w:sz w:val="15"/>
          <w:szCs w:val="15"/>
          <w:color w:val="auto"/>
        </w:rPr>
        <w:t>The Board adopted Governance Principles that address significant issues of corporate governance and set forth procedures by which the Board carries out its responsibilities. Among the areas addressed by the Governance Principles are director qualification standards, director responsibilities, director access to management and independent advisors, director compensation, director orientation and continuing education, management</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2017 Proxy Statement </w:t>
      </w:r>
      <w:r>
        <w:rPr>
          <w:rFonts w:ascii="Arial" w:cs="Arial" w:eastAsia="Arial" w:hAnsi="Arial"/>
          <w:sz w:val="15"/>
          <w:szCs w:val="15"/>
          <w:color w:val="325889"/>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83450" cy="20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5"/>
          </w:cols>
          <w:pgMar w:left="235" w:top="528" w:right="219" w:bottom="1440" w:gutter="0" w:footer="0" w:header="0"/>
        </w:sectPr>
      </w:pPr>
    </w:p>
    <w:bookmarkStart w:id="19" w:name="page20"/>
    <w:bookmarkEnd w:id="19"/>
    <w:p>
      <w:pPr>
        <w:ind w:left="5"/>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ind w:left="5"/>
        <w:spacing w:after="0"/>
        <w:rPr>
          <w:sz w:val="20"/>
          <w:szCs w:val="20"/>
          <w:color w:val="auto"/>
        </w:rPr>
      </w:pPr>
      <w:r>
        <w:rPr>
          <w:rFonts w:ascii="Arial" w:cs="Arial" w:eastAsia="Arial" w:hAnsi="Arial"/>
          <w:sz w:val="15"/>
          <w:szCs w:val="15"/>
          <w:u w:val="single" w:color="auto"/>
          <w:color w:val="325889"/>
        </w:rPr>
        <w:t>OUR BOARD OF DIRECTORS AND CORPORATE GOVERNANCE</w:t>
      </w:r>
    </w:p>
    <w:p>
      <w:pPr>
        <w:spacing w:after="0" w:line="195" w:lineRule="exact"/>
        <w:rPr>
          <w:sz w:val="20"/>
          <w:szCs w:val="20"/>
          <w:color w:val="auto"/>
        </w:rPr>
      </w:pPr>
    </w:p>
    <w:p>
      <w:pPr>
        <w:ind w:left="5" w:right="180"/>
        <w:spacing w:after="0" w:line="256" w:lineRule="auto"/>
        <w:rPr>
          <w:sz w:val="20"/>
          <w:szCs w:val="20"/>
          <w:color w:val="auto"/>
        </w:rPr>
      </w:pPr>
      <w:r>
        <w:rPr>
          <w:rFonts w:ascii="Arial" w:cs="Arial" w:eastAsia="Arial" w:hAnsi="Arial"/>
          <w:sz w:val="15"/>
          <w:szCs w:val="15"/>
          <w:color w:val="auto"/>
        </w:rPr>
        <w:t>succession, annual performance evaluation of the Board and management responsibilities. Our Nominating and Corporate Governance Committee is responsible for, among other things, assessing and periodically reviewing the adequacy of the Governance Principles and will recommend, as appropriate, proposed changes to the Board.</w:t>
      </w:r>
    </w:p>
    <w:p>
      <w:pPr>
        <w:spacing w:after="0" w:line="144"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325889"/>
        </w:rPr>
        <w:t>Code of Ethics</w:t>
      </w:r>
    </w:p>
    <w:p>
      <w:pPr>
        <w:spacing w:after="0" w:line="212" w:lineRule="exact"/>
        <w:rPr>
          <w:sz w:val="20"/>
          <w:szCs w:val="20"/>
          <w:color w:val="auto"/>
        </w:rPr>
      </w:pPr>
    </w:p>
    <w:p>
      <w:pPr>
        <w:ind w:left="5" w:right="80"/>
        <w:spacing w:after="0" w:line="251" w:lineRule="auto"/>
        <w:rPr>
          <w:sz w:val="20"/>
          <w:szCs w:val="20"/>
          <w:color w:val="auto"/>
        </w:rPr>
      </w:pPr>
      <w:r>
        <w:rPr>
          <w:rFonts w:ascii="Arial" w:cs="Arial" w:eastAsia="Arial" w:hAnsi="Arial"/>
          <w:sz w:val="15"/>
          <w:szCs w:val="15"/>
          <w:color w:val="auto"/>
        </w:rPr>
        <w:t>The Board adopted a Code of Ethics that applies to our directors, executive officers and employees. The Code of Ethics is designed to assist our directors, executive officers and employees in complying with the law and in resolving moral and ethical issues that may arise and in complying with our policies and procedures. Among the areas addressed by the Code of Ethics are compliance with applicable laws, conflicts of interest, use and protection of the Company’s assets, confidentiality, communications with the public, accounting matters, records retention, fair dealing, discrimination, harassment and health and safety. We intend to disclose on our corporate website any amendment to, or waiver of, any provisions of this Code applicable to our directors and executive officers that would otherwise be required to be disclosed under the rules of the SEC or the NYSE.</w:t>
      </w:r>
    </w:p>
    <w:p>
      <w:pPr>
        <w:spacing w:after="0" w:line="147"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325889"/>
        </w:rPr>
        <w:t>Whistleblowing and Whistleblower Protection Policy</w:t>
      </w:r>
    </w:p>
    <w:p>
      <w:pPr>
        <w:spacing w:after="0" w:line="212" w:lineRule="exact"/>
        <w:rPr>
          <w:sz w:val="20"/>
          <w:szCs w:val="20"/>
          <w:color w:val="auto"/>
        </w:rPr>
      </w:pPr>
    </w:p>
    <w:p>
      <w:pPr>
        <w:ind w:left="5" w:right="20"/>
        <w:spacing w:after="0" w:line="252" w:lineRule="auto"/>
        <w:rPr>
          <w:sz w:val="20"/>
          <w:szCs w:val="20"/>
          <w:color w:val="auto"/>
        </w:rPr>
      </w:pPr>
      <w:r>
        <w:rPr>
          <w:rFonts w:ascii="Arial" w:cs="Arial" w:eastAsia="Arial" w:hAnsi="Arial"/>
          <w:sz w:val="15"/>
          <w:szCs w:val="15"/>
          <w:color w:val="auto"/>
        </w:rPr>
        <w:t>Our Audit Committee established procedures for (1) the receipt, retention and treatment of complaints received by the Company regarding accounting, internal accounting controls or auditing matters, and (2) the confidential and anonymous submission by our employees of concerns regarding questionable accounting or auditing matters. If you wish to contact our Audit Committee to report complaints or concerns relating to the financial reporting of the Company, you may do so in writing to the Chairman of our Audit Committee, c/o Andrew S. Levine, Secretary, SL Green Realty Corp., 420 Lexington Avenue, New York, New York 10170-1881. Any such communications may be made anonymously.</w:t>
      </w:r>
    </w:p>
    <w:p>
      <w:pPr>
        <w:spacing w:after="0" w:line="121"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26313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pacing w:after="0" w:line="219" w:lineRule="exact"/>
        <w:rPr>
          <w:sz w:val="20"/>
          <w:szCs w:val="20"/>
          <w:color w:val="auto"/>
        </w:rPr>
      </w:pPr>
    </w:p>
    <w:p>
      <w:pPr>
        <w:ind w:left="5" w:right="660"/>
        <w:spacing w:after="0" w:line="265" w:lineRule="auto"/>
        <w:rPr>
          <w:sz w:val="20"/>
          <w:szCs w:val="20"/>
          <w:color w:val="auto"/>
        </w:rPr>
      </w:pPr>
      <w:r>
        <w:rPr>
          <w:rFonts w:ascii="Arial" w:cs="Arial" w:eastAsia="Arial" w:hAnsi="Arial"/>
          <w:sz w:val="15"/>
          <w:szCs w:val="15"/>
          <w:color w:val="auto"/>
        </w:rPr>
        <w:t>Directors of the Company who are also employees receive no additional compensation for their services as directors. The following table sets forth information regarding the compensation paid to our non-employee directors during the fiscal year ended December 31, 2016.</w:t>
      </w:r>
    </w:p>
    <w:p>
      <w:pPr>
        <w:spacing w:after="0" w:line="278" w:lineRule="exact"/>
        <w:rPr>
          <w:sz w:val="20"/>
          <w:szCs w:val="20"/>
          <w:color w:val="auto"/>
        </w:rPr>
      </w:pPr>
    </w:p>
    <w:tbl>
      <w:tblPr>
        <w:tblLayout w:type="fixed"/>
        <w:tblInd w:w="5" w:type="dxa"/>
        <w:tblCellMar>
          <w:top w:w="0" w:type="dxa"/>
          <w:left w:w="0" w:type="dxa"/>
          <w:bottom w:w="0" w:type="dxa"/>
          <w:right w:w="0" w:type="dxa"/>
        </w:tblCellMar>
      </w:tblPr>
      <w:tr>
        <w:trPr>
          <w:trHeight w:val="139"/>
        </w:trPr>
        <w:tc>
          <w:tcPr>
            <w:tcW w:w="8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325889"/>
                <w:w w:val="94"/>
              </w:rPr>
              <w:t>Fees Earned or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325889"/>
              </w:rPr>
              <w:t>Stock</w:t>
            </w:r>
          </w:p>
        </w:tc>
        <w:tc>
          <w:tcPr>
            <w:tcW w:w="66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325889"/>
              </w:rPr>
              <w:t>Option</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8"/>
        </w:trPr>
        <w:tc>
          <w:tcPr>
            <w:tcW w:w="8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spacing w:after="0" w:line="158" w:lineRule="exact"/>
              <w:rPr>
                <w:sz w:val="20"/>
                <w:szCs w:val="20"/>
                <w:color w:val="auto"/>
              </w:rPr>
            </w:pPr>
            <w:r>
              <w:rPr>
                <w:rFonts w:ascii="Arial" w:cs="Arial" w:eastAsia="Arial" w:hAnsi="Arial"/>
                <w:sz w:val="11"/>
                <w:szCs w:val="11"/>
                <w:b w:val="1"/>
                <w:bCs w:val="1"/>
                <w:color w:val="325889"/>
              </w:rPr>
              <w:t>Paid in Cash</w:t>
            </w:r>
            <w:r>
              <w:rPr>
                <w:rFonts w:ascii="Arial" w:cs="Arial" w:eastAsia="Arial" w:hAnsi="Arial"/>
                <w:sz w:val="18"/>
                <w:szCs w:val="18"/>
                <w:b w:val="1"/>
                <w:bCs w:val="1"/>
                <w:color w:val="325889"/>
                <w:vertAlign w:val="superscript"/>
              </w:rPr>
              <w:t>(1)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100"/>
              <w:spacing w:after="0" w:line="158" w:lineRule="exact"/>
              <w:rPr>
                <w:sz w:val="20"/>
                <w:szCs w:val="20"/>
                <w:color w:val="auto"/>
              </w:rPr>
            </w:pPr>
            <w:r>
              <w:rPr>
                <w:rFonts w:ascii="Arial" w:cs="Arial" w:eastAsia="Arial" w:hAnsi="Arial"/>
                <w:sz w:val="11"/>
                <w:szCs w:val="11"/>
                <w:b w:val="1"/>
                <w:bCs w:val="1"/>
                <w:color w:val="325889"/>
              </w:rPr>
              <w:t>Awards</w:t>
            </w:r>
            <w:r>
              <w:rPr>
                <w:rFonts w:ascii="Arial" w:cs="Arial" w:eastAsia="Arial" w:hAnsi="Arial"/>
                <w:sz w:val="18"/>
                <w:szCs w:val="18"/>
                <w:b w:val="1"/>
                <w:bCs w:val="1"/>
                <w:color w:val="325889"/>
                <w:vertAlign w:val="superscript"/>
              </w:rPr>
              <w:t>(2)</w:t>
            </w:r>
          </w:p>
        </w:tc>
        <w:tc>
          <w:tcPr>
            <w:tcW w:w="660" w:type="dxa"/>
            <w:vAlign w:val="bottom"/>
            <w:gridSpan w:val="2"/>
          </w:tcPr>
          <w:p>
            <w:pPr>
              <w:jc w:val="right"/>
              <w:ind w:right="100"/>
              <w:spacing w:after="0" w:line="158" w:lineRule="exact"/>
              <w:rPr>
                <w:sz w:val="20"/>
                <w:szCs w:val="20"/>
                <w:color w:val="auto"/>
              </w:rPr>
            </w:pPr>
            <w:r>
              <w:rPr>
                <w:rFonts w:ascii="Arial" w:cs="Arial" w:eastAsia="Arial" w:hAnsi="Arial"/>
                <w:sz w:val="11"/>
                <w:szCs w:val="11"/>
                <w:b w:val="1"/>
                <w:bCs w:val="1"/>
                <w:color w:val="325889"/>
                <w:w w:val="99"/>
              </w:rPr>
              <w:t>Awards</w:t>
            </w:r>
            <w:r>
              <w:rPr>
                <w:rFonts w:ascii="Arial" w:cs="Arial" w:eastAsia="Arial" w:hAnsi="Arial"/>
                <w:sz w:val="18"/>
                <w:szCs w:val="18"/>
                <w:b w:val="1"/>
                <w:bCs w:val="1"/>
                <w:color w:val="325889"/>
                <w:w w:val="99"/>
                <w:vertAlign w:val="superscript"/>
              </w:rPr>
              <w:t>(3)</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b w:val="1"/>
                <w:bCs w:val="1"/>
                <w:color w:val="325889"/>
              </w:rPr>
              <w:t>Total</w:t>
            </w:r>
          </w:p>
        </w:tc>
      </w:tr>
      <w:tr>
        <w:trPr>
          <w:trHeight w:val="162"/>
        </w:trPr>
        <w:tc>
          <w:tcPr>
            <w:tcW w:w="8020" w:type="dxa"/>
            <w:vAlign w:val="bottom"/>
          </w:tcPr>
          <w:p>
            <w:pPr>
              <w:spacing w:after="0"/>
              <w:rPr>
                <w:sz w:val="20"/>
                <w:szCs w:val="20"/>
                <w:color w:val="auto"/>
              </w:rPr>
            </w:pPr>
            <w:r>
              <w:rPr>
                <w:rFonts w:ascii="Arial" w:cs="Arial" w:eastAsia="Arial" w:hAnsi="Arial"/>
                <w:sz w:val="12"/>
                <w:szCs w:val="12"/>
                <w:b w:val="1"/>
                <w:bCs w:val="1"/>
                <w:color w:val="auto"/>
              </w:rPr>
              <w:t>Name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b w:val="1"/>
                <w:bCs w:val="1"/>
                <w:color w:val="325889"/>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b w:val="1"/>
                <w:bCs w:val="1"/>
                <w:color w:val="325889"/>
              </w:rPr>
              <w:t>($)</w:t>
            </w:r>
          </w:p>
        </w:tc>
        <w:tc>
          <w:tcPr>
            <w:tcW w:w="1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325889"/>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b w:val="1"/>
                <w:bCs w:val="1"/>
                <w:color w:val="325889"/>
              </w:rPr>
              <w:t>($)</w:t>
            </w:r>
          </w:p>
        </w:tc>
      </w:tr>
      <w:tr>
        <w:trPr>
          <w:trHeight w:val="30"/>
        </w:trPr>
        <w:tc>
          <w:tcPr>
            <w:tcW w:w="8020" w:type="dxa"/>
            <w:vAlign w:val="bottom"/>
            <w:shd w:val="clear" w:color="auto" w:fill="325889"/>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325889"/>
          </w:tcPr>
          <w:p>
            <w:pPr>
              <w:spacing w:after="0"/>
              <w:rPr>
                <w:sz w:val="2"/>
                <w:szCs w:val="2"/>
                <w:color w:val="auto"/>
              </w:rPr>
            </w:pPr>
          </w:p>
        </w:tc>
        <w:tc>
          <w:tcPr>
            <w:tcW w:w="660" w:type="dxa"/>
            <w:vAlign w:val="bottom"/>
            <w:shd w:val="clear" w:color="auto" w:fill="325889"/>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325889"/>
          </w:tcPr>
          <w:p>
            <w:pPr>
              <w:spacing w:after="0"/>
              <w:rPr>
                <w:sz w:val="2"/>
                <w:szCs w:val="2"/>
                <w:color w:val="auto"/>
              </w:rPr>
            </w:pPr>
          </w:p>
        </w:tc>
        <w:tc>
          <w:tcPr>
            <w:tcW w:w="620" w:type="dxa"/>
            <w:vAlign w:val="bottom"/>
            <w:shd w:val="clear" w:color="auto" w:fill="325889"/>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325889"/>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325889"/>
          </w:tcPr>
          <w:p>
            <w:pPr>
              <w:spacing w:after="0"/>
              <w:rPr>
                <w:sz w:val="2"/>
                <w:szCs w:val="2"/>
                <w:color w:val="auto"/>
              </w:rPr>
            </w:pPr>
          </w:p>
        </w:tc>
        <w:tc>
          <w:tcPr>
            <w:tcW w:w="640" w:type="dxa"/>
            <w:vAlign w:val="bottom"/>
            <w:shd w:val="clear" w:color="auto" w:fill="325889"/>
          </w:tcPr>
          <w:p>
            <w:pPr>
              <w:spacing w:after="0"/>
              <w:rPr>
                <w:sz w:val="2"/>
                <w:szCs w:val="2"/>
                <w:color w:val="auto"/>
              </w:rPr>
            </w:pPr>
          </w:p>
        </w:tc>
      </w:tr>
      <w:tr>
        <w:trPr>
          <w:trHeight w:val="207"/>
        </w:trPr>
        <w:tc>
          <w:tcPr>
            <w:tcW w:w="8020" w:type="dxa"/>
            <w:vAlign w:val="bottom"/>
          </w:tcPr>
          <w:p>
            <w:pPr>
              <w:spacing w:after="0"/>
              <w:rPr>
                <w:sz w:val="20"/>
                <w:szCs w:val="20"/>
                <w:color w:val="auto"/>
              </w:rPr>
            </w:pPr>
            <w:r>
              <w:rPr>
                <w:rFonts w:ascii="Arial" w:cs="Arial" w:eastAsia="Arial" w:hAnsi="Arial"/>
                <w:sz w:val="15"/>
                <w:szCs w:val="15"/>
                <w:color w:val="auto"/>
              </w:rPr>
              <w:t>Edwin T. Burton, III</w:t>
            </w:r>
          </w:p>
        </w:tc>
        <w:tc>
          <w:tcPr>
            <w:tcW w:w="10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90,000</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300,000</w:t>
            </w:r>
          </w:p>
        </w:tc>
        <w:tc>
          <w:tcPr>
            <w:tcW w:w="1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390,000</w:t>
            </w:r>
          </w:p>
        </w:tc>
      </w:tr>
      <w:tr>
        <w:trPr>
          <w:trHeight w:val="20"/>
        </w:trPr>
        <w:tc>
          <w:tcPr>
            <w:tcW w:w="8020" w:type="dxa"/>
            <w:vAlign w:val="bottom"/>
            <w:shd w:val="clear" w:color="auto" w:fill="98A3B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98A3B8"/>
          </w:tcPr>
          <w:p>
            <w:pPr>
              <w:spacing w:after="0" w:line="20" w:lineRule="exact"/>
              <w:rPr>
                <w:sz w:val="1"/>
                <w:szCs w:val="1"/>
                <w:color w:val="auto"/>
              </w:rPr>
            </w:pPr>
          </w:p>
        </w:tc>
        <w:tc>
          <w:tcPr>
            <w:tcW w:w="660" w:type="dxa"/>
            <w:vAlign w:val="bottom"/>
            <w:shd w:val="clear" w:color="auto" w:fill="98A3B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98A3B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640" w:type="dxa"/>
            <w:vAlign w:val="bottom"/>
            <w:shd w:val="clear" w:color="auto" w:fill="98A3B8"/>
          </w:tcPr>
          <w:p>
            <w:pPr>
              <w:spacing w:after="0" w:line="20" w:lineRule="exact"/>
              <w:rPr>
                <w:sz w:val="1"/>
                <w:szCs w:val="1"/>
                <w:color w:val="auto"/>
              </w:rPr>
            </w:pPr>
          </w:p>
        </w:tc>
      </w:tr>
      <w:tr>
        <w:trPr>
          <w:trHeight w:val="205"/>
        </w:trPr>
        <w:tc>
          <w:tcPr>
            <w:tcW w:w="8020" w:type="dxa"/>
            <w:vAlign w:val="bottom"/>
          </w:tcPr>
          <w:p>
            <w:pPr>
              <w:spacing w:after="0"/>
              <w:rPr>
                <w:sz w:val="20"/>
                <w:szCs w:val="20"/>
                <w:color w:val="auto"/>
              </w:rPr>
            </w:pPr>
            <w:r>
              <w:rPr>
                <w:rFonts w:ascii="Arial" w:cs="Arial" w:eastAsia="Arial" w:hAnsi="Arial"/>
                <w:sz w:val="15"/>
                <w:szCs w:val="15"/>
                <w:color w:val="auto"/>
              </w:rPr>
              <w:t>John H. Alschuler</w:t>
            </w:r>
          </w:p>
        </w:tc>
        <w:tc>
          <w:tcPr>
            <w:tcW w:w="10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192,000</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300,000</w:t>
            </w:r>
          </w:p>
        </w:tc>
        <w:tc>
          <w:tcPr>
            <w:tcW w:w="1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492,000</w:t>
            </w:r>
          </w:p>
        </w:tc>
      </w:tr>
      <w:tr>
        <w:trPr>
          <w:trHeight w:val="20"/>
        </w:trPr>
        <w:tc>
          <w:tcPr>
            <w:tcW w:w="8020" w:type="dxa"/>
            <w:vAlign w:val="bottom"/>
            <w:shd w:val="clear" w:color="auto" w:fill="98A3B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98A3B8"/>
          </w:tcPr>
          <w:p>
            <w:pPr>
              <w:spacing w:after="0" w:line="20" w:lineRule="exact"/>
              <w:rPr>
                <w:sz w:val="1"/>
                <w:szCs w:val="1"/>
                <w:color w:val="auto"/>
              </w:rPr>
            </w:pPr>
          </w:p>
        </w:tc>
        <w:tc>
          <w:tcPr>
            <w:tcW w:w="660" w:type="dxa"/>
            <w:vAlign w:val="bottom"/>
            <w:shd w:val="clear" w:color="auto" w:fill="98A3B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98A3B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640" w:type="dxa"/>
            <w:vAlign w:val="bottom"/>
            <w:shd w:val="clear" w:color="auto" w:fill="98A3B8"/>
          </w:tcPr>
          <w:p>
            <w:pPr>
              <w:spacing w:after="0" w:line="20" w:lineRule="exact"/>
              <w:rPr>
                <w:sz w:val="1"/>
                <w:szCs w:val="1"/>
                <w:color w:val="auto"/>
              </w:rPr>
            </w:pPr>
          </w:p>
        </w:tc>
      </w:tr>
      <w:tr>
        <w:trPr>
          <w:trHeight w:val="205"/>
        </w:trPr>
        <w:tc>
          <w:tcPr>
            <w:tcW w:w="8020" w:type="dxa"/>
            <w:vAlign w:val="bottom"/>
          </w:tcPr>
          <w:p>
            <w:pPr>
              <w:spacing w:after="0"/>
              <w:rPr>
                <w:sz w:val="20"/>
                <w:szCs w:val="20"/>
                <w:color w:val="auto"/>
              </w:rPr>
            </w:pPr>
            <w:r>
              <w:rPr>
                <w:rFonts w:ascii="Arial" w:cs="Arial" w:eastAsia="Arial" w:hAnsi="Arial"/>
                <w:sz w:val="15"/>
                <w:szCs w:val="15"/>
                <w:color w:val="auto"/>
              </w:rPr>
              <w:t>John S. Levy</w:t>
            </w:r>
          </w:p>
        </w:tc>
        <w:tc>
          <w:tcPr>
            <w:tcW w:w="10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85,000</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300,000</w:t>
            </w:r>
          </w:p>
        </w:tc>
        <w:tc>
          <w:tcPr>
            <w:tcW w:w="1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385,000</w:t>
            </w:r>
          </w:p>
        </w:tc>
      </w:tr>
      <w:tr>
        <w:trPr>
          <w:trHeight w:val="20"/>
        </w:trPr>
        <w:tc>
          <w:tcPr>
            <w:tcW w:w="8020" w:type="dxa"/>
            <w:vAlign w:val="bottom"/>
            <w:shd w:val="clear" w:color="auto" w:fill="98A3B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98A3B8"/>
          </w:tcPr>
          <w:p>
            <w:pPr>
              <w:spacing w:after="0" w:line="20" w:lineRule="exact"/>
              <w:rPr>
                <w:sz w:val="1"/>
                <w:szCs w:val="1"/>
                <w:color w:val="auto"/>
              </w:rPr>
            </w:pPr>
          </w:p>
        </w:tc>
        <w:tc>
          <w:tcPr>
            <w:tcW w:w="660" w:type="dxa"/>
            <w:vAlign w:val="bottom"/>
            <w:shd w:val="clear" w:color="auto" w:fill="98A3B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98A3B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640" w:type="dxa"/>
            <w:vAlign w:val="bottom"/>
            <w:shd w:val="clear" w:color="auto" w:fill="98A3B8"/>
          </w:tcPr>
          <w:p>
            <w:pPr>
              <w:spacing w:after="0" w:line="20" w:lineRule="exact"/>
              <w:rPr>
                <w:sz w:val="1"/>
                <w:szCs w:val="1"/>
                <w:color w:val="auto"/>
              </w:rPr>
            </w:pPr>
          </w:p>
        </w:tc>
      </w:tr>
      <w:tr>
        <w:trPr>
          <w:trHeight w:val="205"/>
        </w:trPr>
        <w:tc>
          <w:tcPr>
            <w:tcW w:w="8020" w:type="dxa"/>
            <w:vAlign w:val="bottom"/>
          </w:tcPr>
          <w:p>
            <w:pPr>
              <w:spacing w:after="0"/>
              <w:rPr>
                <w:sz w:val="20"/>
                <w:szCs w:val="20"/>
                <w:color w:val="auto"/>
              </w:rPr>
            </w:pPr>
            <w:r>
              <w:rPr>
                <w:rFonts w:ascii="Arial" w:cs="Arial" w:eastAsia="Arial" w:hAnsi="Arial"/>
                <w:sz w:val="15"/>
                <w:szCs w:val="15"/>
                <w:color w:val="auto"/>
              </w:rPr>
              <w:t>Craig M. Hatkoff</w:t>
            </w:r>
          </w:p>
        </w:tc>
        <w:tc>
          <w:tcPr>
            <w:tcW w:w="10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77,000</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300,000</w:t>
            </w:r>
          </w:p>
        </w:tc>
        <w:tc>
          <w:tcPr>
            <w:tcW w:w="1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377,000</w:t>
            </w:r>
          </w:p>
        </w:tc>
      </w:tr>
      <w:tr>
        <w:trPr>
          <w:trHeight w:val="20"/>
        </w:trPr>
        <w:tc>
          <w:tcPr>
            <w:tcW w:w="8020" w:type="dxa"/>
            <w:vAlign w:val="bottom"/>
            <w:shd w:val="clear" w:color="auto" w:fill="98A3B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98A3B8"/>
          </w:tcPr>
          <w:p>
            <w:pPr>
              <w:spacing w:after="0" w:line="20" w:lineRule="exact"/>
              <w:rPr>
                <w:sz w:val="1"/>
                <w:szCs w:val="1"/>
                <w:color w:val="auto"/>
              </w:rPr>
            </w:pPr>
          </w:p>
        </w:tc>
        <w:tc>
          <w:tcPr>
            <w:tcW w:w="660" w:type="dxa"/>
            <w:vAlign w:val="bottom"/>
            <w:shd w:val="clear" w:color="auto" w:fill="98A3B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98A3B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640" w:type="dxa"/>
            <w:vAlign w:val="bottom"/>
            <w:shd w:val="clear" w:color="auto" w:fill="98A3B8"/>
          </w:tcPr>
          <w:p>
            <w:pPr>
              <w:spacing w:after="0" w:line="20" w:lineRule="exact"/>
              <w:rPr>
                <w:sz w:val="1"/>
                <w:szCs w:val="1"/>
                <w:color w:val="auto"/>
              </w:rPr>
            </w:pPr>
          </w:p>
        </w:tc>
      </w:tr>
      <w:tr>
        <w:trPr>
          <w:trHeight w:val="205"/>
        </w:trPr>
        <w:tc>
          <w:tcPr>
            <w:tcW w:w="8020" w:type="dxa"/>
            <w:vAlign w:val="bottom"/>
          </w:tcPr>
          <w:p>
            <w:pPr>
              <w:spacing w:after="0"/>
              <w:rPr>
                <w:sz w:val="20"/>
                <w:szCs w:val="20"/>
                <w:color w:val="auto"/>
              </w:rPr>
            </w:pPr>
            <w:r>
              <w:rPr>
                <w:rFonts w:ascii="Arial" w:cs="Arial" w:eastAsia="Arial" w:hAnsi="Arial"/>
                <w:sz w:val="15"/>
                <w:szCs w:val="15"/>
                <w:color w:val="auto"/>
              </w:rPr>
              <w:t>Betsy Atkins</w:t>
            </w:r>
          </w:p>
        </w:tc>
        <w:tc>
          <w:tcPr>
            <w:tcW w:w="10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77,000</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300,000</w:t>
            </w:r>
          </w:p>
        </w:tc>
        <w:tc>
          <w:tcPr>
            <w:tcW w:w="1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377,000</w:t>
            </w:r>
          </w:p>
        </w:tc>
      </w:tr>
      <w:tr>
        <w:trPr>
          <w:trHeight w:val="20"/>
        </w:trPr>
        <w:tc>
          <w:tcPr>
            <w:tcW w:w="8020" w:type="dxa"/>
            <w:vAlign w:val="bottom"/>
            <w:shd w:val="clear" w:color="auto" w:fill="98A3B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98A3B8"/>
          </w:tcPr>
          <w:p>
            <w:pPr>
              <w:spacing w:after="0" w:line="20" w:lineRule="exact"/>
              <w:rPr>
                <w:sz w:val="1"/>
                <w:szCs w:val="1"/>
                <w:color w:val="auto"/>
              </w:rPr>
            </w:pPr>
          </w:p>
        </w:tc>
        <w:tc>
          <w:tcPr>
            <w:tcW w:w="660" w:type="dxa"/>
            <w:vAlign w:val="bottom"/>
            <w:shd w:val="clear" w:color="auto" w:fill="98A3B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98A3B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640" w:type="dxa"/>
            <w:vAlign w:val="bottom"/>
            <w:shd w:val="clear" w:color="auto" w:fill="98A3B8"/>
          </w:tcPr>
          <w:p>
            <w:pPr>
              <w:spacing w:after="0" w:line="20" w:lineRule="exact"/>
              <w:rPr>
                <w:sz w:val="1"/>
                <w:szCs w:val="1"/>
                <w:color w:val="auto"/>
              </w:rPr>
            </w:pPr>
          </w:p>
        </w:tc>
      </w:tr>
      <w:tr>
        <w:trPr>
          <w:trHeight w:val="271"/>
        </w:trPr>
        <w:tc>
          <w:tcPr>
            <w:tcW w:w="8020" w:type="dxa"/>
            <w:vAlign w:val="bottom"/>
          </w:tcPr>
          <w:p>
            <w:pPr>
              <w:spacing w:after="0" w:line="271" w:lineRule="exact"/>
              <w:rPr>
                <w:sz w:val="20"/>
                <w:szCs w:val="20"/>
                <w:color w:val="auto"/>
              </w:rPr>
            </w:pPr>
            <w:r>
              <w:rPr>
                <w:rFonts w:ascii="Arial" w:cs="Arial" w:eastAsia="Arial" w:hAnsi="Arial"/>
                <w:sz w:val="15"/>
                <w:szCs w:val="15"/>
                <w:color w:val="auto"/>
              </w:rPr>
              <w:t>Lauren B. Dillard</w:t>
            </w:r>
            <w:r>
              <w:rPr>
                <w:rFonts w:ascii="Arial" w:cs="Arial" w:eastAsia="Arial" w:hAnsi="Arial"/>
                <w:sz w:val="25"/>
                <w:szCs w:val="25"/>
                <w:color w:val="auto"/>
                <w:vertAlign w:val="superscript"/>
              </w:rPr>
              <w:t>(4)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4"/>
        </w:trPr>
        <w:tc>
          <w:tcPr>
            <w:tcW w:w="8020" w:type="dxa"/>
            <w:vAlign w:val="bottom"/>
            <w:shd w:val="clear" w:color="auto" w:fill="325889"/>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325889"/>
          </w:tcPr>
          <w:p>
            <w:pPr>
              <w:spacing w:after="0"/>
              <w:rPr>
                <w:sz w:val="2"/>
                <w:szCs w:val="2"/>
                <w:color w:val="auto"/>
              </w:rPr>
            </w:pPr>
          </w:p>
        </w:tc>
        <w:tc>
          <w:tcPr>
            <w:tcW w:w="660" w:type="dxa"/>
            <w:vAlign w:val="bottom"/>
            <w:shd w:val="clear" w:color="auto" w:fill="325889"/>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325889"/>
          </w:tcPr>
          <w:p>
            <w:pPr>
              <w:spacing w:after="0"/>
              <w:rPr>
                <w:sz w:val="2"/>
                <w:szCs w:val="2"/>
                <w:color w:val="auto"/>
              </w:rPr>
            </w:pPr>
          </w:p>
        </w:tc>
        <w:tc>
          <w:tcPr>
            <w:tcW w:w="620" w:type="dxa"/>
            <w:vAlign w:val="bottom"/>
            <w:shd w:val="clear" w:color="auto" w:fill="325889"/>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325889"/>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325889"/>
          </w:tcPr>
          <w:p>
            <w:pPr>
              <w:spacing w:after="0"/>
              <w:rPr>
                <w:sz w:val="2"/>
                <w:szCs w:val="2"/>
                <w:color w:val="auto"/>
              </w:rPr>
            </w:pPr>
          </w:p>
        </w:tc>
        <w:tc>
          <w:tcPr>
            <w:tcW w:w="640" w:type="dxa"/>
            <w:vAlign w:val="bottom"/>
            <w:shd w:val="clear" w:color="auto" w:fill="325889"/>
          </w:tcPr>
          <w:p>
            <w:pPr>
              <w:spacing w:after="0"/>
              <w:rPr>
                <w:sz w:val="2"/>
                <w:szCs w:val="2"/>
                <w:color w:val="auto"/>
              </w:rPr>
            </w:pPr>
          </w:p>
        </w:tc>
      </w:tr>
    </w:tbl>
    <w:p>
      <w:pPr>
        <w:spacing w:after="0" w:line="59" w:lineRule="exact"/>
        <w:rPr>
          <w:sz w:val="20"/>
          <w:szCs w:val="20"/>
          <w:color w:val="auto"/>
        </w:rPr>
      </w:pPr>
    </w:p>
    <w:p>
      <w:pPr>
        <w:ind w:left="305" w:right="140" w:hanging="305"/>
        <w:spacing w:after="0" w:line="231" w:lineRule="auto"/>
        <w:tabs>
          <w:tab w:leader="none" w:pos="305" w:val="left"/>
        </w:tabs>
        <w:numPr>
          <w:ilvl w:val="0"/>
          <w:numId w:val="16"/>
        </w:numPr>
        <w:rPr>
          <w:rFonts w:ascii="Arial" w:cs="Arial" w:eastAsia="Arial" w:hAnsi="Arial"/>
          <w:sz w:val="12"/>
          <w:szCs w:val="12"/>
          <w:color w:val="auto"/>
        </w:rPr>
      </w:pPr>
      <w:r>
        <w:rPr>
          <w:rFonts w:ascii="Arial" w:cs="Arial" w:eastAsia="Arial" w:hAnsi="Arial"/>
          <w:sz w:val="12"/>
          <w:szCs w:val="12"/>
          <w:color w:val="auto"/>
        </w:rPr>
        <w:t>Mr. Levy deferred all of his 2016 cash compensation and Mr. Alschuler deferred $67,500 of his 2016 cash compensation pursuant to our Non-Employee Directors’ Deferral Program. Mr. Burton elected to receive all of his 2016 cash compensation and Mr. Hatkoff elected to receive $25,000 of his 2016 cash compensation in the form of shares of our common stock. Accordingly, our non-employee directors received the following shares of our common stock or phantom stock units with respect to the portion of their 2016 cash compensation that they elected to defer or receive in stock, as applicable: Mr. Burton received 865 shares, Mr. Alschuler received 648 units, Mr. Levy received 817 units and Mr. Hatkoff received 240 shares.</w:t>
      </w:r>
    </w:p>
    <w:p>
      <w:pPr>
        <w:spacing w:after="0" w:line="50" w:lineRule="exact"/>
        <w:rPr>
          <w:rFonts w:ascii="Arial" w:cs="Arial" w:eastAsia="Arial" w:hAnsi="Arial"/>
          <w:sz w:val="12"/>
          <w:szCs w:val="12"/>
          <w:color w:val="auto"/>
        </w:rPr>
      </w:pPr>
    </w:p>
    <w:p>
      <w:pPr>
        <w:ind w:left="305" w:right="540" w:hanging="305"/>
        <w:spacing w:after="0" w:line="236" w:lineRule="auto"/>
        <w:tabs>
          <w:tab w:leader="none" w:pos="305" w:val="left"/>
        </w:tabs>
        <w:numPr>
          <w:ilvl w:val="0"/>
          <w:numId w:val="16"/>
        </w:numPr>
        <w:rPr>
          <w:rFonts w:ascii="Arial" w:cs="Arial" w:eastAsia="Arial" w:hAnsi="Arial"/>
          <w:sz w:val="12"/>
          <w:szCs w:val="12"/>
          <w:color w:val="auto"/>
        </w:rPr>
      </w:pPr>
      <w:r>
        <w:rPr>
          <w:rFonts w:ascii="Arial" w:cs="Arial" w:eastAsia="Arial" w:hAnsi="Arial"/>
          <w:sz w:val="12"/>
          <w:szCs w:val="12"/>
          <w:color w:val="auto"/>
        </w:rPr>
        <w:t>Amounts shown reflect the full grant date fair value on the date of grant of shares of our common stock or phantom stock units granted to the directors in 2016, excluding shares of our common stock and phantom stock units credited in lieu of annual fees and meeting fees.</w:t>
      </w:r>
    </w:p>
    <w:p>
      <w:pPr>
        <w:spacing w:after="0" w:line="48" w:lineRule="exact"/>
        <w:rPr>
          <w:rFonts w:ascii="Arial" w:cs="Arial" w:eastAsia="Arial" w:hAnsi="Arial"/>
          <w:sz w:val="12"/>
          <w:szCs w:val="12"/>
          <w:color w:val="auto"/>
        </w:rPr>
      </w:pPr>
    </w:p>
    <w:p>
      <w:pPr>
        <w:ind w:left="305" w:right="300" w:hanging="305"/>
        <w:spacing w:after="0" w:line="236" w:lineRule="auto"/>
        <w:tabs>
          <w:tab w:leader="none" w:pos="305"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There were no stock options granted to members of the Board in 2016. At December 31, 2016, the aggregate number of option awards held by our non-employee directors was as follows: Mr. Burton—6,000; Mr. Alschuler—26,500; and Mr. Levy—38,500.</w:t>
      </w:r>
    </w:p>
    <w:p>
      <w:pPr>
        <w:spacing w:after="0" w:line="48" w:lineRule="exact"/>
        <w:rPr>
          <w:rFonts w:ascii="Arial" w:cs="Arial" w:eastAsia="Arial" w:hAnsi="Arial"/>
          <w:sz w:val="12"/>
          <w:szCs w:val="12"/>
          <w:color w:val="auto"/>
        </w:rPr>
      </w:pPr>
    </w:p>
    <w:p>
      <w:pPr>
        <w:ind w:left="305" w:hanging="305"/>
        <w:spacing w:after="0"/>
        <w:tabs>
          <w:tab w:leader="none" w:pos="305" w:val="left"/>
        </w:tabs>
        <w:numPr>
          <w:ilvl w:val="0"/>
          <w:numId w:val="16"/>
        </w:numPr>
        <w:rPr>
          <w:rFonts w:ascii="Arial" w:cs="Arial" w:eastAsia="Arial" w:hAnsi="Arial"/>
          <w:sz w:val="12"/>
          <w:szCs w:val="12"/>
          <w:color w:val="auto"/>
        </w:rPr>
      </w:pPr>
      <w:r>
        <w:rPr>
          <w:rFonts w:ascii="Arial" w:cs="Arial" w:eastAsia="Arial" w:hAnsi="Arial"/>
          <w:sz w:val="12"/>
          <w:szCs w:val="12"/>
          <w:color w:val="auto"/>
        </w:rPr>
        <w:t>Ms. Dillard was appointed to the Board effective December 31, 2016, and did not receive any compensation during the fiscal year ended December 31, 2016.</w:t>
      </w:r>
    </w:p>
    <w:p>
      <w:pPr>
        <w:spacing w:after="0" w:line="186" w:lineRule="exact"/>
        <w:rPr>
          <w:sz w:val="20"/>
          <w:szCs w:val="20"/>
          <w:color w:val="auto"/>
        </w:rPr>
      </w:pPr>
    </w:p>
    <w:p>
      <w:pPr>
        <w:ind w:left="265" w:hanging="265"/>
        <w:spacing w:after="0"/>
        <w:tabs>
          <w:tab w:leader="none" w:pos="265" w:val="left"/>
        </w:tabs>
        <w:numPr>
          <w:ilvl w:val="0"/>
          <w:numId w:val="17"/>
        </w:numPr>
        <w:rPr>
          <w:rFonts w:ascii="Arial" w:cs="Arial" w:eastAsia="Arial" w:hAnsi="Arial"/>
          <w:sz w:val="15"/>
          <w:szCs w:val="15"/>
          <w:color w:val="325889"/>
        </w:rPr>
      </w:pPr>
      <w:r>
        <w:rPr>
          <w:rFonts w:ascii="Arial" w:cs="Arial" w:eastAsia="Arial" w:hAnsi="Arial"/>
          <w:sz w:val="15"/>
          <w:szCs w:val="15"/>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83450" cy="20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5"/>
          </w:cols>
          <w:pgMar w:left="235" w:top="528" w:right="219" w:bottom="1440" w:gutter="0" w:footer="0" w:header="0"/>
        </w:sectPr>
      </w:pPr>
    </w:p>
    <w:bookmarkStart w:id="20" w:name="page21"/>
    <w:bookmarkEnd w:id="20"/>
    <w:p>
      <w:pPr>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ind w:left="6780"/>
        <w:spacing w:after="0"/>
        <w:rPr>
          <w:sz w:val="20"/>
          <w:szCs w:val="20"/>
          <w:color w:val="auto"/>
        </w:rPr>
      </w:pPr>
      <w:r>
        <w:rPr>
          <w:rFonts w:ascii="Arial" w:cs="Arial" w:eastAsia="Arial" w:hAnsi="Arial"/>
          <w:sz w:val="15"/>
          <w:szCs w:val="15"/>
          <w:u w:val="single" w:color="auto"/>
          <w:color w:val="325889"/>
        </w:rPr>
        <w:t>OUR BOARD OF DIRECTORS AND CORPORATE GOVERNANCE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Only non-employee Directors are compensated for service on the Board. During the fiscal year ended December 31, 2016, the fees for non-employee Directors were: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0540" w:type="dxa"/>
            <w:vAlign w:val="bottom"/>
            <w:gridSpan w:val="2"/>
          </w:tcPr>
          <w:p>
            <w:pPr>
              <w:spacing w:after="0"/>
              <w:rPr>
                <w:sz w:val="20"/>
                <w:szCs w:val="20"/>
                <w:color w:val="auto"/>
              </w:rPr>
            </w:pPr>
            <w:r>
              <w:rPr>
                <w:rFonts w:ascii="Arial" w:cs="Arial" w:eastAsia="Arial" w:hAnsi="Arial"/>
                <w:sz w:val="12"/>
                <w:szCs w:val="12"/>
                <w:b w:val="1"/>
                <w:bCs w:val="1"/>
                <w:color w:val="auto"/>
              </w:rPr>
              <w:t>Annual cash retainers</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41"/>
        </w:trPr>
        <w:tc>
          <w:tcPr>
            <w:tcW w:w="10400" w:type="dxa"/>
            <w:vAlign w:val="bottom"/>
            <w:tcBorders>
              <w:bottom w:val="single" w:sz="8" w:color="325889"/>
            </w:tcBorders>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Borders>
              <w:bottom w:val="single" w:sz="8" w:color="325889"/>
            </w:tcBorders>
          </w:tcPr>
          <w:p>
            <w:pPr>
              <w:spacing w:after="0"/>
              <w:rPr>
                <w:sz w:val="3"/>
                <w:szCs w:val="3"/>
                <w:color w:val="auto"/>
              </w:rPr>
            </w:pPr>
          </w:p>
        </w:tc>
        <w:tc>
          <w:tcPr>
            <w:tcW w:w="680" w:type="dxa"/>
            <w:vAlign w:val="bottom"/>
            <w:tcBorders>
              <w:bottom w:val="single" w:sz="8" w:color="325889"/>
            </w:tcBorders>
          </w:tcPr>
          <w:p>
            <w:pPr>
              <w:spacing w:after="0"/>
              <w:rPr>
                <w:sz w:val="3"/>
                <w:szCs w:val="3"/>
                <w:color w:val="auto"/>
              </w:rPr>
            </w:pPr>
          </w:p>
        </w:tc>
      </w:tr>
      <w:tr>
        <w:trPr>
          <w:trHeight w:val="207"/>
        </w:trPr>
        <w:tc>
          <w:tcPr>
            <w:tcW w:w="1040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Cash retainer</w:t>
            </w:r>
          </w:p>
        </w:tc>
        <w:tc>
          <w:tcPr>
            <w:tcW w:w="140" w:type="dxa"/>
            <w:vAlign w:val="bottom"/>
          </w:tcPr>
          <w:p>
            <w:pPr>
              <w:spacing w:after="0"/>
              <w:rPr>
                <w:sz w:val="17"/>
                <w:szCs w:val="17"/>
                <w:color w:val="auto"/>
              </w:rPr>
            </w:pPr>
          </w:p>
        </w:tc>
        <w:tc>
          <w:tcPr>
            <w:tcW w:w="220" w:type="dxa"/>
            <w:vAlign w:val="bottom"/>
            <w:tcBorders>
              <w:bottom w:val="single" w:sz="8" w:color="98A3B8"/>
            </w:tcBorders>
          </w:tcPr>
          <w:p>
            <w:pPr>
              <w:jc w:val="right"/>
              <w:ind w:right="63"/>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50,000</w:t>
            </w:r>
          </w:p>
        </w:tc>
      </w:tr>
      <w:tr>
        <w:trPr>
          <w:trHeight w:val="205"/>
        </w:trPr>
        <w:tc>
          <w:tcPr>
            <w:tcW w:w="1040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Additional cash retainer if serving as the Lead Independent Director</w:t>
            </w:r>
          </w:p>
        </w:tc>
        <w:tc>
          <w:tcPr>
            <w:tcW w:w="140" w:type="dxa"/>
            <w:vAlign w:val="bottom"/>
          </w:tcPr>
          <w:p>
            <w:pPr>
              <w:spacing w:after="0"/>
              <w:rPr>
                <w:sz w:val="17"/>
                <w:szCs w:val="17"/>
                <w:color w:val="auto"/>
              </w:rPr>
            </w:pPr>
          </w:p>
        </w:tc>
        <w:tc>
          <w:tcPr>
            <w:tcW w:w="220" w:type="dxa"/>
            <w:vAlign w:val="bottom"/>
            <w:tcBorders>
              <w:bottom w:val="single" w:sz="8" w:color="98A3B8"/>
            </w:tcBorders>
          </w:tcPr>
          <w:p>
            <w:pPr>
              <w:jc w:val="right"/>
              <w:ind w:right="63"/>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85,000</w:t>
            </w:r>
          </w:p>
        </w:tc>
      </w:tr>
      <w:tr>
        <w:trPr>
          <w:trHeight w:val="205"/>
        </w:trPr>
        <w:tc>
          <w:tcPr>
            <w:tcW w:w="1040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Additional cash retainer if serving as a chair of the Audit Committee</w:t>
            </w:r>
          </w:p>
        </w:tc>
        <w:tc>
          <w:tcPr>
            <w:tcW w:w="140" w:type="dxa"/>
            <w:vAlign w:val="bottom"/>
          </w:tcPr>
          <w:p>
            <w:pPr>
              <w:spacing w:after="0"/>
              <w:rPr>
                <w:sz w:val="17"/>
                <w:szCs w:val="17"/>
                <w:color w:val="auto"/>
              </w:rPr>
            </w:pPr>
          </w:p>
        </w:tc>
        <w:tc>
          <w:tcPr>
            <w:tcW w:w="220" w:type="dxa"/>
            <w:vAlign w:val="bottom"/>
            <w:tcBorders>
              <w:bottom w:val="single" w:sz="8" w:color="98A3B8"/>
            </w:tcBorders>
          </w:tcPr>
          <w:p>
            <w:pPr>
              <w:jc w:val="right"/>
              <w:ind w:right="63"/>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10,000</w:t>
            </w:r>
          </w:p>
        </w:tc>
      </w:tr>
      <w:tr>
        <w:trPr>
          <w:trHeight w:val="205"/>
        </w:trPr>
        <w:tc>
          <w:tcPr>
            <w:tcW w:w="1040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Additional cash retainer if serving as a chair of the Compensation Committee</w:t>
            </w:r>
          </w:p>
        </w:tc>
        <w:tc>
          <w:tcPr>
            <w:tcW w:w="140" w:type="dxa"/>
            <w:vAlign w:val="bottom"/>
          </w:tcPr>
          <w:p>
            <w:pPr>
              <w:spacing w:after="0"/>
              <w:rPr>
                <w:sz w:val="17"/>
                <w:szCs w:val="17"/>
                <w:color w:val="auto"/>
              </w:rPr>
            </w:pPr>
          </w:p>
        </w:tc>
        <w:tc>
          <w:tcPr>
            <w:tcW w:w="220" w:type="dxa"/>
            <w:vAlign w:val="bottom"/>
            <w:tcBorders>
              <w:bottom w:val="single" w:sz="8" w:color="98A3B8"/>
            </w:tcBorders>
          </w:tcPr>
          <w:p>
            <w:pPr>
              <w:jc w:val="right"/>
              <w:ind w:right="63"/>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7,500</w:t>
            </w:r>
          </w:p>
        </w:tc>
      </w:tr>
      <w:tr>
        <w:trPr>
          <w:trHeight w:val="205"/>
        </w:trPr>
        <w:tc>
          <w:tcPr>
            <w:tcW w:w="1040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Additional cash retainer if serving as a chair of the Corporate Governance Committee</w:t>
            </w:r>
          </w:p>
        </w:tc>
        <w:tc>
          <w:tcPr>
            <w:tcW w:w="140" w:type="dxa"/>
            <w:vAlign w:val="bottom"/>
          </w:tcPr>
          <w:p>
            <w:pPr>
              <w:spacing w:after="0"/>
              <w:rPr>
                <w:sz w:val="17"/>
                <w:szCs w:val="17"/>
                <w:color w:val="auto"/>
              </w:rPr>
            </w:pPr>
          </w:p>
        </w:tc>
        <w:tc>
          <w:tcPr>
            <w:tcW w:w="220" w:type="dxa"/>
            <w:vAlign w:val="bottom"/>
            <w:tcBorders>
              <w:bottom w:val="single" w:sz="8" w:color="98A3B8"/>
            </w:tcBorders>
          </w:tcPr>
          <w:p>
            <w:pPr>
              <w:jc w:val="right"/>
              <w:ind w:right="63"/>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5,000</w:t>
            </w:r>
          </w:p>
        </w:tc>
      </w:tr>
      <w:tr>
        <w:trPr>
          <w:trHeight w:val="175"/>
        </w:trPr>
        <w:tc>
          <w:tcPr>
            <w:tcW w:w="10540" w:type="dxa"/>
            <w:vAlign w:val="bottom"/>
            <w:gridSpan w:val="2"/>
          </w:tcPr>
          <w:p>
            <w:pPr>
              <w:spacing w:after="0"/>
              <w:rPr>
                <w:sz w:val="20"/>
                <w:szCs w:val="20"/>
                <w:color w:val="auto"/>
              </w:rPr>
            </w:pPr>
            <w:r>
              <w:rPr>
                <w:rFonts w:ascii="Arial" w:cs="Arial" w:eastAsia="Arial" w:hAnsi="Arial"/>
                <w:sz w:val="12"/>
                <w:szCs w:val="12"/>
                <w:b w:val="1"/>
                <w:bCs w:val="1"/>
                <w:color w:val="auto"/>
              </w:rPr>
              <w:t>Meeting fees</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7"/>
        </w:trPr>
        <w:tc>
          <w:tcPr>
            <w:tcW w:w="10400" w:type="dxa"/>
            <w:vAlign w:val="bottom"/>
            <w:tcBorders>
              <w:bottom w:val="single" w:sz="8" w:color="98A3B8"/>
            </w:tcBorders>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Borders>
              <w:bottom w:val="single" w:sz="8" w:color="98A3B8"/>
            </w:tcBorders>
          </w:tcPr>
          <w:p>
            <w:pPr>
              <w:spacing w:after="0"/>
              <w:rPr>
                <w:sz w:val="3"/>
                <w:szCs w:val="3"/>
                <w:color w:val="auto"/>
              </w:rPr>
            </w:pPr>
          </w:p>
        </w:tc>
        <w:tc>
          <w:tcPr>
            <w:tcW w:w="680" w:type="dxa"/>
            <w:vAlign w:val="bottom"/>
            <w:tcBorders>
              <w:bottom w:val="single" w:sz="8" w:color="98A3B8"/>
            </w:tcBorders>
          </w:tcPr>
          <w:p>
            <w:pPr>
              <w:spacing w:after="0"/>
              <w:rPr>
                <w:sz w:val="3"/>
                <w:szCs w:val="3"/>
                <w:color w:val="auto"/>
              </w:rPr>
            </w:pPr>
          </w:p>
        </w:tc>
      </w:tr>
      <w:tr>
        <w:trPr>
          <w:trHeight w:val="199"/>
        </w:trPr>
        <w:tc>
          <w:tcPr>
            <w:tcW w:w="1040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For each meeting of the Board or a committee of the Board</w:t>
            </w:r>
          </w:p>
        </w:tc>
        <w:tc>
          <w:tcPr>
            <w:tcW w:w="140" w:type="dxa"/>
            <w:vAlign w:val="bottom"/>
          </w:tcPr>
          <w:p>
            <w:pPr>
              <w:spacing w:after="0"/>
              <w:rPr>
                <w:sz w:val="17"/>
                <w:szCs w:val="17"/>
                <w:color w:val="auto"/>
              </w:rPr>
            </w:pPr>
          </w:p>
        </w:tc>
        <w:tc>
          <w:tcPr>
            <w:tcW w:w="220" w:type="dxa"/>
            <w:vAlign w:val="bottom"/>
            <w:tcBorders>
              <w:bottom w:val="single" w:sz="8" w:color="98A3B8"/>
            </w:tcBorders>
          </w:tcPr>
          <w:p>
            <w:pPr>
              <w:jc w:val="right"/>
              <w:ind w:right="63"/>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1,500</w:t>
            </w:r>
          </w:p>
        </w:tc>
      </w:tr>
      <w:tr>
        <w:trPr>
          <w:trHeight w:val="205"/>
        </w:trPr>
        <w:tc>
          <w:tcPr>
            <w:tcW w:w="1040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For each special meeting of the Audit Committee held independently of Board meetings</w:t>
            </w:r>
          </w:p>
        </w:tc>
        <w:tc>
          <w:tcPr>
            <w:tcW w:w="140" w:type="dxa"/>
            <w:vAlign w:val="bottom"/>
          </w:tcPr>
          <w:p>
            <w:pPr>
              <w:spacing w:after="0"/>
              <w:rPr>
                <w:sz w:val="17"/>
                <w:szCs w:val="17"/>
                <w:color w:val="auto"/>
              </w:rPr>
            </w:pPr>
          </w:p>
        </w:tc>
        <w:tc>
          <w:tcPr>
            <w:tcW w:w="220" w:type="dxa"/>
            <w:vAlign w:val="bottom"/>
            <w:tcBorders>
              <w:bottom w:val="single" w:sz="8" w:color="98A3B8"/>
            </w:tcBorders>
          </w:tcPr>
          <w:p>
            <w:pPr>
              <w:jc w:val="right"/>
              <w:ind w:right="63"/>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4,000</w:t>
            </w:r>
          </w:p>
        </w:tc>
      </w:tr>
      <w:tr>
        <w:trPr>
          <w:trHeight w:val="175"/>
        </w:trPr>
        <w:tc>
          <w:tcPr>
            <w:tcW w:w="10540" w:type="dxa"/>
            <w:vAlign w:val="bottom"/>
            <w:gridSpan w:val="2"/>
          </w:tcPr>
          <w:p>
            <w:pPr>
              <w:spacing w:after="0"/>
              <w:rPr>
                <w:sz w:val="20"/>
                <w:szCs w:val="20"/>
                <w:color w:val="auto"/>
              </w:rPr>
            </w:pPr>
            <w:r>
              <w:rPr>
                <w:rFonts w:ascii="Arial" w:cs="Arial" w:eastAsia="Arial" w:hAnsi="Arial"/>
                <w:sz w:val="12"/>
                <w:szCs w:val="12"/>
                <w:b w:val="1"/>
                <w:bCs w:val="1"/>
                <w:color w:val="auto"/>
              </w:rPr>
              <w:t>Stock grant</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7"/>
        </w:trPr>
        <w:tc>
          <w:tcPr>
            <w:tcW w:w="10400" w:type="dxa"/>
            <w:vAlign w:val="bottom"/>
            <w:tcBorders>
              <w:bottom w:val="single" w:sz="8" w:color="98A3B8"/>
            </w:tcBorders>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Borders>
              <w:bottom w:val="single" w:sz="8" w:color="98A3B8"/>
            </w:tcBorders>
          </w:tcPr>
          <w:p>
            <w:pPr>
              <w:spacing w:after="0"/>
              <w:rPr>
                <w:sz w:val="3"/>
                <w:szCs w:val="3"/>
                <w:color w:val="auto"/>
              </w:rPr>
            </w:pPr>
          </w:p>
        </w:tc>
        <w:tc>
          <w:tcPr>
            <w:tcW w:w="680" w:type="dxa"/>
            <w:vAlign w:val="bottom"/>
            <w:tcBorders>
              <w:bottom w:val="single" w:sz="8" w:color="98A3B8"/>
            </w:tcBorders>
          </w:tcPr>
          <w:p>
            <w:pPr>
              <w:spacing w:after="0"/>
              <w:rPr>
                <w:sz w:val="3"/>
                <w:szCs w:val="3"/>
                <w:color w:val="auto"/>
              </w:rPr>
            </w:pPr>
          </w:p>
        </w:tc>
      </w:tr>
      <w:tr>
        <w:trPr>
          <w:trHeight w:val="209"/>
        </w:trPr>
        <w:tc>
          <w:tcPr>
            <w:tcW w:w="10400" w:type="dxa"/>
            <w:vAlign w:val="bottom"/>
            <w:tcBorders>
              <w:bottom w:val="single" w:sz="8" w:color="325889"/>
            </w:tcBorders>
          </w:tcPr>
          <w:p>
            <w:pPr>
              <w:spacing w:after="0"/>
              <w:rPr>
                <w:sz w:val="20"/>
                <w:szCs w:val="20"/>
                <w:color w:val="auto"/>
              </w:rPr>
            </w:pPr>
            <w:r>
              <w:rPr>
                <w:rFonts w:ascii="Arial" w:cs="Arial" w:eastAsia="Arial" w:hAnsi="Arial"/>
                <w:sz w:val="15"/>
                <w:szCs w:val="15"/>
                <w:color w:val="auto"/>
              </w:rPr>
              <w:t>Valued at the grant date with shares fully vested on such grant date.</w:t>
            </w:r>
          </w:p>
        </w:tc>
        <w:tc>
          <w:tcPr>
            <w:tcW w:w="140" w:type="dxa"/>
            <w:vAlign w:val="bottom"/>
          </w:tcPr>
          <w:p>
            <w:pPr>
              <w:spacing w:after="0"/>
              <w:rPr>
                <w:sz w:val="18"/>
                <w:szCs w:val="18"/>
                <w:color w:val="auto"/>
              </w:rPr>
            </w:pPr>
          </w:p>
        </w:tc>
        <w:tc>
          <w:tcPr>
            <w:tcW w:w="220" w:type="dxa"/>
            <w:vAlign w:val="bottom"/>
            <w:tcBorders>
              <w:bottom w:val="single" w:sz="8" w:color="325889"/>
            </w:tcBorders>
          </w:tcPr>
          <w:p>
            <w:pPr>
              <w:jc w:val="right"/>
              <w:ind w:right="63"/>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325889"/>
            </w:tcBorders>
          </w:tcPr>
          <w:p>
            <w:pPr>
              <w:jc w:val="right"/>
              <w:spacing w:after="0"/>
              <w:rPr>
                <w:sz w:val="20"/>
                <w:szCs w:val="20"/>
                <w:color w:val="auto"/>
              </w:rPr>
            </w:pPr>
            <w:r>
              <w:rPr>
                <w:rFonts w:ascii="Arial" w:cs="Arial" w:eastAsia="Arial" w:hAnsi="Arial"/>
                <w:sz w:val="15"/>
                <w:szCs w:val="15"/>
                <w:color w:val="auto"/>
              </w:rPr>
              <w:t>300,000</w:t>
            </w:r>
          </w:p>
        </w:tc>
      </w:tr>
    </w:tbl>
    <w:p>
      <w:pPr>
        <w:spacing w:after="0" w:line="200" w:lineRule="exact"/>
        <w:rPr>
          <w:sz w:val="20"/>
          <w:szCs w:val="20"/>
          <w:color w:val="auto"/>
        </w:rPr>
      </w:pPr>
    </w:p>
    <w:p>
      <w:pPr>
        <w:spacing w:after="0" w:line="206" w:lineRule="exact"/>
        <w:rPr>
          <w:sz w:val="20"/>
          <w:szCs w:val="20"/>
          <w:color w:val="auto"/>
        </w:rPr>
      </w:pPr>
    </w:p>
    <w:p>
      <w:pPr>
        <w:ind w:right="260"/>
        <w:spacing w:after="0" w:line="265" w:lineRule="auto"/>
        <w:rPr>
          <w:sz w:val="20"/>
          <w:szCs w:val="20"/>
          <w:color w:val="auto"/>
        </w:rPr>
      </w:pPr>
      <w:r>
        <w:rPr>
          <w:rFonts w:ascii="Arial" w:cs="Arial" w:eastAsia="Arial" w:hAnsi="Arial"/>
          <w:sz w:val="15"/>
          <w:szCs w:val="15"/>
          <w:color w:val="auto"/>
        </w:rPr>
        <w:t>The annual fees and meeting fees generally are payable quarterly in cash. Each director may elect to receive some or all of these fees in stock and, as noted below, may elect to defer some or all of these fees.</w:t>
      </w:r>
    </w:p>
    <w:p>
      <w:pPr>
        <w:spacing w:after="0" w:line="165" w:lineRule="exact"/>
        <w:rPr>
          <w:sz w:val="20"/>
          <w:szCs w:val="20"/>
          <w:color w:val="auto"/>
        </w:rPr>
      </w:pPr>
    </w:p>
    <w:p>
      <w:pPr>
        <w:ind w:right="40"/>
        <w:spacing w:after="0" w:line="249" w:lineRule="auto"/>
        <w:rPr>
          <w:sz w:val="20"/>
          <w:szCs w:val="20"/>
          <w:color w:val="auto"/>
        </w:rPr>
      </w:pPr>
      <w:r>
        <w:rPr>
          <w:rFonts w:ascii="Arial" w:cs="Arial" w:eastAsia="Arial" w:hAnsi="Arial"/>
          <w:sz w:val="15"/>
          <w:szCs w:val="15"/>
          <w:color w:val="auto"/>
        </w:rPr>
        <w:t>Under our Non-Employee Directors’ Deferral Program, our non-employee directors were entitled to elect to defer up to 100% of their annual fees, meeting fees and annual stock grant. At each director’s election, cash fees deferred under the program could be credited in the form of either phantom stock units, account credits that accrue earnings or losses based on the 30-day LIBOR rate at the beginning of each month plus 2% (or based on such other rate or the performance of such investments as may be determined in advance by the Board) or measurement fund credits that track the performance of one or more open-ended mutual funds selected by the director. Stock grants deferred under the program are credited in the form of phantom stock units. Subject to limitations contained in the program, on a fixed date each quarter, a director may convert phantom stock units into account credits or measurement fund credits or vice versa or change the mutual funds that some or all of the director’s measurement fund credits track. All cash fees credited as, and conversions of or into, phantom stock units or measurement fund credits are based on the fair market value of our common stock or the applicable mutual fund on the date the cash fees otherwise would have been paid or the date of the conversion, as applicable. Unless otherwise elected by a director, a director’s phantom stock units, account credits and measurement fund credits are payable on the earlier of the January 1st coincident with or next following the director’s termination of service from the Board, or a change in control of the Company, as defined by the program. Phantom stock units are payable in an equal number of shares of our common stock; provided that we may elect to instead settle a director’s phantom stock units by paying the director cash in an amount equal to the value of such shares of common stock. Account credits and measurement fund credits are payable in cash. Under the program, each director is entitled to receive dividend equivalents that are paid currently on the director’s phantom stock units, unless the director elected to defer payment of such dividend equivalents and have them concurrently reinvested into additional phantom stock units.</w:t>
      </w:r>
    </w:p>
    <w:p>
      <w:pPr>
        <w:spacing w:after="0" w:line="176" w:lineRule="exact"/>
        <w:rPr>
          <w:sz w:val="20"/>
          <w:szCs w:val="20"/>
          <w:color w:val="auto"/>
        </w:rPr>
      </w:pPr>
    </w:p>
    <w:p>
      <w:pPr>
        <w:ind w:right="80"/>
        <w:spacing w:after="0" w:line="265" w:lineRule="auto"/>
        <w:rPr>
          <w:sz w:val="20"/>
          <w:szCs w:val="20"/>
          <w:color w:val="auto"/>
        </w:rPr>
      </w:pPr>
      <w:r>
        <w:rPr>
          <w:rFonts w:ascii="Arial" w:cs="Arial" w:eastAsia="Arial" w:hAnsi="Arial"/>
          <w:sz w:val="15"/>
          <w:szCs w:val="15"/>
          <w:color w:val="auto"/>
        </w:rPr>
        <w:t>For the fiscal year ending 2017, we increased the annual cash retainer for serving as chair of our Audit Committee from $10,000 to $25,000, but otherwise retained the same director compensation arrangements that were in place for 2016.</w:t>
      </w:r>
    </w:p>
    <w:p>
      <w:pPr>
        <w:spacing w:after="0" w:line="165" w:lineRule="exact"/>
        <w:rPr>
          <w:sz w:val="20"/>
          <w:szCs w:val="20"/>
          <w:color w:val="auto"/>
        </w:rPr>
      </w:pPr>
    </w:p>
    <w:p>
      <w:pPr>
        <w:ind w:left="9660"/>
        <w:spacing w:after="0"/>
        <w:rPr>
          <w:sz w:val="20"/>
          <w:szCs w:val="20"/>
          <w:color w:val="auto"/>
        </w:rPr>
      </w:pPr>
      <w:r>
        <w:rPr>
          <w:rFonts w:ascii="Arial" w:cs="Arial" w:eastAsia="Arial" w:hAnsi="Arial"/>
          <w:sz w:val="15"/>
          <w:szCs w:val="15"/>
          <w:color w:val="auto"/>
        </w:rPr>
        <w:t xml:space="preserve">2017 Proxy Statement </w:t>
      </w:r>
      <w:r>
        <w:rPr>
          <w:rFonts w:ascii="Arial" w:cs="Arial" w:eastAsia="Arial" w:hAnsi="Arial"/>
          <w:sz w:val="15"/>
          <w:szCs w:val="15"/>
          <w:color w:val="325889"/>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83450" cy="20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0"/>
          </w:cols>
          <w:pgMar w:left="240" w:top="528" w:right="219" w:bottom="1440" w:gutter="0" w:footer="0" w:header="0"/>
        </w:sectPr>
      </w:pPr>
    </w:p>
    <w:bookmarkStart w:id="21" w:name="page22"/>
    <w:bookmarkEnd w:id="21"/>
    <w:p>
      <w:pPr>
        <w:ind w:left="5"/>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ind w:left="5"/>
        <w:spacing w:after="0"/>
        <w:rPr>
          <w:sz w:val="20"/>
          <w:szCs w:val="20"/>
          <w:color w:val="auto"/>
        </w:rPr>
      </w:pPr>
      <w:r>
        <w:rPr>
          <w:rFonts w:ascii="Arial" w:cs="Arial" w:eastAsia="Arial" w:hAnsi="Arial"/>
          <w:sz w:val="15"/>
          <w:szCs w:val="15"/>
          <w:u w:val="single" w:color="auto"/>
          <w:color w:val="325889"/>
        </w:rPr>
        <w:t>OUR BOARD OF DIRECTORS AND CORPORATE GOVERNANCE</w:t>
      </w:r>
    </w:p>
    <w:p>
      <w:pPr>
        <w:spacing w:after="0" w:line="166"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263130"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3130" cy="15240"/>
                    </a:xfrm>
                    <a:prstGeom prst="rect">
                      <a:avLst/>
                    </a:prstGeom>
                    <a:noFill/>
                  </pic:spPr>
                </pic:pic>
              </a:graphicData>
            </a:graphic>
          </wp:anchor>
        </w:drawing>
      </w:r>
    </w:p>
    <w:p>
      <w:pPr>
        <w:spacing w:after="0" w:line="231" w:lineRule="exact"/>
        <w:rPr>
          <w:sz w:val="20"/>
          <w:szCs w:val="20"/>
          <w:color w:val="auto"/>
        </w:rPr>
      </w:pPr>
    </w:p>
    <w:p>
      <w:pPr>
        <w:ind w:left="5"/>
        <w:spacing w:after="0"/>
        <w:rPr>
          <w:sz w:val="20"/>
          <w:szCs w:val="20"/>
          <w:color w:val="auto"/>
        </w:rPr>
      </w:pPr>
      <w:r>
        <w:rPr>
          <w:rFonts w:ascii="Arial" w:cs="Arial" w:eastAsia="Arial" w:hAnsi="Arial"/>
          <w:sz w:val="15"/>
          <w:szCs w:val="15"/>
          <w:color w:val="auto"/>
        </w:rPr>
        <w:t>The following sets forth biographical information regarding our executive officers who are not also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7263130" cy="3619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3130" cy="361950"/>
                    </a:xfrm>
                    <a:prstGeom prst="rect">
                      <a:avLst/>
                    </a:prstGeom>
                    <a:noFill/>
                  </pic:spPr>
                </pic:pic>
              </a:graphicData>
            </a:graphic>
          </wp:anchor>
        </w:drawing>
      </w:r>
    </w:p>
    <w:p>
      <w:pPr>
        <w:spacing w:after="0" w:line="226" w:lineRule="exact"/>
        <w:rPr>
          <w:sz w:val="20"/>
          <w:szCs w:val="20"/>
          <w:color w:val="auto"/>
        </w:rPr>
      </w:pPr>
    </w:p>
    <w:p>
      <w:pPr>
        <w:ind w:left="105"/>
        <w:spacing w:after="0"/>
        <w:rPr>
          <w:sz w:val="20"/>
          <w:szCs w:val="20"/>
          <w:color w:val="auto"/>
        </w:rPr>
      </w:pPr>
      <w:r>
        <w:rPr>
          <w:rFonts w:ascii="Arial" w:cs="Arial" w:eastAsia="Arial" w:hAnsi="Arial"/>
          <w:sz w:val="19"/>
          <w:szCs w:val="19"/>
          <w:b w:val="1"/>
          <w:bCs w:val="1"/>
          <w:color w:val="325889"/>
        </w:rPr>
        <w:t>Matthew J.</w:t>
      </w:r>
    </w:p>
    <w:p>
      <w:pPr>
        <w:spacing w:after="0" w:line="19" w:lineRule="exact"/>
        <w:rPr>
          <w:sz w:val="20"/>
          <w:szCs w:val="20"/>
          <w:color w:val="auto"/>
        </w:rPr>
      </w:pPr>
    </w:p>
    <w:p>
      <w:pPr>
        <w:ind w:left="185"/>
        <w:spacing w:after="0"/>
        <w:rPr>
          <w:sz w:val="20"/>
          <w:szCs w:val="20"/>
          <w:color w:val="auto"/>
        </w:rPr>
      </w:pPr>
      <w:r>
        <w:rPr>
          <w:rFonts w:ascii="Arial" w:cs="Arial" w:eastAsia="Arial" w:hAnsi="Arial"/>
          <w:sz w:val="19"/>
          <w:szCs w:val="19"/>
          <w:b w:val="1"/>
          <w:bCs w:val="1"/>
          <w:color w:val="325889"/>
        </w:rPr>
        <w:t>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53745" cy="9944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53745" cy="994410"/>
                    </a:xfrm>
                    <a:prstGeom prst="rect">
                      <a:avLst/>
                    </a:prstGeom>
                    <a:noFill/>
                  </pic:spPr>
                </pic:pic>
              </a:graphicData>
            </a:graphic>
          </wp:anchor>
        </w:drawing>
      </w:r>
    </w:p>
    <w:p>
      <w:pPr>
        <w:spacing w:after="0" w:line="84" w:lineRule="exact"/>
        <w:rPr>
          <w:sz w:val="20"/>
          <w:szCs w:val="20"/>
          <w:color w:val="auto"/>
        </w:rPr>
      </w:pPr>
    </w:p>
    <w:p>
      <w:pPr>
        <w:ind w:left="1285" w:right="20"/>
        <w:spacing w:after="0" w:line="252" w:lineRule="auto"/>
        <w:rPr>
          <w:sz w:val="20"/>
          <w:szCs w:val="20"/>
          <w:color w:val="auto"/>
        </w:rPr>
      </w:pPr>
      <w:r>
        <w:rPr>
          <w:rFonts w:ascii="Arial" w:cs="Arial" w:eastAsia="Arial" w:hAnsi="Arial"/>
          <w:sz w:val="15"/>
          <w:szCs w:val="15"/>
          <w:b w:val="1"/>
          <w:bCs w:val="1"/>
          <w:color w:val="auto"/>
        </w:rPr>
        <w:t xml:space="preserve">Matthew J. DiLiberto </w:t>
      </w:r>
      <w:r>
        <w:rPr>
          <w:rFonts w:ascii="Arial" w:cs="Arial" w:eastAsia="Arial" w:hAnsi="Arial"/>
          <w:sz w:val="15"/>
          <w:szCs w:val="15"/>
          <w:color w:val="auto"/>
        </w:rPr>
        <w:t>joined the Company in September 2004 and currently serves as the Company’s Chief Financial Officer overseeing the</w:t>
      </w:r>
      <w:r>
        <w:rPr>
          <w:rFonts w:ascii="Arial" w:cs="Arial" w:eastAsia="Arial" w:hAnsi="Arial"/>
          <w:sz w:val="15"/>
          <w:szCs w:val="15"/>
          <w:b w:val="1"/>
          <w:bCs w:val="1"/>
          <w:color w:val="auto"/>
        </w:rPr>
        <w:t xml:space="preserve"> </w:t>
      </w:r>
      <w:r>
        <w:rPr>
          <w:rFonts w:ascii="Arial" w:cs="Arial" w:eastAsia="Arial" w:hAnsi="Arial"/>
          <w:sz w:val="15"/>
          <w:szCs w:val="15"/>
          <w:color w:val="auto"/>
        </w:rPr>
        <w:t>finance, accounting, tax, investor relations and corporate capital markets functions of the organization. Mr. DiLiberto previously served as the Company’s Chief Accounting Officer &amp; Treasurer from 2007 to 2014. From June 2000 to September 2004, Mr. DiLiberto was with Roseland, New Jersey-based Chelsea Property Group, now a division of Simon Property Group, a REIT focused on the development and ownership of premium outlet centers, where he was a Controller and Director of Information Management. From August 1998 to June 2000, Mr. DiLiberto worked at New York-based Vornado Realty Trust, a diversified REIT with ownership interests in office, retail, and other property types, where he worked as a Senior Financial Analyst focusing on accounting and controls as well as the preparation of high level management reports and SEC filings. Prior to joining Vornado Realty Trust, Mr. DiLiberto worked as a Business Assurance Associate at Coopers and Lybrand, LLP (now PricewaterhouseCoopers LLP). Mr. DiLiberto currently serves on the National Association of Real Estate Investment Trust’s Best Financial Practices Council and is a member of the Board of Directors of the FDNY Foundation. Mr. DiLiberto received a B.S. degree in Accounting from The University of Scranton. Mr. DiLiberto is 42 years 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7263130" cy="3619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3130" cy="36195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ind w:right="10175"/>
        <w:spacing w:after="0"/>
        <w:rPr>
          <w:sz w:val="20"/>
          <w:szCs w:val="20"/>
          <w:color w:val="auto"/>
        </w:rPr>
      </w:pPr>
      <w:r>
        <w:rPr>
          <w:rFonts w:ascii="Arial" w:cs="Arial" w:eastAsia="Arial" w:hAnsi="Arial"/>
          <w:sz w:val="19"/>
          <w:szCs w:val="19"/>
          <w:b w:val="1"/>
          <w:bCs w:val="1"/>
          <w:color w:val="325889"/>
        </w:rPr>
        <w:t>Andrew S.</w:t>
      </w:r>
    </w:p>
    <w:p>
      <w:pPr>
        <w:spacing w:after="0" w:line="19" w:lineRule="exact"/>
        <w:rPr>
          <w:sz w:val="20"/>
          <w:szCs w:val="20"/>
          <w:color w:val="auto"/>
        </w:rPr>
      </w:pPr>
    </w:p>
    <w:p>
      <w:pPr>
        <w:jc w:val="center"/>
        <w:ind w:right="10175"/>
        <w:spacing w:after="0"/>
        <w:rPr>
          <w:sz w:val="20"/>
          <w:szCs w:val="20"/>
          <w:color w:val="auto"/>
        </w:rPr>
      </w:pPr>
      <w:r>
        <w:rPr>
          <w:rFonts w:ascii="Arial" w:cs="Arial" w:eastAsia="Arial" w:hAnsi="Arial"/>
          <w:sz w:val="19"/>
          <w:szCs w:val="19"/>
          <w:b w:val="1"/>
          <w:bCs w:val="1"/>
          <w:color w:val="325889"/>
        </w:rPr>
        <w:t>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60730" cy="10623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0730" cy="1062355"/>
                    </a:xfrm>
                    <a:prstGeom prst="rect">
                      <a:avLst/>
                    </a:prstGeom>
                    <a:noFill/>
                  </pic:spPr>
                </pic:pic>
              </a:graphicData>
            </a:graphic>
          </wp:anchor>
        </w:drawing>
      </w:r>
    </w:p>
    <w:p>
      <w:pPr>
        <w:spacing w:after="0" w:line="84" w:lineRule="exact"/>
        <w:rPr>
          <w:sz w:val="20"/>
          <w:szCs w:val="20"/>
          <w:color w:val="auto"/>
        </w:rPr>
      </w:pPr>
    </w:p>
    <w:p>
      <w:pPr>
        <w:ind w:left="1285"/>
        <w:spacing w:after="0" w:line="256" w:lineRule="auto"/>
        <w:rPr>
          <w:sz w:val="20"/>
          <w:szCs w:val="20"/>
          <w:color w:val="auto"/>
        </w:rPr>
      </w:pPr>
      <w:r>
        <w:rPr>
          <w:rFonts w:ascii="Arial" w:cs="Arial" w:eastAsia="Arial" w:hAnsi="Arial"/>
          <w:sz w:val="15"/>
          <w:szCs w:val="15"/>
          <w:b w:val="1"/>
          <w:bCs w:val="1"/>
          <w:color w:val="auto"/>
        </w:rPr>
        <w:t xml:space="preserve">Andrew S. Levine </w:t>
      </w:r>
      <w:r>
        <w:rPr>
          <w:rFonts w:ascii="Arial" w:cs="Arial" w:eastAsia="Arial" w:hAnsi="Arial"/>
          <w:sz w:val="15"/>
          <w:szCs w:val="15"/>
          <w:color w:val="auto"/>
        </w:rPr>
        <w:t>has served as our Chief Legal Officer since April 2007 and as our General Counsel, Executive Vice President and Secretary</w:t>
      </w:r>
      <w:r>
        <w:rPr>
          <w:rFonts w:ascii="Arial" w:cs="Arial" w:eastAsia="Arial" w:hAnsi="Arial"/>
          <w:sz w:val="15"/>
          <w:szCs w:val="15"/>
          <w:b w:val="1"/>
          <w:bCs w:val="1"/>
          <w:color w:val="auto"/>
        </w:rPr>
        <w:t xml:space="preserve"> </w:t>
      </w:r>
      <w:r>
        <w:rPr>
          <w:rFonts w:ascii="Arial" w:cs="Arial" w:eastAsia="Arial" w:hAnsi="Arial"/>
          <w:sz w:val="15"/>
          <w:szCs w:val="15"/>
          <w:color w:val="auto"/>
        </w:rPr>
        <w:t>since November 2000. Prior to joining the Company, Mr. Levine was a partner in the REIT and Real Estate Transactions and Business groups at the law firm of Pryor, Cashman, Sherman &amp; Flynn, LLP. Prior to joining Pryor, Cashman, Sherman &amp; Flynn, LLP, Mr. Levine was a partner at the law firm of Dreyer &amp; Traub. Mr. Levine received a B.A. degree from the University of Vermont and a J.D. degree from Rutgers School of Law, where Mr. Levine was an Editor of the Law Review and he currently serves as a member of the Advisory Board of Rutgers Center for Corporate Law and Governance. Mr. Levine is 58 years 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65" w:hanging="265"/>
        <w:spacing w:after="0"/>
        <w:tabs>
          <w:tab w:leader="none" w:pos="265" w:val="left"/>
        </w:tabs>
        <w:numPr>
          <w:ilvl w:val="0"/>
          <w:numId w:val="18"/>
        </w:numPr>
        <w:rPr>
          <w:rFonts w:ascii="Arial" w:cs="Arial" w:eastAsia="Arial" w:hAnsi="Arial"/>
          <w:sz w:val="15"/>
          <w:szCs w:val="15"/>
          <w:color w:val="325889"/>
        </w:rPr>
      </w:pPr>
      <w:r>
        <w:rPr>
          <w:rFonts w:ascii="Arial" w:cs="Arial" w:eastAsia="Arial" w:hAnsi="Arial"/>
          <w:sz w:val="15"/>
          <w:szCs w:val="15"/>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83450" cy="20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385"/>
          </w:cols>
          <w:pgMar w:left="235" w:top="528" w:right="279" w:bottom="1440" w:gutter="0" w:footer="0" w:header="0"/>
        </w:sectPr>
      </w:pPr>
    </w:p>
    <w:bookmarkStart w:id="22" w:name="page23"/>
    <w:bookmarkEnd w:id="22"/>
    <w:p>
      <w:pPr>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178" w:lineRule="exact"/>
        <w:rPr>
          <w:sz w:val="20"/>
          <w:szCs w:val="20"/>
          <w:color w:val="auto"/>
        </w:rPr>
      </w:pPr>
    </w:p>
    <w:p>
      <w:pPr>
        <w:spacing w:after="0"/>
        <w:rPr>
          <w:sz w:val="20"/>
          <w:szCs w:val="20"/>
          <w:color w:val="auto"/>
        </w:rPr>
      </w:pPr>
      <w:r>
        <w:rPr>
          <w:rFonts w:ascii="Arial" w:cs="Arial" w:eastAsia="Arial" w:hAnsi="Arial"/>
          <w:sz w:val="28"/>
          <w:szCs w:val="28"/>
          <w:b w:val="1"/>
          <w:bCs w:val="1"/>
          <w:color w:val="32588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63130" cy="32550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3130" cy="3255010"/>
                    </a:xfrm>
                    <a:prstGeom prst="rect">
                      <a:avLst/>
                    </a:prstGeom>
                    <a:noFill/>
                  </pic:spPr>
                </pic:pic>
              </a:graphicData>
            </a:graphic>
          </wp:anchor>
        </w:drawing>
      </w:r>
    </w:p>
    <w:p>
      <w:pPr>
        <w:spacing w:after="0" w:line="281"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Proposal 2: Advisory Vote on the Compensation of our Named Executive Officers</w:t>
      </w:r>
    </w:p>
    <w:p>
      <w:pPr>
        <w:spacing w:after="0" w:line="251" w:lineRule="exact"/>
        <w:rPr>
          <w:sz w:val="20"/>
          <w:szCs w:val="20"/>
          <w:color w:val="auto"/>
        </w:rPr>
      </w:pPr>
    </w:p>
    <w:p>
      <w:pPr>
        <w:ind w:left="80" w:right="200"/>
        <w:spacing w:after="0" w:line="256" w:lineRule="auto"/>
        <w:rPr>
          <w:sz w:val="20"/>
          <w:szCs w:val="20"/>
          <w:color w:val="auto"/>
        </w:rPr>
      </w:pPr>
      <w:r>
        <w:rPr>
          <w:rFonts w:ascii="Arial" w:cs="Arial" w:eastAsia="Arial" w:hAnsi="Arial"/>
          <w:sz w:val="15"/>
          <w:szCs w:val="15"/>
          <w:color w:val="auto"/>
        </w:rPr>
        <w:t>Section 14A(a)(1) of the Exchange Act generally requires each public company to include in its proxy statement a separate resolution subject to a non-binding stockholder vote to approve the compensation of the company’s named executive officers, as disclosed in its proxy statement pursuant to Item 402 of Regulation S-K, not less frequently than once every three years. This is commonly known as, and is referred to herein as, a “say-on-pay” proposal or resolution.</w:t>
      </w:r>
    </w:p>
    <w:p>
      <w:pPr>
        <w:spacing w:after="0" w:line="172" w:lineRule="exact"/>
        <w:rPr>
          <w:sz w:val="20"/>
          <w:szCs w:val="20"/>
          <w:color w:val="auto"/>
        </w:rPr>
      </w:pPr>
    </w:p>
    <w:p>
      <w:pPr>
        <w:ind w:left="80" w:right="160"/>
        <w:spacing w:after="0" w:line="253" w:lineRule="auto"/>
        <w:rPr>
          <w:sz w:val="20"/>
          <w:szCs w:val="20"/>
          <w:color w:val="auto"/>
        </w:rPr>
      </w:pPr>
      <w:r>
        <w:rPr>
          <w:rFonts w:ascii="Arial" w:cs="Arial" w:eastAsia="Arial" w:hAnsi="Arial"/>
          <w:sz w:val="15"/>
          <w:szCs w:val="15"/>
          <w:color w:val="auto"/>
        </w:rPr>
        <w:t>At our 2011 annual stockholder meeting, our stockholders advised on a non-binding basis, by an affirmative vote of a majority of all votes cast, that the Company should hold non-binding advisory votes on executive compensation on an annual basis. On July 14, 2011, the Board determined that it would include future advisory votes on the compensation of our named executive officers in the Company’s annual meeting proxy materials every year until the next advisory vote on the frequency of stockholder votes on executive compensation, which will occur at the Company’s upcoming 2017 annual meeting of stockholders.</w:t>
      </w:r>
    </w:p>
    <w:p>
      <w:pPr>
        <w:spacing w:after="0" w:line="198" w:lineRule="exact"/>
        <w:rPr>
          <w:sz w:val="20"/>
          <w:szCs w:val="20"/>
          <w:color w:val="auto"/>
        </w:rPr>
      </w:pPr>
    </w:p>
    <w:p>
      <w:pPr>
        <w:ind w:left="80" w:right="340"/>
        <w:spacing w:after="0" w:line="282" w:lineRule="auto"/>
        <w:rPr>
          <w:sz w:val="20"/>
          <w:szCs w:val="20"/>
          <w:color w:val="auto"/>
        </w:rPr>
      </w:pPr>
      <w:r>
        <w:rPr>
          <w:rFonts w:ascii="Arial" w:cs="Arial" w:eastAsia="Arial" w:hAnsi="Arial"/>
          <w:sz w:val="15"/>
          <w:szCs w:val="15"/>
          <w:color w:val="auto"/>
        </w:rPr>
        <w:t>Accordingly, pursuant to Section 14A(a)(1) of the Exchange Act, the Company is providing stockholders with the opportunity to approve the following non-binding, advisory resolution:</w:t>
      </w:r>
    </w:p>
    <w:p>
      <w:pPr>
        <w:spacing w:after="0" w:line="152" w:lineRule="exact"/>
        <w:rPr>
          <w:sz w:val="20"/>
          <w:szCs w:val="20"/>
          <w:color w:val="auto"/>
        </w:rPr>
      </w:pPr>
    </w:p>
    <w:p>
      <w:pPr>
        <w:ind w:left="80" w:right="280"/>
        <w:spacing w:after="0" w:line="265" w:lineRule="auto"/>
        <w:rPr>
          <w:sz w:val="20"/>
          <w:szCs w:val="20"/>
          <w:color w:val="auto"/>
        </w:rPr>
      </w:pPr>
      <w:r>
        <w:rPr>
          <w:rFonts w:ascii="Arial" w:cs="Arial" w:eastAsia="Arial" w:hAnsi="Arial"/>
          <w:sz w:val="15"/>
          <w:szCs w:val="15"/>
          <w:color w:val="auto"/>
        </w:rPr>
        <w:t>“RESOLVED, that the compensation paid to the Company’s named executive officers, as disclosed in this proxy statement pursuant to Item 402 of Regulation S-K, including the Compensation Discussion and Analysis, compensation tables and narrative discussion, is hereby APPROVED.”</w:t>
      </w:r>
    </w:p>
    <w:p>
      <w:pPr>
        <w:spacing w:after="0" w:line="244" w:lineRule="exact"/>
        <w:rPr>
          <w:sz w:val="20"/>
          <w:szCs w:val="20"/>
          <w:color w:val="auto"/>
        </w:rPr>
      </w:pPr>
    </w:p>
    <w:p>
      <w:pPr>
        <w:jc w:val="center"/>
        <w:spacing w:after="0" w:line="255" w:lineRule="auto"/>
        <w:rPr>
          <w:sz w:val="20"/>
          <w:szCs w:val="20"/>
          <w:color w:val="auto"/>
        </w:rPr>
      </w:pPr>
      <w:r>
        <w:rPr>
          <w:rFonts w:ascii="Arial" w:cs="Arial" w:eastAsia="Arial" w:hAnsi="Arial"/>
          <w:sz w:val="17"/>
          <w:szCs w:val="17"/>
          <w:b w:val="1"/>
          <w:bCs w:val="1"/>
          <w:color w:val="325889"/>
        </w:rPr>
        <w:t xml:space="preserve">The Board unanimously recommends a vote </w:t>
      </w:r>
      <w:r>
        <w:rPr>
          <w:rFonts w:ascii="Arial" w:cs="Arial" w:eastAsia="Arial" w:hAnsi="Arial"/>
          <w:sz w:val="17"/>
          <w:szCs w:val="17"/>
          <w:b w:val="1"/>
          <w:bCs w:val="1"/>
          <w:color w:val="000000"/>
        </w:rPr>
        <w:t>“FOR”</w:t>
      </w:r>
      <w:r>
        <w:rPr>
          <w:rFonts w:ascii="Arial" w:cs="Arial" w:eastAsia="Arial" w:hAnsi="Arial"/>
          <w:sz w:val="17"/>
          <w:szCs w:val="17"/>
          <w:b w:val="1"/>
          <w:bCs w:val="1"/>
          <w:color w:val="325889"/>
        </w:rPr>
        <w:t xml:space="preserve"> the above resolution regarding the compensation of our named executive officers, as disclosed in the Compensation Discussion and Analysis section and the accompanying compensation tables in this Proxy Statement.</w:t>
      </w:r>
    </w:p>
    <w:p>
      <w:pPr>
        <w:spacing w:after="0" w:line="283" w:lineRule="exact"/>
        <w:rPr>
          <w:sz w:val="20"/>
          <w:szCs w:val="20"/>
          <w:color w:val="auto"/>
        </w:rPr>
      </w:pPr>
    </w:p>
    <w:p>
      <w:pPr>
        <w:ind w:left="80"/>
        <w:spacing w:after="0"/>
        <w:rPr>
          <w:sz w:val="20"/>
          <w:szCs w:val="20"/>
          <w:color w:val="auto"/>
        </w:rPr>
      </w:pPr>
      <w:r>
        <w:rPr>
          <w:rFonts w:ascii="Arial" w:cs="Arial" w:eastAsia="Arial" w:hAnsi="Arial"/>
          <w:sz w:val="15"/>
          <w:szCs w:val="15"/>
          <w:color w:val="auto"/>
        </w:rPr>
        <w:t>The affirmative vote of a majority of all the votes cast with respect to this proposal will be required to approve this proposal.</w:t>
      </w:r>
    </w:p>
    <w:p>
      <w:pPr>
        <w:spacing w:after="0" w:line="195" w:lineRule="exact"/>
        <w:rPr>
          <w:sz w:val="20"/>
          <w:szCs w:val="20"/>
          <w:color w:val="auto"/>
        </w:rPr>
      </w:pPr>
    </w:p>
    <w:p>
      <w:pPr>
        <w:ind w:left="80" w:right="340"/>
        <w:spacing w:after="0" w:line="265" w:lineRule="auto"/>
        <w:rPr>
          <w:sz w:val="20"/>
          <w:szCs w:val="20"/>
          <w:color w:val="auto"/>
        </w:rPr>
      </w:pPr>
      <w:r>
        <w:rPr>
          <w:rFonts w:ascii="Arial" w:cs="Arial" w:eastAsia="Arial" w:hAnsi="Arial"/>
          <w:sz w:val="15"/>
          <w:szCs w:val="15"/>
          <w:color w:val="auto"/>
        </w:rPr>
        <w:t>The results of this advisory vote are not binding on the Compensation Committee, the Company or the Board. Nevertheless, we value input from our stockholders and will consider carefully the results of this vote when making future decisions concerning executive compensation.</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22225</wp:posOffset>
            </wp:positionV>
            <wp:extent cx="7263130"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3130" cy="1524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right="60"/>
        <w:spacing w:after="0" w:line="253" w:lineRule="auto"/>
        <w:rPr>
          <w:sz w:val="20"/>
          <w:szCs w:val="20"/>
          <w:color w:val="auto"/>
        </w:rPr>
      </w:pPr>
      <w:r>
        <w:rPr>
          <w:rFonts w:ascii="Arial" w:cs="Arial" w:eastAsia="Arial" w:hAnsi="Arial"/>
          <w:sz w:val="15"/>
          <w:szCs w:val="15"/>
          <w:color w:val="auto"/>
        </w:rPr>
        <w:t>The Compensation Committee of the Board of Directors of SL Green Realty Corp. has reviewed and discussed the Compensation Discussion and Analysis required by Item 402(b) of Regulation S-K with management and, based on such review and discussions, our Compensation Committee recommended to the Board that the Compensation Discussion and Analysis be included in this annual proxy statement and incorporated by reference in the Company’s Annual Report on Form 10-K for the year ended December 31, 2016.</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Submitted by our Compensation Committee</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John H. Alschuler (Chairman)</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Edwin Thomas Burton, III</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John S. Levy</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22225</wp:posOffset>
            </wp:positionV>
            <wp:extent cx="7263130"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3130" cy="1524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This section of our proxy statement discusses the principles underlying our executive compensation policies and decisions and the most important factors relevant to an analysis of these policies and decisions. It provides qualitative and quantitative information regarding the manner and context in which compensation is awarded to, and earned by, our named executive officers and places in perspective the data presented in the tables and narrative that follow.</w:t>
      </w:r>
    </w:p>
    <w:p>
      <w:pPr>
        <w:spacing w:after="0" w:line="172" w:lineRule="exact"/>
        <w:rPr>
          <w:sz w:val="20"/>
          <w:szCs w:val="20"/>
          <w:color w:val="auto"/>
        </w:rPr>
      </w:pPr>
    </w:p>
    <w:p>
      <w:pPr>
        <w:ind w:right="140"/>
        <w:spacing w:after="0" w:line="265" w:lineRule="auto"/>
        <w:rPr>
          <w:sz w:val="20"/>
          <w:szCs w:val="20"/>
          <w:color w:val="auto"/>
        </w:rPr>
      </w:pPr>
      <w:r>
        <w:rPr>
          <w:rFonts w:ascii="Arial" w:cs="Arial" w:eastAsia="Arial" w:hAnsi="Arial"/>
          <w:sz w:val="15"/>
          <w:szCs w:val="15"/>
          <w:color w:val="auto"/>
        </w:rPr>
        <w:t>Throughout this proxy statement, the individuals who served as our Chief Executive Officer and Chief Financial Officer during our 2016 fiscal year, as well as the other individuals included in the “Summary Compensation Table” are referred to as the “named executive officers” or our “executives.”</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2017 Proxy Statement </w:t>
      </w:r>
      <w:r>
        <w:rPr>
          <w:rFonts w:ascii="Arial" w:cs="Arial" w:eastAsia="Arial" w:hAnsi="Arial"/>
          <w:sz w:val="15"/>
          <w:szCs w:val="15"/>
          <w:color w:val="325889"/>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83450" cy="20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0"/>
          </w:cols>
          <w:pgMar w:left="240" w:top="528" w:right="219" w:bottom="1440" w:gutter="0" w:footer="0" w:header="0"/>
        </w:sectPr>
      </w:pPr>
    </w:p>
    <w:bookmarkStart w:id="23" w:name="page24"/>
    <w:bookmarkEnd w:id="23"/>
    <w:p>
      <w:pPr>
        <w:ind w:left="5"/>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ind w:left="5"/>
        <w:spacing w:after="0"/>
        <w:rPr>
          <w:sz w:val="20"/>
          <w:szCs w:val="20"/>
          <w:color w:val="auto"/>
        </w:rPr>
      </w:pPr>
      <w:r>
        <w:rPr>
          <w:rFonts w:ascii="Arial" w:cs="Arial" w:eastAsia="Arial" w:hAnsi="Arial"/>
          <w:sz w:val="15"/>
          <w:szCs w:val="15"/>
          <w:u w:val="single" w:color="auto"/>
          <w:color w:val="325889"/>
        </w:rPr>
        <w:t>EXECUTIVE COMPENSATION</w:t>
      </w:r>
    </w:p>
    <w:p>
      <w:pPr>
        <w:spacing w:after="0" w:line="167"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325889"/>
        </w:rPr>
        <w:t>Executive Summary</w:t>
      </w:r>
    </w:p>
    <w:p>
      <w:pPr>
        <w:spacing w:after="0" w:line="188" w:lineRule="exact"/>
        <w:rPr>
          <w:sz w:val="20"/>
          <w:szCs w:val="20"/>
          <w:color w:val="auto"/>
        </w:rPr>
      </w:pPr>
    </w:p>
    <w:p>
      <w:pPr>
        <w:ind w:left="5"/>
        <w:spacing w:after="0"/>
        <w:rPr>
          <w:sz w:val="20"/>
          <w:szCs w:val="20"/>
          <w:color w:val="auto"/>
        </w:rPr>
      </w:pPr>
      <w:r>
        <w:rPr>
          <w:rFonts w:ascii="Arial" w:cs="Arial" w:eastAsia="Arial" w:hAnsi="Arial"/>
          <w:sz w:val="17"/>
          <w:szCs w:val="17"/>
          <w:i w:val="1"/>
          <w:iCs w:val="1"/>
          <w:color w:val="auto"/>
        </w:rPr>
        <w:t xml:space="preserve">Why You Should Vote for Our </w:t>
      </w:r>
      <w:r>
        <w:rPr>
          <w:rFonts w:ascii="Arial" w:cs="Arial" w:eastAsia="Arial" w:hAnsi="Arial"/>
          <w:sz w:val="15"/>
          <w:szCs w:val="15"/>
          <w:i w:val="1"/>
          <w:iCs w:val="1"/>
          <w:color w:val="auto"/>
        </w:rPr>
        <w:t>2017 Say-On-Pay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268210" cy="48501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8210" cy="4850130"/>
                    </a:xfrm>
                    <a:prstGeom prst="rect">
                      <a:avLst/>
                    </a:prstGeom>
                    <a:noFill/>
                  </pic:spPr>
                </pic:pic>
              </a:graphicData>
            </a:graphic>
          </wp:anchor>
        </w:drawing>
      </w:r>
    </w:p>
    <w:p>
      <w:pPr>
        <w:spacing w:after="0" w:line="374" w:lineRule="exact"/>
        <w:rPr>
          <w:sz w:val="20"/>
          <w:szCs w:val="20"/>
          <w:color w:val="auto"/>
        </w:rPr>
      </w:pPr>
    </w:p>
    <w:p>
      <w:pPr>
        <w:ind w:left="245"/>
        <w:spacing w:after="0"/>
        <w:rPr>
          <w:sz w:val="20"/>
          <w:szCs w:val="20"/>
          <w:color w:val="auto"/>
        </w:rPr>
      </w:pPr>
      <w:r>
        <w:rPr>
          <w:rFonts w:ascii="Arial" w:cs="Arial" w:eastAsia="Arial" w:hAnsi="Arial"/>
          <w:sz w:val="15"/>
          <w:szCs w:val="15"/>
          <w:i w:val="1"/>
          <w:iCs w:val="1"/>
          <w:u w:val="single" w:color="auto"/>
          <w:color w:val="auto"/>
        </w:rPr>
        <w:t>Low G&amp;A Expense</w:t>
      </w:r>
    </w:p>
    <w:p>
      <w:pPr>
        <w:spacing w:after="0" w:line="211" w:lineRule="exact"/>
        <w:rPr>
          <w:sz w:val="20"/>
          <w:szCs w:val="20"/>
          <w:color w:val="auto"/>
        </w:rPr>
      </w:pPr>
    </w:p>
    <w:p>
      <w:pPr>
        <w:ind w:left="725" w:right="220" w:hanging="235"/>
        <w:spacing w:after="0" w:line="265" w:lineRule="auto"/>
        <w:tabs>
          <w:tab w:leader="none" w:pos="725" w:val="left"/>
        </w:tabs>
        <w:numPr>
          <w:ilvl w:val="0"/>
          <w:numId w:val="19"/>
        </w:numPr>
        <w:rPr>
          <w:rFonts w:ascii="Arial" w:cs="Arial" w:eastAsia="Arial" w:hAnsi="Arial"/>
          <w:sz w:val="15"/>
          <w:szCs w:val="15"/>
          <w:color w:val="325889"/>
        </w:rPr>
      </w:pPr>
      <w:r>
        <w:rPr>
          <w:rFonts w:ascii="Arial" w:cs="Arial" w:eastAsia="Arial" w:hAnsi="Arial"/>
          <w:sz w:val="15"/>
          <w:szCs w:val="15"/>
          <w:color w:val="auto"/>
        </w:rPr>
        <w:t xml:space="preserve">We consistently maintain low G&amp;A expense through our prudent management structure, which ensures that shareholder returns are not unduly diluted by the costs of managing our assets. In 2016 our G&amp;A expense as a percentage of total assets was the </w:t>
      </w:r>
      <w:r>
        <w:rPr>
          <w:rFonts w:ascii="Arial" w:cs="Arial" w:eastAsia="Arial" w:hAnsi="Arial"/>
          <w:sz w:val="15"/>
          <w:szCs w:val="15"/>
          <w:u w:val="single" w:color="auto"/>
          <w:color w:val="auto"/>
        </w:rPr>
        <w:t>second lowest</w:t>
      </w:r>
      <w:r>
        <w:rPr>
          <w:rFonts w:ascii="Arial" w:cs="Arial" w:eastAsia="Arial" w:hAnsi="Arial"/>
          <w:sz w:val="15"/>
          <w:szCs w:val="15"/>
          <w:color w:val="auto"/>
        </w:rPr>
        <w:t xml:space="preserve"> among our office REIT peers.</w:t>
      </w:r>
    </w:p>
    <w:p>
      <w:pPr>
        <w:spacing w:after="0" w:line="149" w:lineRule="exact"/>
        <w:rPr>
          <w:sz w:val="20"/>
          <w:szCs w:val="20"/>
          <w:color w:val="auto"/>
        </w:rPr>
      </w:pPr>
    </w:p>
    <w:p>
      <w:pPr>
        <w:ind w:left="245"/>
        <w:spacing w:after="0"/>
        <w:rPr>
          <w:sz w:val="20"/>
          <w:szCs w:val="20"/>
          <w:color w:val="auto"/>
        </w:rPr>
      </w:pPr>
      <w:r>
        <w:rPr>
          <w:rFonts w:ascii="Arial" w:cs="Arial" w:eastAsia="Arial" w:hAnsi="Arial"/>
          <w:sz w:val="15"/>
          <w:szCs w:val="15"/>
          <w:i w:val="1"/>
          <w:iCs w:val="1"/>
          <w:u w:val="single" w:color="auto"/>
          <w:color w:val="auto"/>
        </w:rPr>
        <w:t>Stockholder Engagement and Support</w:t>
      </w:r>
    </w:p>
    <w:p>
      <w:pPr>
        <w:spacing w:after="0" w:line="211" w:lineRule="exact"/>
        <w:rPr>
          <w:sz w:val="20"/>
          <w:szCs w:val="20"/>
          <w:color w:val="auto"/>
        </w:rPr>
      </w:pPr>
    </w:p>
    <w:p>
      <w:pPr>
        <w:ind w:left="725" w:right="280" w:hanging="235"/>
        <w:spacing w:after="0" w:line="253" w:lineRule="auto"/>
        <w:tabs>
          <w:tab w:leader="none" w:pos="725" w:val="left"/>
        </w:tabs>
        <w:numPr>
          <w:ilvl w:val="0"/>
          <w:numId w:val="20"/>
        </w:numPr>
        <w:rPr>
          <w:rFonts w:ascii="Arial" w:cs="Arial" w:eastAsia="Arial" w:hAnsi="Arial"/>
          <w:sz w:val="15"/>
          <w:szCs w:val="15"/>
          <w:color w:val="325889"/>
        </w:rPr>
      </w:pPr>
      <w:r>
        <w:rPr>
          <w:rFonts w:ascii="Arial" w:cs="Arial" w:eastAsia="Arial" w:hAnsi="Arial"/>
          <w:sz w:val="15"/>
          <w:szCs w:val="15"/>
          <w:color w:val="auto"/>
        </w:rPr>
        <w:t>We have engaged in significant stockholder outreach over the last several years regarding executive compensation and made numerous changes to our executive compensation programs in response to feedback we received. Since our 2016 annual meeting, we have conducted stockholder outreach with institutional stockholders owning approximately 74% of our outstanding common stock, resulting in the chairman of the Compensation Committee discussing our executive compensation programs with the owners of more than a majority of our outstanding common stock.</w:t>
      </w:r>
    </w:p>
    <w:p>
      <w:pPr>
        <w:spacing w:after="0" w:line="162" w:lineRule="exact"/>
        <w:rPr>
          <w:rFonts w:ascii="Arial" w:cs="Arial" w:eastAsia="Arial" w:hAnsi="Arial"/>
          <w:sz w:val="15"/>
          <w:szCs w:val="15"/>
          <w:color w:val="325889"/>
        </w:rPr>
      </w:pPr>
    </w:p>
    <w:p>
      <w:pPr>
        <w:ind w:left="725" w:hanging="235"/>
        <w:spacing w:after="0"/>
        <w:tabs>
          <w:tab w:leader="none" w:pos="725" w:val="left"/>
        </w:tabs>
        <w:numPr>
          <w:ilvl w:val="0"/>
          <w:numId w:val="20"/>
        </w:numPr>
        <w:rPr>
          <w:rFonts w:ascii="Arial" w:cs="Arial" w:eastAsia="Arial" w:hAnsi="Arial"/>
          <w:sz w:val="15"/>
          <w:szCs w:val="15"/>
          <w:color w:val="325889"/>
        </w:rPr>
      </w:pPr>
      <w:r>
        <w:rPr>
          <w:rFonts w:ascii="Arial" w:cs="Arial" w:eastAsia="Arial" w:hAnsi="Arial"/>
          <w:sz w:val="15"/>
          <w:szCs w:val="15"/>
          <w:color w:val="auto"/>
        </w:rPr>
        <w:t>Our say-on-pay proposal was approved at our 2016 annual meeting, as it has been every year since it was first introduced in 2011.</w:t>
      </w:r>
    </w:p>
    <w:p>
      <w:pPr>
        <w:spacing w:after="0" w:line="179" w:lineRule="exact"/>
        <w:rPr>
          <w:sz w:val="20"/>
          <w:szCs w:val="20"/>
          <w:color w:val="auto"/>
        </w:rPr>
      </w:pPr>
    </w:p>
    <w:p>
      <w:pPr>
        <w:ind w:left="245"/>
        <w:spacing w:after="0"/>
        <w:rPr>
          <w:sz w:val="20"/>
          <w:szCs w:val="20"/>
          <w:color w:val="auto"/>
        </w:rPr>
      </w:pPr>
      <w:r>
        <w:rPr>
          <w:rFonts w:ascii="Arial" w:cs="Arial" w:eastAsia="Arial" w:hAnsi="Arial"/>
          <w:sz w:val="15"/>
          <w:szCs w:val="15"/>
          <w:i w:val="1"/>
          <w:iCs w:val="1"/>
          <w:u w:val="single" w:color="auto"/>
          <w:color w:val="auto"/>
        </w:rPr>
        <w:t>Strong Operational Performance</w:t>
      </w:r>
    </w:p>
    <w:p>
      <w:pPr>
        <w:spacing w:after="0" w:line="211" w:lineRule="exact"/>
        <w:rPr>
          <w:sz w:val="20"/>
          <w:szCs w:val="20"/>
          <w:color w:val="auto"/>
        </w:rPr>
      </w:pPr>
    </w:p>
    <w:p>
      <w:pPr>
        <w:ind w:left="725" w:right="180" w:hanging="235"/>
        <w:spacing w:after="0" w:line="252" w:lineRule="auto"/>
        <w:tabs>
          <w:tab w:leader="none" w:pos="725" w:val="left"/>
        </w:tabs>
        <w:numPr>
          <w:ilvl w:val="0"/>
          <w:numId w:val="21"/>
        </w:numPr>
        <w:rPr>
          <w:rFonts w:ascii="Arial" w:cs="Arial" w:eastAsia="Arial" w:hAnsi="Arial"/>
          <w:sz w:val="15"/>
          <w:szCs w:val="15"/>
          <w:color w:val="325889"/>
        </w:rPr>
      </w:pPr>
      <w:r>
        <w:rPr>
          <w:rFonts w:ascii="Arial" w:cs="Arial" w:eastAsia="Arial" w:hAnsi="Arial"/>
          <w:sz w:val="15"/>
          <w:szCs w:val="15"/>
          <w:color w:val="auto"/>
        </w:rPr>
        <w:t>As described below, we had strong year-over-year growth in funds from operations, or FFO, per share and cash same-store net operating income. In 2016, we signed 3.2 million square feet of Manhattan office leases at a mark-to-market of 27.6%, and we signed an additional 638,000 square feet of suburban office leases at a mark-to-market of 6.1%. Also during 2016, we executed $3.9 billion of real estate dispositions, generating $1.1 billion of cash, which resulted in liquidity of over $2.0 billion at year-end 2016. We also made major progress on our One Vanderbilt project, including breaking ground on the project and securing a $1.5 billion construction loan and over $500 million in joint venture equity.</w:t>
      </w:r>
    </w:p>
    <w:p>
      <w:pPr>
        <w:spacing w:after="0" w:line="162" w:lineRule="exact"/>
        <w:rPr>
          <w:rFonts w:ascii="Arial" w:cs="Arial" w:eastAsia="Arial" w:hAnsi="Arial"/>
          <w:sz w:val="15"/>
          <w:szCs w:val="15"/>
          <w:color w:val="325889"/>
        </w:rPr>
      </w:pPr>
    </w:p>
    <w:p>
      <w:pPr>
        <w:ind w:left="725" w:right="340" w:hanging="235"/>
        <w:spacing w:after="0" w:line="256" w:lineRule="auto"/>
        <w:tabs>
          <w:tab w:leader="none" w:pos="725" w:val="left"/>
        </w:tabs>
        <w:numPr>
          <w:ilvl w:val="0"/>
          <w:numId w:val="21"/>
        </w:numPr>
        <w:rPr>
          <w:rFonts w:ascii="Arial" w:cs="Arial" w:eastAsia="Arial" w:hAnsi="Arial"/>
          <w:sz w:val="15"/>
          <w:szCs w:val="15"/>
          <w:color w:val="325889"/>
        </w:rPr>
      </w:pPr>
      <w:r>
        <w:rPr>
          <w:rFonts w:ascii="Arial" w:cs="Arial" w:eastAsia="Arial" w:hAnsi="Arial"/>
          <w:sz w:val="15"/>
          <w:szCs w:val="15"/>
          <w:color w:val="auto"/>
        </w:rPr>
        <w:t>We reduced our ratio of net debt to EBITDA by more than 30% during 2016 as compared to 2015, based on Fitch Ratings’ methodology. We have also achieved full investment grade corporate credit ratings from Moody’s Investors Service, Standard and Poor’s and Fitch Ratings and our corporate credit rating outlook was upgraded to “Positive” by Standard and Poor’s and Fitch Ratings.</w:t>
      </w:r>
    </w:p>
    <w:p>
      <w:pPr>
        <w:spacing w:after="0" w:line="156" w:lineRule="exact"/>
        <w:rPr>
          <w:sz w:val="20"/>
          <w:szCs w:val="20"/>
          <w:color w:val="auto"/>
        </w:rPr>
      </w:pPr>
    </w:p>
    <w:p>
      <w:pPr>
        <w:ind w:left="245"/>
        <w:spacing w:after="0"/>
        <w:rPr>
          <w:sz w:val="20"/>
          <w:szCs w:val="20"/>
          <w:color w:val="auto"/>
        </w:rPr>
      </w:pPr>
      <w:r>
        <w:rPr>
          <w:rFonts w:ascii="Arial" w:cs="Arial" w:eastAsia="Arial" w:hAnsi="Arial"/>
          <w:sz w:val="15"/>
          <w:szCs w:val="15"/>
          <w:i w:val="1"/>
          <w:iCs w:val="1"/>
          <w:u w:val="single" w:color="auto"/>
          <w:color w:val="auto"/>
        </w:rPr>
        <w:t>Superior Long-Term TRS Performance</w:t>
      </w:r>
    </w:p>
    <w:p>
      <w:pPr>
        <w:spacing w:after="0" w:line="211" w:lineRule="exact"/>
        <w:rPr>
          <w:sz w:val="20"/>
          <w:szCs w:val="20"/>
          <w:color w:val="auto"/>
        </w:rPr>
      </w:pPr>
    </w:p>
    <w:p>
      <w:pPr>
        <w:ind w:left="725" w:right="680" w:hanging="235"/>
        <w:spacing w:after="0" w:line="265" w:lineRule="auto"/>
        <w:tabs>
          <w:tab w:leader="none" w:pos="725" w:val="left"/>
        </w:tabs>
        <w:numPr>
          <w:ilvl w:val="0"/>
          <w:numId w:val="22"/>
        </w:numPr>
        <w:rPr>
          <w:rFonts w:ascii="Arial" w:cs="Arial" w:eastAsia="Arial" w:hAnsi="Arial"/>
          <w:sz w:val="15"/>
          <w:szCs w:val="15"/>
          <w:color w:val="325889"/>
        </w:rPr>
      </w:pPr>
      <w:r>
        <w:rPr>
          <w:rFonts w:ascii="Arial" w:cs="Arial" w:eastAsia="Arial" w:hAnsi="Arial"/>
          <w:sz w:val="15"/>
          <w:szCs w:val="15"/>
          <w:color w:val="auto"/>
        </w:rPr>
        <w:t>Although our short-term TRS performance for 2016 was disappointing, our TRS has been consistently strong in the 19 years since our initial public offering, growing 921%, among the best of our office REIT peers.</w:t>
      </w:r>
    </w:p>
    <w:p>
      <w:pPr>
        <w:spacing w:after="0" w:line="149" w:lineRule="exact"/>
        <w:rPr>
          <w:sz w:val="20"/>
          <w:szCs w:val="20"/>
          <w:color w:val="auto"/>
        </w:rPr>
      </w:pPr>
    </w:p>
    <w:p>
      <w:pPr>
        <w:ind w:left="245"/>
        <w:spacing w:after="0"/>
        <w:rPr>
          <w:sz w:val="20"/>
          <w:szCs w:val="20"/>
          <w:color w:val="auto"/>
        </w:rPr>
      </w:pPr>
      <w:r>
        <w:rPr>
          <w:rFonts w:ascii="Arial" w:cs="Arial" w:eastAsia="Arial" w:hAnsi="Arial"/>
          <w:sz w:val="15"/>
          <w:szCs w:val="15"/>
          <w:i w:val="1"/>
          <w:iCs w:val="1"/>
          <w:u w:val="single" w:color="auto"/>
          <w:color w:val="auto"/>
        </w:rPr>
        <w:t>Pay Linked to Performance</w:t>
      </w:r>
    </w:p>
    <w:p>
      <w:pPr>
        <w:spacing w:after="0" w:line="211" w:lineRule="exact"/>
        <w:rPr>
          <w:sz w:val="20"/>
          <w:szCs w:val="20"/>
          <w:color w:val="auto"/>
        </w:rPr>
      </w:pPr>
    </w:p>
    <w:p>
      <w:pPr>
        <w:ind w:left="725" w:right="380" w:hanging="235"/>
        <w:spacing w:after="0" w:line="265" w:lineRule="auto"/>
        <w:tabs>
          <w:tab w:leader="none" w:pos="725" w:val="left"/>
        </w:tabs>
        <w:numPr>
          <w:ilvl w:val="0"/>
          <w:numId w:val="23"/>
        </w:numPr>
        <w:rPr>
          <w:rFonts w:ascii="Arial" w:cs="Arial" w:eastAsia="Arial" w:hAnsi="Arial"/>
          <w:sz w:val="15"/>
          <w:szCs w:val="15"/>
          <w:color w:val="325889"/>
        </w:rPr>
      </w:pPr>
      <w:r>
        <w:rPr>
          <w:rFonts w:ascii="Arial" w:cs="Arial" w:eastAsia="Arial" w:hAnsi="Arial"/>
          <w:sz w:val="15"/>
          <w:szCs w:val="15"/>
          <w:color w:val="auto"/>
        </w:rPr>
        <w:t>In response to our stockholder feedback, we increased the formulaic component of our annual cash bonus program from 60% in 2014 to 100% in 2016 for Messrs. Holliday, Green and Mathias, our top three executives.</w:t>
      </w:r>
    </w:p>
    <w:p>
      <w:pPr>
        <w:spacing w:after="0" w:line="153" w:lineRule="exact"/>
        <w:rPr>
          <w:rFonts w:ascii="Arial" w:cs="Arial" w:eastAsia="Arial" w:hAnsi="Arial"/>
          <w:sz w:val="15"/>
          <w:szCs w:val="15"/>
          <w:color w:val="325889"/>
        </w:rPr>
      </w:pPr>
    </w:p>
    <w:p>
      <w:pPr>
        <w:ind w:left="725" w:right="280" w:hanging="235"/>
        <w:spacing w:after="0" w:line="253" w:lineRule="auto"/>
        <w:tabs>
          <w:tab w:leader="none" w:pos="725" w:val="left"/>
        </w:tabs>
        <w:numPr>
          <w:ilvl w:val="0"/>
          <w:numId w:val="23"/>
        </w:numPr>
        <w:rPr>
          <w:rFonts w:ascii="Arial" w:cs="Arial" w:eastAsia="Arial" w:hAnsi="Arial"/>
          <w:sz w:val="15"/>
          <w:szCs w:val="15"/>
          <w:color w:val="325889"/>
        </w:rPr>
      </w:pPr>
      <w:r>
        <w:rPr>
          <w:rFonts w:ascii="Arial" w:cs="Arial" w:eastAsia="Arial" w:hAnsi="Arial"/>
          <w:sz w:val="15"/>
          <w:szCs w:val="15"/>
          <w:color w:val="auto"/>
        </w:rPr>
        <w:t>The rigorous application of our pay-for-performance compensation principles resulted in the formulaic annual cash bonus program for our top three executives being earned at only 61%, and a reduction of our CEO’s total annual bonus by $250,000—4% below 2015 and 16% below 2014. In addition, to reflect our Executive Chairman’s evolving role and as a result of our 2016 TRS, we reduced our Executive Chairman’s total compensation for 2016 by 50% compared to 2015.</w:t>
      </w:r>
    </w:p>
    <w:p>
      <w:pPr>
        <w:spacing w:after="0" w:line="359" w:lineRule="exact"/>
        <w:rPr>
          <w:sz w:val="20"/>
          <w:szCs w:val="20"/>
          <w:color w:val="auto"/>
        </w:rPr>
      </w:pPr>
    </w:p>
    <w:p>
      <w:pPr>
        <w:ind w:left="5"/>
        <w:spacing w:after="0"/>
        <w:rPr>
          <w:sz w:val="20"/>
          <w:szCs w:val="20"/>
          <w:color w:val="auto"/>
        </w:rPr>
      </w:pPr>
      <w:r>
        <w:rPr>
          <w:rFonts w:ascii="Arial" w:cs="Arial" w:eastAsia="Arial" w:hAnsi="Arial"/>
          <w:sz w:val="12"/>
          <w:szCs w:val="12"/>
          <w:b w:val="1"/>
          <w:bCs w:val="1"/>
          <w:color w:val="325889"/>
        </w:rPr>
        <w:t>Compensation Philosophy</w:t>
      </w:r>
    </w:p>
    <w:p>
      <w:pPr>
        <w:spacing w:after="0" w:line="200" w:lineRule="exact"/>
        <w:rPr>
          <w:sz w:val="20"/>
          <w:szCs w:val="20"/>
          <w:color w:val="auto"/>
        </w:rPr>
      </w:pPr>
    </w:p>
    <w:p>
      <w:pPr>
        <w:ind w:left="5"/>
        <w:spacing w:after="0" w:line="251" w:lineRule="auto"/>
        <w:rPr>
          <w:sz w:val="20"/>
          <w:szCs w:val="20"/>
          <w:color w:val="auto"/>
        </w:rPr>
      </w:pPr>
      <w:r>
        <w:rPr>
          <w:rFonts w:ascii="Arial" w:cs="Arial" w:eastAsia="Arial" w:hAnsi="Arial"/>
          <w:sz w:val="15"/>
          <w:szCs w:val="15"/>
          <w:color w:val="auto"/>
        </w:rPr>
        <w:t>As described below under “Our Executive Compensation Philosophy,” our executive compensation programs are designed to provide performance-based incentives that create strong alignment of management and stockholder interests and reward superior performance with superior compensation. We seek to attract and retain top talent in a highly competitive market, and we expect superior performance from our executives. Due to the efforts of the executives we attract, we achieve organizational efficiency (i.e., low relative and absolute G&amp;A expense) as the efforts of our executives allow us to maintain a smaller organization overall, relative to the size and activities of the Company. We believe the results speak for themselves, as even in a year where REITs underperformed other sectors of the market, our long-term TRS remains among the best of our office REIT peers and our G&amp;A expense as a percentage of total assets is the second lowest among our office REIT peers.</w:t>
      </w:r>
    </w:p>
    <w:p>
      <w:pPr>
        <w:spacing w:after="0" w:line="175" w:lineRule="exact"/>
        <w:rPr>
          <w:sz w:val="20"/>
          <w:szCs w:val="20"/>
          <w:color w:val="auto"/>
        </w:rPr>
      </w:pPr>
    </w:p>
    <w:p>
      <w:pPr>
        <w:ind w:left="265" w:hanging="265"/>
        <w:spacing w:after="0"/>
        <w:tabs>
          <w:tab w:leader="none" w:pos="265" w:val="left"/>
        </w:tabs>
        <w:numPr>
          <w:ilvl w:val="0"/>
          <w:numId w:val="24"/>
        </w:numPr>
        <w:rPr>
          <w:rFonts w:ascii="Arial" w:cs="Arial" w:eastAsia="Arial" w:hAnsi="Arial"/>
          <w:sz w:val="15"/>
          <w:szCs w:val="15"/>
          <w:color w:val="325889"/>
        </w:rPr>
      </w:pPr>
      <w:r>
        <w:rPr>
          <w:rFonts w:ascii="Arial" w:cs="Arial" w:eastAsia="Arial" w:hAnsi="Arial"/>
          <w:sz w:val="15"/>
          <w:szCs w:val="15"/>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83450" cy="20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365"/>
          </w:cols>
          <w:pgMar w:left="235" w:top="528" w:right="299" w:bottom="1440" w:gutter="0" w:footer="0" w:header="0"/>
        </w:sectPr>
      </w:pPr>
    </w:p>
    <w:bookmarkStart w:id="24" w:name="page25"/>
    <w:bookmarkEnd w:id="24"/>
    <w:p>
      <w:pPr>
        <w:ind w:left="5"/>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325889"/>
        </w:rPr>
        <w:t>EXECUTIVE COMPENSATION</w:t>
      </w:r>
    </w:p>
    <w:p>
      <w:pPr>
        <w:spacing w:after="0" w:line="178" w:lineRule="exact"/>
        <w:rPr>
          <w:sz w:val="20"/>
          <w:szCs w:val="20"/>
          <w:color w:val="auto"/>
        </w:rPr>
      </w:pPr>
    </w:p>
    <w:p>
      <w:pPr>
        <w:ind w:left="5"/>
        <w:spacing w:after="0"/>
        <w:rPr>
          <w:sz w:val="20"/>
          <w:szCs w:val="20"/>
          <w:color w:val="auto"/>
        </w:rPr>
      </w:pPr>
      <w:r>
        <w:rPr>
          <w:rFonts w:ascii="Arial" w:cs="Arial" w:eastAsia="Arial" w:hAnsi="Arial"/>
          <w:sz w:val="12"/>
          <w:szCs w:val="12"/>
          <w:b w:val="1"/>
          <w:bCs w:val="1"/>
          <w:color w:val="325889"/>
        </w:rPr>
        <w:t>2016 Performance and Executive Compensation</w:t>
      </w:r>
    </w:p>
    <w:p>
      <w:pPr>
        <w:spacing w:after="0" w:line="200" w:lineRule="exact"/>
        <w:rPr>
          <w:sz w:val="20"/>
          <w:szCs w:val="20"/>
          <w:color w:val="auto"/>
        </w:rPr>
      </w:pPr>
    </w:p>
    <w:p>
      <w:pPr>
        <w:ind w:left="5"/>
        <w:spacing w:after="0"/>
        <w:rPr>
          <w:sz w:val="20"/>
          <w:szCs w:val="20"/>
          <w:color w:val="auto"/>
        </w:rPr>
      </w:pPr>
      <w:r>
        <w:rPr>
          <w:rFonts w:ascii="Arial" w:cs="Arial" w:eastAsia="Arial" w:hAnsi="Arial"/>
          <w:sz w:val="15"/>
          <w:szCs w:val="15"/>
          <w:color w:val="auto"/>
        </w:rPr>
        <w:t>The information below summarizes our strong long-term TRS, our 2016 achievements and our 2016 CEO and other NEO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7263130" cy="12655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3130" cy="1265555"/>
                    </a:xfrm>
                    <a:prstGeom prst="rect">
                      <a:avLst/>
                    </a:prstGeom>
                    <a:noFill/>
                  </pic:spPr>
                </pic:pic>
              </a:graphicData>
            </a:graphic>
          </wp:anchor>
        </w:drawing>
      </w:r>
    </w:p>
    <w:p>
      <w:pPr>
        <w:spacing w:after="0" w:line="237" w:lineRule="exact"/>
        <w:rPr>
          <w:sz w:val="20"/>
          <w:szCs w:val="20"/>
          <w:color w:val="auto"/>
        </w:rPr>
      </w:pPr>
    </w:p>
    <w:p>
      <w:pPr>
        <w:ind w:left="105"/>
        <w:spacing w:after="0"/>
        <w:tabs>
          <w:tab w:leader="none" w:pos="3905" w:val="left"/>
          <w:tab w:leader="none" w:pos="7605" w:val="left"/>
        </w:tabs>
        <w:rPr>
          <w:sz w:val="20"/>
          <w:szCs w:val="20"/>
          <w:color w:val="auto"/>
        </w:rPr>
      </w:pPr>
      <w:r>
        <w:rPr>
          <w:rFonts w:ascii="Arial" w:cs="Arial" w:eastAsia="Arial" w:hAnsi="Arial"/>
          <w:sz w:val="12"/>
          <w:szCs w:val="12"/>
          <w:b w:val="1"/>
          <w:bCs w:val="1"/>
          <w:color w:val="325889"/>
        </w:rPr>
        <w:t>Normalized FFO Per Share</w:t>
      </w:r>
      <w:r>
        <w:rPr>
          <w:rFonts w:ascii="Arial" w:cs="Arial" w:eastAsia="Arial" w:hAnsi="Arial"/>
          <w:sz w:val="19"/>
          <w:szCs w:val="19"/>
          <w:b w:val="1"/>
          <w:bCs w:val="1"/>
          <w:color w:val="325889"/>
          <w:vertAlign w:val="superscript"/>
        </w:rPr>
        <w:t>(1)</w:t>
      </w:r>
      <w:r>
        <w:rPr>
          <w:sz w:val="20"/>
          <w:szCs w:val="20"/>
          <w:color w:val="auto"/>
        </w:rPr>
        <w:tab/>
      </w:r>
      <w:r>
        <w:rPr>
          <w:rFonts w:ascii="Arial" w:cs="Arial" w:eastAsia="Arial" w:hAnsi="Arial"/>
          <w:sz w:val="12"/>
          <w:szCs w:val="12"/>
          <w:b w:val="1"/>
          <w:bCs w:val="1"/>
          <w:color w:val="325889"/>
        </w:rPr>
        <w:t>Growth in Same Store Cash NOI</w:t>
      </w:r>
      <w:r>
        <w:rPr>
          <w:rFonts w:ascii="Arial" w:cs="Arial" w:eastAsia="Arial" w:hAnsi="Arial"/>
          <w:sz w:val="19"/>
          <w:szCs w:val="19"/>
          <w:b w:val="1"/>
          <w:bCs w:val="1"/>
          <w:color w:val="325889"/>
          <w:vertAlign w:val="superscript"/>
        </w:rPr>
        <w:t>(1)</w:t>
      </w:r>
      <w:r>
        <w:rPr>
          <w:sz w:val="20"/>
          <w:szCs w:val="20"/>
          <w:color w:val="auto"/>
        </w:rPr>
        <w:tab/>
      </w:r>
      <w:r>
        <w:rPr>
          <w:rFonts w:ascii="Arial" w:cs="Arial" w:eastAsia="Arial" w:hAnsi="Arial"/>
          <w:sz w:val="11"/>
          <w:szCs w:val="11"/>
          <w:b w:val="1"/>
          <w:bCs w:val="1"/>
          <w:color w:val="325889"/>
        </w:rPr>
        <w:t>Operating Success</w:t>
      </w:r>
    </w:p>
    <w:p>
      <w:pPr>
        <w:spacing w:after="0" w:line="5" w:lineRule="exact"/>
        <w:rPr>
          <w:sz w:val="20"/>
          <w:szCs w:val="20"/>
          <w:color w:val="auto"/>
        </w:rPr>
      </w:pPr>
    </w:p>
    <w:p>
      <w:pPr>
        <w:ind w:left="7625"/>
        <w:spacing w:after="0"/>
        <w:rPr>
          <w:sz w:val="20"/>
          <w:szCs w:val="20"/>
          <w:color w:val="auto"/>
        </w:rPr>
      </w:pPr>
      <w:r>
        <w:rPr>
          <w:rFonts w:ascii="Arial" w:cs="Arial" w:eastAsia="Arial" w:hAnsi="Arial"/>
          <w:sz w:val="12"/>
          <w:szCs w:val="12"/>
          <w:color w:val="325889"/>
        </w:rPr>
        <w:t>Leasing Results</w:t>
      </w:r>
    </w:p>
    <w:p>
      <w:pPr>
        <w:jc w:val="both"/>
        <w:ind w:left="8085" w:right="240" w:hanging="205"/>
        <w:spacing w:after="0" w:line="227" w:lineRule="auto"/>
        <w:tabs>
          <w:tab w:leader="none" w:pos="8065" w:val="left"/>
        </w:tabs>
        <w:rPr>
          <w:sz w:val="20"/>
          <w:szCs w:val="20"/>
          <w:color w:val="auto"/>
        </w:rPr>
      </w:pPr>
      <w:r>
        <w:rPr>
          <w:rFonts w:ascii="Arial" w:cs="Arial" w:eastAsia="Arial" w:hAnsi="Arial"/>
          <w:sz w:val="11"/>
          <w:szCs w:val="11"/>
          <w:color w:val="325889"/>
        </w:rPr>
        <w:t>●</w:t>
      </w:r>
      <w:r>
        <w:rPr>
          <w:sz w:val="20"/>
          <w:szCs w:val="20"/>
          <w:color w:val="auto"/>
        </w:rPr>
        <w:tab/>
      </w:r>
      <w:r>
        <w:rPr>
          <w:rFonts w:ascii="Arial" w:cs="Arial" w:eastAsia="Arial" w:hAnsi="Arial"/>
          <w:sz w:val="12"/>
          <w:szCs w:val="12"/>
          <w:color w:val="FFFFFF"/>
        </w:rPr>
        <w:t>3.2 million square feet of Manhattan office leases at 27.6% mark-to-market and 638,000 square feet of suburban office leases at 6.1% mark-to-market</w:t>
      </w:r>
    </w:p>
    <w:p>
      <w:pPr>
        <w:ind w:left="8085" w:right="520" w:hanging="205"/>
        <w:spacing w:after="0" w:line="227" w:lineRule="auto"/>
        <w:tabs>
          <w:tab w:leader="none" w:pos="8065" w:val="left"/>
        </w:tabs>
        <w:rPr>
          <w:sz w:val="20"/>
          <w:szCs w:val="20"/>
          <w:color w:val="auto"/>
        </w:rPr>
      </w:pPr>
      <w:r>
        <w:rPr>
          <w:rFonts w:ascii="Arial" w:cs="Arial" w:eastAsia="Arial" w:hAnsi="Arial"/>
          <w:sz w:val="11"/>
          <w:szCs w:val="11"/>
          <w:color w:val="325889"/>
        </w:rPr>
        <w:t>●</w:t>
      </w:r>
      <w:r>
        <w:rPr>
          <w:sz w:val="20"/>
          <w:szCs w:val="20"/>
          <w:color w:val="auto"/>
        </w:rPr>
        <w:tab/>
      </w:r>
      <w:r>
        <w:rPr>
          <w:rFonts w:ascii="Arial" w:cs="Arial" w:eastAsia="Arial" w:hAnsi="Arial"/>
          <w:sz w:val="12"/>
          <w:szCs w:val="12"/>
          <w:color w:val="FFFFFF"/>
        </w:rPr>
        <w:t>97.1% occupancy for the same store Manhattan office portfolio</w:t>
      </w:r>
    </w:p>
    <w:p>
      <w:pPr>
        <w:ind w:left="7625"/>
        <w:spacing w:after="0" w:line="227" w:lineRule="auto"/>
        <w:rPr>
          <w:sz w:val="20"/>
          <w:szCs w:val="20"/>
          <w:color w:val="auto"/>
        </w:rPr>
      </w:pPr>
      <w:r>
        <w:rPr>
          <w:rFonts w:ascii="Arial" w:cs="Arial" w:eastAsia="Arial" w:hAnsi="Arial"/>
          <w:sz w:val="12"/>
          <w:szCs w:val="12"/>
          <w:color w:val="325889"/>
        </w:rPr>
        <w:t>Disposition Volume</w:t>
      </w:r>
    </w:p>
    <w:p>
      <w:pPr>
        <w:ind w:left="8085" w:right="300" w:hanging="205"/>
        <w:spacing w:after="0" w:line="227" w:lineRule="auto"/>
        <w:tabs>
          <w:tab w:leader="none" w:pos="8065" w:val="left"/>
        </w:tabs>
        <w:rPr>
          <w:sz w:val="20"/>
          <w:szCs w:val="20"/>
          <w:color w:val="auto"/>
        </w:rPr>
      </w:pPr>
      <w:r>
        <w:rPr>
          <w:rFonts w:ascii="Arial" w:cs="Arial" w:eastAsia="Arial" w:hAnsi="Arial"/>
          <w:sz w:val="11"/>
          <w:szCs w:val="11"/>
          <w:color w:val="325889"/>
        </w:rPr>
        <w:t>●</w:t>
      </w:r>
      <w:r>
        <w:rPr>
          <w:sz w:val="20"/>
          <w:szCs w:val="20"/>
          <w:color w:val="auto"/>
        </w:rPr>
        <w:tab/>
      </w:r>
      <w:r>
        <w:rPr>
          <w:rFonts w:ascii="Arial" w:cs="Arial" w:eastAsia="Arial" w:hAnsi="Arial"/>
          <w:sz w:val="12"/>
          <w:szCs w:val="12"/>
          <w:color w:val="FFFFFF"/>
        </w:rPr>
        <w:t>Executed $3.9 billion of real estate dispositions generating $1.1 billion of cash proceeds</w:t>
      </w:r>
    </w:p>
    <w:p>
      <w:pPr>
        <w:ind w:left="7625"/>
        <w:spacing w:after="0" w:line="227" w:lineRule="auto"/>
        <w:rPr>
          <w:sz w:val="20"/>
          <w:szCs w:val="20"/>
          <w:color w:val="auto"/>
        </w:rPr>
      </w:pPr>
      <w:r>
        <w:rPr>
          <w:rFonts w:ascii="Arial" w:cs="Arial" w:eastAsia="Arial" w:hAnsi="Arial"/>
          <w:sz w:val="12"/>
          <w:szCs w:val="12"/>
          <w:color w:val="325889"/>
        </w:rPr>
        <w:t>Organizational Achievements</w:t>
      </w:r>
    </w:p>
    <w:p>
      <w:pPr>
        <w:ind w:left="8085" w:right="220" w:hanging="205"/>
        <w:spacing w:after="0" w:line="233" w:lineRule="auto"/>
        <w:tabs>
          <w:tab w:leader="none" w:pos="8065" w:val="left"/>
        </w:tabs>
        <w:rPr>
          <w:sz w:val="20"/>
          <w:szCs w:val="20"/>
          <w:color w:val="auto"/>
        </w:rPr>
      </w:pPr>
      <w:r>
        <w:rPr>
          <w:rFonts w:ascii="Arial" w:cs="Arial" w:eastAsia="Arial" w:hAnsi="Arial"/>
          <w:sz w:val="11"/>
          <w:szCs w:val="11"/>
          <w:color w:val="325889"/>
        </w:rPr>
        <w:t>●</w:t>
      </w:r>
      <w:r>
        <w:rPr>
          <w:sz w:val="20"/>
          <w:szCs w:val="20"/>
          <w:color w:val="auto"/>
        </w:rPr>
        <w:tab/>
      </w:r>
      <w:r>
        <w:rPr>
          <w:rFonts w:ascii="Arial" w:cs="Arial" w:eastAsia="Arial" w:hAnsi="Arial"/>
          <w:sz w:val="12"/>
          <w:szCs w:val="12"/>
          <w:color w:val="FFFFFF"/>
        </w:rPr>
        <w:t>Major progress on One Vanderbilt, including securing a $1.5 billion construction loan and $525 million in JV equity, and breaking ground on the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129540</wp:posOffset>
            </wp:positionV>
            <wp:extent cx="7263130" cy="1913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3130" cy="1913890"/>
                    </a:xfrm>
                    <a:prstGeom prst="rect">
                      <a:avLst/>
                    </a:prstGeom>
                    <a:noFill/>
                  </pic:spPr>
                </pic:pic>
              </a:graphicData>
            </a:graphic>
          </wp:anchor>
        </w:drawing>
      </w:r>
    </w:p>
    <w:p>
      <w:pPr>
        <w:sectPr>
          <w:pgSz w:w="11900" w:h="16838" w:orient="portrait"/>
          <w:cols w:equalWidth="0" w:num="1">
            <w:col w:w="11445"/>
          </w:cols>
          <w:pgMar w:left="235" w:top="528" w:right="219" w:bottom="1440" w:gutter="0" w:footer="0" w:header="0"/>
        </w:sectPr>
      </w:pPr>
    </w:p>
    <w:p>
      <w:pPr>
        <w:spacing w:after="0" w:line="272" w:lineRule="exact"/>
        <w:rPr>
          <w:sz w:val="20"/>
          <w:szCs w:val="20"/>
          <w:color w:val="auto"/>
        </w:rPr>
      </w:pPr>
    </w:p>
    <w:p>
      <w:pPr>
        <w:ind w:left="145"/>
        <w:spacing w:after="0"/>
        <w:rPr>
          <w:sz w:val="20"/>
          <w:szCs w:val="20"/>
          <w:color w:val="auto"/>
        </w:rPr>
      </w:pPr>
      <w:r>
        <w:rPr>
          <w:rFonts w:ascii="Arial" w:cs="Arial" w:eastAsia="Arial" w:hAnsi="Arial"/>
          <w:sz w:val="12"/>
          <w:szCs w:val="12"/>
          <w:b w:val="1"/>
          <w:bCs w:val="1"/>
          <w:color w:val="325889"/>
        </w:rPr>
        <w:t>Superior Long-Term TRS Performance</w:t>
      </w:r>
    </w:p>
    <w:p>
      <w:pPr>
        <w:spacing w:after="0" w:line="76" w:lineRule="exact"/>
        <w:rPr>
          <w:sz w:val="20"/>
          <w:szCs w:val="20"/>
          <w:color w:val="auto"/>
        </w:rPr>
      </w:pPr>
    </w:p>
    <w:p>
      <w:pPr>
        <w:ind w:left="105"/>
        <w:spacing w:after="0" w:line="257" w:lineRule="auto"/>
        <w:rPr>
          <w:sz w:val="20"/>
          <w:szCs w:val="20"/>
          <w:color w:val="auto"/>
        </w:rPr>
      </w:pPr>
      <w:r>
        <w:rPr>
          <w:rFonts w:ascii="Arial" w:cs="Arial" w:eastAsia="Arial" w:hAnsi="Arial"/>
          <w:sz w:val="12"/>
          <w:szCs w:val="12"/>
          <w:b w:val="1"/>
          <w:bCs w:val="1"/>
          <w:color w:val="auto"/>
        </w:rPr>
        <w:t>Despite disappointing TRS for 2016 of -2.06%, our longer term TRS performance remains strong, as set forth below:</w:t>
      </w:r>
    </w:p>
    <w:p>
      <w:pPr>
        <w:spacing w:after="0" w:line="155" w:lineRule="exact"/>
        <w:rPr>
          <w:sz w:val="20"/>
          <w:szCs w:val="20"/>
          <w:color w:val="auto"/>
        </w:rPr>
      </w:pPr>
    </w:p>
    <w:p>
      <w:pPr>
        <w:ind w:left="105"/>
        <w:spacing w:after="0"/>
        <w:rPr>
          <w:sz w:val="20"/>
          <w:szCs w:val="20"/>
          <w:color w:val="auto"/>
        </w:rPr>
      </w:pPr>
      <w:r>
        <w:rPr>
          <w:rFonts w:ascii="Arial" w:cs="Arial" w:eastAsia="Arial" w:hAnsi="Arial"/>
          <w:sz w:val="12"/>
          <w:szCs w:val="12"/>
          <w:b w:val="1"/>
          <w:bCs w:val="1"/>
          <w:color w:val="325889"/>
        </w:rPr>
        <w:t>Total Shareholder Return (as of 12/31/2016)</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325889"/>
        </w:rPr>
        <w:t>Low G&amp;A Expense</w:t>
      </w:r>
      <w:r>
        <w:rPr>
          <w:rFonts w:ascii="Arial" w:cs="Arial" w:eastAsia="Arial" w:hAnsi="Arial"/>
          <w:sz w:val="19"/>
          <w:szCs w:val="19"/>
          <w:b w:val="1"/>
          <w:bCs w:val="1"/>
          <w:color w:val="325889"/>
          <w:vertAlign w:val="superscript"/>
        </w:rPr>
        <w:t>(2)</w:t>
      </w:r>
    </w:p>
    <w:p>
      <w:pPr>
        <w:spacing w:after="0" w:line="37" w:lineRule="exact"/>
        <w:rPr>
          <w:sz w:val="20"/>
          <w:szCs w:val="20"/>
          <w:color w:val="auto"/>
        </w:rPr>
      </w:pPr>
    </w:p>
    <w:p>
      <w:pPr>
        <w:ind w:right="220"/>
        <w:spacing w:after="0" w:line="236" w:lineRule="auto"/>
        <w:rPr>
          <w:sz w:val="20"/>
          <w:szCs w:val="20"/>
          <w:color w:val="auto"/>
        </w:rPr>
      </w:pPr>
      <w:r>
        <w:rPr>
          <w:rFonts w:ascii="Arial" w:cs="Arial" w:eastAsia="Arial" w:hAnsi="Arial"/>
          <w:sz w:val="12"/>
          <w:szCs w:val="12"/>
          <w:b w:val="1"/>
          <w:bCs w:val="1"/>
          <w:color w:val="auto"/>
        </w:rPr>
        <w:t>We have consistently maintained low G&amp;A expenses, with G&amp;A expense as a percentage of total assets and revenues among the lowest of our office REIT peers.</w:t>
      </w:r>
    </w:p>
    <w:p>
      <w:pPr>
        <w:spacing w:after="0" w:line="320" w:lineRule="exact"/>
        <w:rPr>
          <w:sz w:val="20"/>
          <w:szCs w:val="20"/>
          <w:color w:val="auto"/>
        </w:rPr>
      </w:pPr>
    </w:p>
    <w:tbl>
      <w:tblPr>
        <w:tblLayout w:type="fixed"/>
        <w:tblInd w:w="560" w:type="dxa"/>
        <w:tblCellMar>
          <w:top w:w="0" w:type="dxa"/>
          <w:left w:w="0" w:type="dxa"/>
          <w:bottom w:w="0" w:type="dxa"/>
          <w:right w:w="0" w:type="dxa"/>
        </w:tblCellMar>
      </w:tblPr>
      <w:tr>
        <w:trPr>
          <w:trHeight w:val="139"/>
        </w:trPr>
        <w:tc>
          <w:tcPr>
            <w:tcW w:w="2140" w:type="dxa"/>
            <w:vAlign w:val="bottom"/>
          </w:tcPr>
          <w:p>
            <w:pPr>
              <w:ind w:left="280"/>
              <w:spacing w:after="0"/>
              <w:rPr>
                <w:sz w:val="20"/>
                <w:szCs w:val="20"/>
                <w:color w:val="auto"/>
              </w:rPr>
            </w:pPr>
            <w:r>
              <w:rPr>
                <w:rFonts w:ascii="Arial" w:cs="Arial" w:eastAsia="Arial" w:hAnsi="Arial"/>
                <w:sz w:val="12"/>
                <w:szCs w:val="12"/>
                <w:b w:val="1"/>
                <w:bCs w:val="1"/>
                <w:color w:val="325889"/>
              </w:rPr>
              <w:t>G&amp;A expense as a</w:t>
            </w:r>
          </w:p>
        </w:tc>
        <w:tc>
          <w:tcPr>
            <w:tcW w:w="2340" w:type="dxa"/>
            <w:vAlign w:val="bottom"/>
          </w:tcPr>
          <w:p>
            <w:pPr>
              <w:jc w:val="center"/>
              <w:ind w:left="441"/>
              <w:spacing w:after="0"/>
              <w:rPr>
                <w:sz w:val="20"/>
                <w:szCs w:val="20"/>
                <w:color w:val="auto"/>
              </w:rPr>
            </w:pPr>
            <w:r>
              <w:rPr>
                <w:rFonts w:ascii="Arial" w:cs="Arial" w:eastAsia="Arial" w:hAnsi="Arial"/>
                <w:sz w:val="12"/>
                <w:szCs w:val="12"/>
                <w:b w:val="1"/>
                <w:bCs w:val="1"/>
                <w:color w:val="325889"/>
                <w:w w:val="99"/>
              </w:rPr>
              <w:t>G&amp;A expense as a</w:t>
            </w:r>
          </w:p>
        </w:tc>
      </w:tr>
      <w:tr>
        <w:trPr>
          <w:trHeight w:val="264"/>
        </w:trPr>
        <w:tc>
          <w:tcPr>
            <w:tcW w:w="2140" w:type="dxa"/>
            <w:vAlign w:val="bottom"/>
          </w:tcPr>
          <w:p>
            <w:pPr>
              <w:spacing w:after="0"/>
              <w:rPr>
                <w:sz w:val="20"/>
                <w:szCs w:val="20"/>
                <w:color w:val="auto"/>
              </w:rPr>
            </w:pPr>
            <w:r>
              <w:rPr>
                <w:rFonts w:ascii="Arial" w:cs="Arial" w:eastAsia="Arial" w:hAnsi="Arial"/>
                <w:sz w:val="12"/>
                <w:szCs w:val="12"/>
                <w:b w:val="1"/>
                <w:bCs w:val="1"/>
                <w:color w:val="325889"/>
              </w:rPr>
              <w:t>Percentage of Total Assets</w:t>
            </w:r>
            <w:r>
              <w:rPr>
                <w:rFonts w:ascii="Arial" w:cs="Arial" w:eastAsia="Arial" w:hAnsi="Arial"/>
                <w:sz w:val="19"/>
                <w:szCs w:val="19"/>
                <w:b w:val="1"/>
                <w:bCs w:val="1"/>
                <w:color w:val="325889"/>
                <w:vertAlign w:val="superscript"/>
              </w:rPr>
              <w:t>(2)</w:t>
            </w:r>
          </w:p>
        </w:tc>
        <w:tc>
          <w:tcPr>
            <w:tcW w:w="2340" w:type="dxa"/>
            <w:vAlign w:val="bottom"/>
          </w:tcPr>
          <w:p>
            <w:pPr>
              <w:jc w:val="center"/>
              <w:ind w:left="461"/>
              <w:spacing w:after="0"/>
              <w:rPr>
                <w:sz w:val="20"/>
                <w:szCs w:val="20"/>
                <w:color w:val="auto"/>
              </w:rPr>
            </w:pPr>
            <w:r>
              <w:rPr>
                <w:rFonts w:ascii="Arial" w:cs="Arial" w:eastAsia="Arial" w:hAnsi="Arial"/>
                <w:sz w:val="12"/>
                <w:szCs w:val="12"/>
                <w:b w:val="1"/>
                <w:bCs w:val="1"/>
                <w:color w:val="325889"/>
                <w:w w:val="97"/>
              </w:rPr>
              <w:t>Percentage of Total Revenues</w:t>
            </w:r>
            <w:r>
              <w:rPr>
                <w:rFonts w:ascii="Arial" w:cs="Arial" w:eastAsia="Arial" w:hAnsi="Arial"/>
                <w:sz w:val="19"/>
                <w:szCs w:val="19"/>
                <w:b w:val="1"/>
                <w:bCs w:val="1"/>
                <w:color w:val="325889"/>
                <w:w w:val="97"/>
                <w:vertAlign w:val="superscript"/>
              </w:rPr>
              <w:t>(2)</w:t>
            </w:r>
          </w:p>
        </w:tc>
      </w:tr>
    </w:tbl>
    <w:p>
      <w:pPr>
        <w:spacing w:after="0" w:line="200" w:lineRule="exact"/>
        <w:rPr>
          <w:sz w:val="20"/>
          <w:szCs w:val="20"/>
          <w:color w:val="auto"/>
        </w:rPr>
      </w:pPr>
    </w:p>
    <w:p>
      <w:pPr>
        <w:sectPr>
          <w:pgSz w:w="11900" w:h="16838" w:orient="portrait"/>
          <w:cols w:equalWidth="0" w:num="2">
            <w:col w:w="5545" w:space="260"/>
            <w:col w:w="5640"/>
          </w:cols>
          <w:pgMar w:left="235" w:top="528"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5" w:type="dxa"/>
        <w:tblCellMar>
          <w:top w:w="0" w:type="dxa"/>
          <w:left w:w="0" w:type="dxa"/>
          <w:bottom w:w="0" w:type="dxa"/>
          <w:right w:w="0" w:type="dxa"/>
        </w:tblCellMar>
      </w:tblPr>
      <w:tr>
        <w:trPr>
          <w:trHeight w:val="200"/>
        </w:trPr>
        <w:tc>
          <w:tcPr>
            <w:tcW w:w="4820" w:type="dxa"/>
            <w:vAlign w:val="bottom"/>
            <w:shd w:val="clear" w:color="auto" w:fill="9CA1BE"/>
          </w:tcPr>
          <w:p>
            <w:pPr>
              <w:ind w:left="100"/>
              <w:spacing w:after="0"/>
              <w:rPr>
                <w:sz w:val="20"/>
                <w:szCs w:val="20"/>
                <w:color w:val="auto"/>
              </w:rPr>
            </w:pPr>
            <w:r>
              <w:rPr>
                <w:rFonts w:ascii="Arial" w:cs="Arial" w:eastAsia="Arial" w:hAnsi="Arial"/>
                <w:sz w:val="12"/>
                <w:szCs w:val="12"/>
                <w:b w:val="1"/>
                <w:bCs w:val="1"/>
                <w:color w:val="325889"/>
              </w:rPr>
              <w:t>2016 CEO Compensation</w:t>
            </w:r>
          </w:p>
        </w:tc>
        <w:tc>
          <w:tcPr>
            <w:tcW w:w="6620" w:type="dxa"/>
            <w:vAlign w:val="bottom"/>
            <w:shd w:val="clear" w:color="auto" w:fill="9CA1BE"/>
          </w:tcPr>
          <w:p>
            <w:pPr>
              <w:ind w:left="1020"/>
              <w:spacing w:after="0"/>
              <w:rPr>
                <w:sz w:val="20"/>
                <w:szCs w:val="20"/>
                <w:color w:val="auto"/>
              </w:rPr>
            </w:pPr>
            <w:r>
              <w:rPr>
                <w:rFonts w:ascii="Arial" w:cs="Arial" w:eastAsia="Arial" w:hAnsi="Arial"/>
                <w:sz w:val="12"/>
                <w:szCs w:val="12"/>
                <w:b w:val="1"/>
                <w:bCs w:val="1"/>
                <w:color w:val="325889"/>
              </w:rPr>
              <w:t>2016 Other NEO Compensation</w:t>
            </w:r>
          </w:p>
        </w:tc>
      </w:tr>
      <w:tr>
        <w:trPr>
          <w:trHeight w:val="225"/>
        </w:trPr>
        <w:tc>
          <w:tcPr>
            <w:tcW w:w="4820" w:type="dxa"/>
            <w:vAlign w:val="bottom"/>
            <w:shd w:val="clear" w:color="auto" w:fill="9CA1BE"/>
          </w:tcPr>
          <w:p>
            <w:pPr>
              <w:ind w:left="100"/>
              <w:spacing w:after="0"/>
              <w:rPr>
                <w:sz w:val="20"/>
                <w:szCs w:val="20"/>
                <w:color w:val="auto"/>
              </w:rPr>
            </w:pPr>
            <w:r>
              <w:rPr>
                <w:rFonts w:ascii="Arial" w:cs="Arial" w:eastAsia="Arial" w:hAnsi="Arial"/>
                <w:sz w:val="12"/>
                <w:szCs w:val="12"/>
                <w:b w:val="1"/>
                <w:bCs w:val="1"/>
                <w:color w:val="auto"/>
              </w:rPr>
              <w:t>88.5% Variable Performance-Based; 75% Equity</w:t>
            </w:r>
          </w:p>
        </w:tc>
        <w:tc>
          <w:tcPr>
            <w:tcW w:w="6620" w:type="dxa"/>
            <w:vAlign w:val="bottom"/>
            <w:shd w:val="clear" w:color="auto" w:fill="9CA1BE"/>
          </w:tcPr>
          <w:p>
            <w:pPr>
              <w:ind w:left="1020"/>
              <w:spacing w:after="0"/>
              <w:rPr>
                <w:sz w:val="20"/>
                <w:szCs w:val="20"/>
                <w:color w:val="auto"/>
              </w:rPr>
            </w:pPr>
            <w:r>
              <w:rPr>
                <w:rFonts w:ascii="Arial" w:cs="Arial" w:eastAsia="Arial" w:hAnsi="Arial"/>
                <w:sz w:val="12"/>
                <w:szCs w:val="12"/>
                <w:b w:val="1"/>
                <w:bCs w:val="1"/>
                <w:color w:val="auto"/>
              </w:rPr>
              <w:t>86.5% Variable Performance-Based; 70.0% Equity</w:t>
            </w:r>
          </w:p>
        </w:tc>
      </w:tr>
      <w:tr>
        <w:trPr>
          <w:trHeight w:val="214"/>
        </w:trPr>
        <w:tc>
          <w:tcPr>
            <w:tcW w:w="4820" w:type="dxa"/>
            <w:vAlign w:val="bottom"/>
            <w:shd w:val="clear" w:color="auto" w:fill="9CA1BE"/>
          </w:tcPr>
          <w:p>
            <w:pPr>
              <w:ind w:left="2020"/>
              <w:spacing w:after="0"/>
              <w:rPr>
                <w:sz w:val="20"/>
                <w:szCs w:val="20"/>
                <w:color w:val="auto"/>
              </w:rPr>
            </w:pPr>
            <w:r>
              <w:rPr>
                <w:rFonts w:ascii="Arial" w:cs="Arial" w:eastAsia="Arial" w:hAnsi="Arial"/>
                <w:sz w:val="12"/>
                <w:szCs w:val="12"/>
                <w:b w:val="1"/>
                <w:bCs w:val="1"/>
                <w:color w:val="325889"/>
              </w:rPr>
              <w:t>Chief Executive Officer Pay Mix</w:t>
            </w:r>
          </w:p>
        </w:tc>
        <w:tc>
          <w:tcPr>
            <w:tcW w:w="6620" w:type="dxa"/>
            <w:vAlign w:val="bottom"/>
            <w:shd w:val="clear" w:color="auto" w:fill="9CA1BE"/>
          </w:tcPr>
          <w:p>
            <w:pPr>
              <w:ind w:left="2620"/>
              <w:spacing w:after="0"/>
              <w:rPr>
                <w:sz w:val="20"/>
                <w:szCs w:val="20"/>
                <w:color w:val="auto"/>
              </w:rPr>
            </w:pPr>
            <w:r>
              <w:rPr>
                <w:rFonts w:ascii="Arial" w:cs="Arial" w:eastAsia="Arial" w:hAnsi="Arial"/>
                <w:sz w:val="12"/>
                <w:szCs w:val="12"/>
                <w:b w:val="1"/>
                <w:bCs w:val="1"/>
                <w:color w:val="325889"/>
              </w:rPr>
              <w:t>Other Named Executive Officers Pay Mix</w:t>
            </w:r>
          </w:p>
        </w:tc>
      </w:tr>
      <w:tr>
        <w:trPr>
          <w:trHeight w:val="2078"/>
        </w:trPr>
        <w:tc>
          <w:tcPr>
            <w:tcW w:w="4820" w:type="dxa"/>
            <w:vAlign w:val="bottom"/>
            <w:shd w:val="clear" w:color="auto" w:fill="9CA1BE"/>
          </w:tcPr>
          <w:p>
            <w:pPr>
              <w:spacing w:after="0"/>
              <w:rPr>
                <w:sz w:val="24"/>
                <w:szCs w:val="24"/>
                <w:color w:val="auto"/>
              </w:rPr>
            </w:pPr>
          </w:p>
        </w:tc>
        <w:tc>
          <w:tcPr>
            <w:tcW w:w="6620" w:type="dxa"/>
            <w:vAlign w:val="bottom"/>
            <w:shd w:val="clear" w:color="auto" w:fill="9CA1BE"/>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-1574165</wp:posOffset>
            </wp:positionV>
            <wp:extent cx="7127875"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27875" cy="762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-1295400</wp:posOffset>
            </wp:positionV>
            <wp:extent cx="5816600" cy="129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16600" cy="1296035"/>
                    </a:xfrm>
                    <a:prstGeom prst="rect">
                      <a:avLst/>
                    </a:prstGeom>
                    <a:noFill/>
                  </pic:spPr>
                </pic:pic>
              </a:graphicData>
            </a:graphic>
          </wp:anchor>
        </w:drawing>
      </w:r>
    </w:p>
    <w:p>
      <w:pPr>
        <w:spacing w:after="0" w:line="39" w:lineRule="exact"/>
        <w:rPr>
          <w:sz w:val="20"/>
          <w:szCs w:val="20"/>
          <w:color w:val="auto"/>
        </w:rPr>
      </w:pPr>
    </w:p>
    <w:p>
      <w:pPr>
        <w:ind w:left="305" w:right="160" w:hanging="305"/>
        <w:spacing w:after="0" w:line="236" w:lineRule="auto"/>
        <w:tabs>
          <w:tab w:leader="none" w:pos="305" w:val="left"/>
        </w:tabs>
        <w:numPr>
          <w:ilvl w:val="0"/>
          <w:numId w:val="25"/>
        </w:numPr>
        <w:rPr>
          <w:rFonts w:ascii="Arial" w:cs="Arial" w:eastAsia="Arial" w:hAnsi="Arial"/>
          <w:sz w:val="12"/>
          <w:szCs w:val="12"/>
          <w:color w:val="auto"/>
        </w:rPr>
      </w:pPr>
      <w:r>
        <w:rPr>
          <w:rFonts w:ascii="Arial" w:cs="Arial" w:eastAsia="Arial" w:hAnsi="Arial"/>
          <w:sz w:val="12"/>
          <w:szCs w:val="12"/>
          <w:color w:val="auto"/>
        </w:rPr>
        <w:t>Refer to Appendix A to this proxy statement for reconciliations of combined same-store cash net operating income and normalized FFO for the years ended December 31, 2016, 2015, 2014, 2013 and 2012 and information regarding our use of these financial measures.</w:t>
      </w:r>
    </w:p>
    <w:p>
      <w:pPr>
        <w:spacing w:after="0" w:line="48" w:lineRule="exact"/>
        <w:rPr>
          <w:rFonts w:ascii="Arial" w:cs="Arial" w:eastAsia="Arial" w:hAnsi="Arial"/>
          <w:sz w:val="12"/>
          <w:szCs w:val="12"/>
          <w:color w:val="auto"/>
        </w:rPr>
      </w:pPr>
    </w:p>
    <w:p>
      <w:pPr>
        <w:ind w:left="305" w:right="40" w:hanging="305"/>
        <w:spacing w:after="0" w:line="233" w:lineRule="auto"/>
        <w:tabs>
          <w:tab w:leader="none" w:pos="305" w:val="left"/>
        </w:tabs>
        <w:numPr>
          <w:ilvl w:val="0"/>
          <w:numId w:val="25"/>
        </w:numPr>
        <w:rPr>
          <w:rFonts w:ascii="Arial" w:cs="Arial" w:eastAsia="Arial" w:hAnsi="Arial"/>
          <w:sz w:val="12"/>
          <w:szCs w:val="12"/>
          <w:color w:val="auto"/>
        </w:rPr>
      </w:pPr>
      <w:r>
        <w:rPr>
          <w:rFonts w:ascii="Arial" w:cs="Arial" w:eastAsia="Arial" w:hAnsi="Arial"/>
          <w:sz w:val="12"/>
          <w:szCs w:val="12"/>
          <w:color w:val="auto"/>
        </w:rPr>
        <w:t>Percentages of total revenues and total assets are presented on a consolidated basis. Companies used for comparison in G&amp;A expense analysis are: Alexandria Real Estate Equities, Inc., Boston Properties, Inc., Brandywine Realty Trust, Douglas Emmett, Inc., Empire State Realty Trust, Inc., Kilroy Realty Corporation, Mack-Cali Realty Corporation, Paramount Group, Inc. and Vornado Realty Trust. Office peer data obtained from Weekly Sector Scorecard, Office, dated February 17, 2017 published by Stifel, Nicolaus &amp; Company, Incorporated.</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2017 Proxy Statement </w:t>
      </w:r>
      <w:r>
        <w:rPr>
          <w:rFonts w:ascii="Arial" w:cs="Arial" w:eastAsia="Arial" w:hAnsi="Arial"/>
          <w:sz w:val="15"/>
          <w:szCs w:val="15"/>
          <w:color w:val="325889"/>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83450" cy="20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5"/>
          </w:cols>
          <w:pgMar w:left="235" w:top="528" w:right="219" w:bottom="1440" w:gutter="0" w:footer="0" w:header="0"/>
          <w:type w:val="continuous"/>
        </w:sectPr>
      </w:pPr>
    </w:p>
    <w:bookmarkStart w:id="25" w:name="page26"/>
    <w:bookmarkEnd w:id="25"/>
    <w:p>
      <w:pPr>
        <w:ind w:left="5"/>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ind w:left="5"/>
        <w:spacing w:after="0"/>
        <w:rPr>
          <w:sz w:val="20"/>
          <w:szCs w:val="20"/>
          <w:color w:val="auto"/>
        </w:rPr>
      </w:pPr>
      <w:r>
        <w:rPr>
          <w:rFonts w:ascii="Arial" w:cs="Arial" w:eastAsia="Arial" w:hAnsi="Arial"/>
          <w:sz w:val="15"/>
          <w:szCs w:val="15"/>
          <w:u w:val="single" w:color="auto"/>
          <w:color w:val="325889"/>
        </w:rPr>
        <w:t>EXECUTIVE COMPENSATION</w:t>
      </w:r>
    </w:p>
    <w:p>
      <w:pPr>
        <w:spacing w:after="0" w:line="178" w:lineRule="exact"/>
        <w:rPr>
          <w:sz w:val="20"/>
          <w:szCs w:val="20"/>
          <w:color w:val="auto"/>
        </w:rPr>
      </w:pPr>
    </w:p>
    <w:p>
      <w:pPr>
        <w:ind w:left="5"/>
        <w:spacing w:after="0"/>
        <w:rPr>
          <w:sz w:val="20"/>
          <w:szCs w:val="20"/>
          <w:color w:val="auto"/>
        </w:rPr>
      </w:pPr>
      <w:r>
        <w:rPr>
          <w:rFonts w:ascii="Arial" w:cs="Arial" w:eastAsia="Arial" w:hAnsi="Arial"/>
          <w:sz w:val="12"/>
          <w:szCs w:val="12"/>
          <w:b w:val="1"/>
          <w:bCs w:val="1"/>
          <w:color w:val="325889"/>
        </w:rPr>
        <w:t>Stockholder Engagement; Executive Compensation Changes</w:t>
      </w:r>
    </w:p>
    <w:p>
      <w:pPr>
        <w:spacing w:after="0" w:line="200" w:lineRule="exact"/>
        <w:rPr>
          <w:sz w:val="20"/>
          <w:szCs w:val="20"/>
          <w:color w:val="auto"/>
        </w:rPr>
      </w:pPr>
    </w:p>
    <w:p>
      <w:pPr>
        <w:ind w:left="5" w:right="20"/>
        <w:spacing w:after="0" w:line="250" w:lineRule="auto"/>
        <w:rPr>
          <w:sz w:val="20"/>
          <w:szCs w:val="20"/>
          <w:color w:val="auto"/>
        </w:rPr>
      </w:pPr>
      <w:r>
        <w:rPr>
          <w:rFonts w:ascii="Arial" w:cs="Arial" w:eastAsia="Arial" w:hAnsi="Arial"/>
          <w:sz w:val="15"/>
          <w:szCs w:val="15"/>
          <w:color w:val="auto"/>
        </w:rPr>
        <w:t>Over the last several years, we have engaged in a formal stockholder outreach program focused on our executive compensation. Throughout each year, we are in contact with our large institutional stockholders, representing the owners of more than a majority of our outstanding common stock, to discuss our executive compensation programs, our business and our overall performance. Since our 2016 annual meeting, we contacted institutional stockholders owning approximately 74% of our outstanding common stock. These discussions are led by the chairman of our Compensation Committee, or the Committee, and Lead Independent Director or, in certain instances, members of senior management. We provide these stockholders with information regarding our executive compensation programs, our performance and the manner in which we believe our executive compensation programs contributed to our superior long-term performance. We also engage in discussions with these stockholders where we are able to clarify aspects of our executive compensation programs that they may not fully understand and receive direct feedback regarding specific aspects of our executive compensation programs.</w:t>
      </w:r>
    </w:p>
    <w:p>
      <w:pPr>
        <w:spacing w:after="0" w:line="176" w:lineRule="exact"/>
        <w:rPr>
          <w:sz w:val="20"/>
          <w:szCs w:val="20"/>
          <w:color w:val="auto"/>
        </w:rPr>
      </w:pPr>
    </w:p>
    <w:p>
      <w:pPr>
        <w:ind w:left="5"/>
        <w:spacing w:after="0"/>
        <w:rPr>
          <w:sz w:val="20"/>
          <w:szCs w:val="20"/>
          <w:color w:val="auto"/>
        </w:rPr>
      </w:pPr>
      <w:r>
        <w:rPr>
          <w:rFonts w:ascii="Arial" w:cs="Arial" w:eastAsia="Arial" w:hAnsi="Arial"/>
          <w:sz w:val="15"/>
          <w:szCs w:val="15"/>
          <w:color w:val="auto"/>
        </w:rPr>
        <w:t>Below are some common themes we discussed during this stockholder outreach and our responses over the last few years:</w:t>
      </w:r>
    </w:p>
    <w:p>
      <w:pPr>
        <w:sectPr>
          <w:pgSz w:w="11900" w:h="16838" w:orient="portrait"/>
          <w:cols w:equalWidth="0" w:num="1">
            <w:col w:w="11425"/>
          </w:cols>
          <w:pgMar w:left="235" w:top="528" w:right="239" w:bottom="1440" w:gutter="0" w:footer="0" w:header="0"/>
        </w:sectPr>
      </w:pPr>
    </w:p>
    <w:p>
      <w:pPr>
        <w:spacing w:after="0" w:line="214" w:lineRule="exact"/>
        <w:rPr>
          <w:sz w:val="20"/>
          <w:szCs w:val="20"/>
          <w:color w:val="auto"/>
        </w:rPr>
      </w:pPr>
    </w:p>
    <w:p>
      <w:pPr>
        <w:ind w:left="5"/>
        <w:spacing w:after="0"/>
        <w:rPr>
          <w:sz w:val="20"/>
          <w:szCs w:val="20"/>
          <w:color w:val="auto"/>
        </w:rPr>
      </w:pPr>
      <w:r>
        <w:rPr>
          <w:rFonts w:ascii="Arial" w:cs="Arial" w:eastAsia="Arial" w:hAnsi="Arial"/>
          <w:sz w:val="11"/>
          <w:szCs w:val="11"/>
          <w:b w:val="1"/>
          <w:bCs w:val="1"/>
          <w:color w:val="auto"/>
        </w:rPr>
        <w:t>Area of Stockholder Concern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wp:posOffset>
            </wp:positionV>
            <wp:extent cx="1077595" cy="1504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77595" cy="150495"/>
                    </a:xfrm>
                    <a:prstGeom prst="rect">
                      <a:avLst/>
                    </a:prstGeom>
                    <a:noFill/>
                  </pic:spPr>
                </pic:pic>
              </a:graphicData>
            </a:graphic>
          </wp:anchor>
        </w:drawing>
      </w:r>
    </w:p>
    <w:p>
      <w:pPr>
        <w:spacing w:after="0" w:line="108" w:lineRule="exact"/>
        <w:rPr>
          <w:sz w:val="20"/>
          <w:szCs w:val="20"/>
          <w:color w:val="auto"/>
        </w:rPr>
      </w:pPr>
    </w:p>
    <w:p>
      <w:pPr>
        <w:ind w:left="25"/>
        <w:spacing w:after="0"/>
        <w:rPr>
          <w:sz w:val="20"/>
          <w:szCs w:val="20"/>
          <w:color w:val="auto"/>
        </w:rPr>
      </w:pPr>
      <w:r>
        <w:rPr>
          <w:rFonts w:ascii="Arial" w:cs="Arial" w:eastAsia="Arial" w:hAnsi="Arial"/>
          <w:sz w:val="15"/>
          <w:szCs w:val="15"/>
          <w:color w:val="FFFFFF"/>
        </w:rPr>
        <w:t>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1077595" cy="2635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77595" cy="263525"/>
                    </a:xfrm>
                    <a:prstGeom prst="rect">
                      <a:avLst/>
                    </a:prstGeom>
                    <a:noFill/>
                  </pic:spPr>
                </pic:pic>
              </a:graphicData>
            </a:graphic>
          </wp:anchor>
        </w:drawing>
      </w:r>
    </w:p>
    <w:p>
      <w:pPr>
        <w:spacing w:after="0" w:line="199" w:lineRule="exact"/>
        <w:rPr>
          <w:sz w:val="20"/>
          <w:szCs w:val="20"/>
          <w:color w:val="auto"/>
        </w:rPr>
      </w:pPr>
    </w:p>
    <w:p>
      <w:pPr>
        <w:ind w:left="25" w:right="260"/>
        <w:spacing w:after="0" w:line="265" w:lineRule="auto"/>
        <w:rPr>
          <w:sz w:val="20"/>
          <w:szCs w:val="20"/>
          <w:color w:val="auto"/>
        </w:rPr>
      </w:pPr>
      <w:r>
        <w:rPr>
          <w:rFonts w:ascii="Arial" w:cs="Arial" w:eastAsia="Arial" w:hAnsi="Arial"/>
          <w:sz w:val="15"/>
          <w:szCs w:val="15"/>
          <w:color w:val="FFFFFF"/>
        </w:rPr>
        <w:t>Annual Cash Bonus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1077595" cy="1504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77595" cy="150495"/>
                    </a:xfrm>
                    <a:prstGeom prst="rect">
                      <a:avLst/>
                    </a:prstGeom>
                    <a:noFill/>
                  </pic:spPr>
                </pic:pic>
              </a:graphicData>
            </a:graphic>
          </wp:anchor>
        </w:drawing>
      </w:r>
    </w:p>
    <w:p>
      <w:pPr>
        <w:spacing w:after="0" w:line="38" w:lineRule="exact"/>
        <w:rPr>
          <w:sz w:val="20"/>
          <w:szCs w:val="20"/>
          <w:color w:val="auto"/>
        </w:rPr>
      </w:pPr>
    </w:p>
    <w:p>
      <w:pPr>
        <w:ind w:left="25"/>
        <w:spacing w:after="0"/>
        <w:rPr>
          <w:sz w:val="20"/>
          <w:szCs w:val="20"/>
          <w:color w:val="auto"/>
        </w:rPr>
      </w:pPr>
      <w:r>
        <w:rPr>
          <w:rFonts w:ascii="Arial" w:cs="Arial" w:eastAsia="Arial" w:hAnsi="Arial"/>
          <w:sz w:val="15"/>
          <w:szCs w:val="15"/>
          <w:color w:val="FFFFFF"/>
        </w:rPr>
        <w:t>Contract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5"/>
        <w:spacing w:after="0"/>
        <w:rPr>
          <w:sz w:val="20"/>
          <w:szCs w:val="20"/>
          <w:color w:val="auto"/>
        </w:rPr>
      </w:pPr>
      <w:r>
        <w:rPr>
          <w:rFonts w:ascii="Arial" w:cs="Arial" w:eastAsia="Arial" w:hAnsi="Arial"/>
          <w:sz w:val="15"/>
          <w:szCs w:val="15"/>
          <w:color w:val="FFFFFF"/>
          <w:shd w:val="clear" w:color="auto" w:fill="325889"/>
        </w:rPr>
        <w:t>Outperformance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1372870</wp:posOffset>
            </wp:positionV>
            <wp:extent cx="1077595" cy="2635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77595" cy="263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5" w:right="240"/>
        <w:spacing w:after="0" w:line="265" w:lineRule="auto"/>
        <w:rPr>
          <w:sz w:val="20"/>
          <w:szCs w:val="20"/>
          <w:color w:val="auto"/>
        </w:rPr>
      </w:pPr>
      <w:r>
        <w:rPr>
          <w:rFonts w:ascii="Arial" w:cs="Arial" w:eastAsia="Arial" w:hAnsi="Arial"/>
          <w:sz w:val="15"/>
          <w:szCs w:val="15"/>
          <w:color w:val="FFFFFF"/>
        </w:rPr>
        <w:t>Executive Chairman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1077595"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77595"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325889"/>
        </w:rPr>
        <w:t>Our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41910</wp:posOffset>
            </wp:positionV>
            <wp:extent cx="6035040"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5040" cy="15240"/>
                    </a:xfrm>
                    <a:prstGeom prst="rect">
                      <a:avLst/>
                    </a:prstGeom>
                    <a:noFill/>
                  </pic:spPr>
                </pic:pic>
              </a:graphicData>
            </a:graphic>
          </wp:anchor>
        </w:drawing>
      </w:r>
    </w:p>
    <w:p>
      <w:pPr>
        <w:spacing w:after="0" w:line="73" w:lineRule="exact"/>
        <w:rPr>
          <w:sz w:val="20"/>
          <w:szCs w:val="20"/>
          <w:color w:val="auto"/>
        </w:rPr>
      </w:pPr>
    </w:p>
    <w:p>
      <w:pPr>
        <w:ind w:right="620"/>
        <w:spacing w:after="0" w:line="265" w:lineRule="auto"/>
        <w:rPr>
          <w:sz w:val="20"/>
          <w:szCs w:val="20"/>
          <w:color w:val="auto"/>
        </w:rPr>
      </w:pPr>
      <w:r>
        <w:rPr>
          <w:rFonts w:ascii="Arial" w:cs="Arial" w:eastAsia="Arial" w:hAnsi="Arial"/>
          <w:sz w:val="15"/>
          <w:szCs w:val="15"/>
          <w:color w:val="auto"/>
        </w:rPr>
        <w:t>Removed NYC-based asset managers from our peer group and committed, on a going forward basis, to review compensation and performance based on an NYC-based REIT peer group and a national office REIT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603504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5040" cy="7620"/>
                    </a:xfrm>
                    <a:prstGeom prst="rect">
                      <a:avLst/>
                    </a:prstGeom>
                    <a:noFill/>
                  </pic:spPr>
                </pic:pic>
              </a:graphicData>
            </a:graphic>
          </wp:anchor>
        </w:drawing>
      </w:r>
    </w:p>
    <w:p>
      <w:pPr>
        <w:spacing w:after="0" w:line="265" w:lineRule="auto"/>
        <w:rPr>
          <w:sz w:val="20"/>
          <w:szCs w:val="20"/>
          <w:color w:val="auto"/>
        </w:rPr>
      </w:pPr>
      <w:r>
        <w:rPr>
          <w:rFonts w:ascii="Arial" w:cs="Arial" w:eastAsia="Arial" w:hAnsi="Arial"/>
          <w:sz w:val="15"/>
          <w:szCs w:val="15"/>
          <w:color w:val="auto"/>
        </w:rPr>
        <w:t>For 2016, we increased the formulaic component of our annual cash bonus program to 100%, an increase of 40% since 2014, and reduced the number of criteria used in our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27305</wp:posOffset>
            </wp:positionV>
            <wp:extent cx="603504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5040" cy="7620"/>
                    </a:xfrm>
                    <a:prstGeom prst="rect">
                      <a:avLst/>
                    </a:prstGeom>
                    <a:noFill/>
                  </pic:spPr>
                </pic:pic>
              </a:graphicData>
            </a:graphic>
          </wp:anchor>
        </w:drawing>
      </w:r>
    </w:p>
    <w:p>
      <w:pPr>
        <w:spacing w:after="0" w:line="38" w:lineRule="exact"/>
        <w:rPr>
          <w:sz w:val="20"/>
          <w:szCs w:val="20"/>
          <w:color w:val="auto"/>
        </w:rPr>
      </w:pPr>
    </w:p>
    <w:p>
      <w:pPr>
        <w:jc w:val="both"/>
        <w:ind w:right="200"/>
        <w:spacing w:after="0" w:line="256" w:lineRule="auto"/>
        <w:rPr>
          <w:sz w:val="20"/>
          <w:szCs w:val="20"/>
          <w:color w:val="auto"/>
        </w:rPr>
      </w:pPr>
      <w:r>
        <w:rPr>
          <w:rFonts w:ascii="Arial" w:cs="Arial" w:eastAsia="Arial" w:hAnsi="Arial"/>
          <w:sz w:val="15"/>
          <w:szCs w:val="15"/>
          <w:color w:val="auto"/>
        </w:rPr>
        <w:t>In 2016, our Chief Executive Officer and President received equity awards granted pursuant to their employment agreements with higher performance hurdles requiring the achievement of either an 8% per year increase in FFO per share, 8% TRS per year or relative TRS in the top 35% of MSCI US REIT Index companies.</w:t>
      </w:r>
    </w:p>
    <w:p>
      <w:pPr>
        <w:spacing w:after="0" w:line="172" w:lineRule="exact"/>
        <w:rPr>
          <w:sz w:val="20"/>
          <w:szCs w:val="20"/>
          <w:color w:val="auto"/>
        </w:rPr>
      </w:pPr>
    </w:p>
    <w:p>
      <w:pPr>
        <w:ind w:right="80"/>
        <w:spacing w:after="0" w:line="265" w:lineRule="auto"/>
        <w:rPr>
          <w:sz w:val="20"/>
          <w:szCs w:val="20"/>
          <w:color w:val="auto"/>
        </w:rPr>
      </w:pPr>
      <w:r>
        <w:rPr>
          <w:rFonts w:ascii="Arial" w:cs="Arial" w:eastAsia="Arial" w:hAnsi="Arial"/>
          <w:sz w:val="15"/>
          <w:szCs w:val="15"/>
          <w:color w:val="auto"/>
        </w:rPr>
        <w:t>Provided only performance-based employment agreement equity awards for our Chief Executive Officer’s 2016 employment agreement to further align pay for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603504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5040" cy="7620"/>
                    </a:xfrm>
                    <a:prstGeom prst="rect">
                      <a:avLst/>
                    </a:prstGeom>
                    <a:noFill/>
                  </pic:spPr>
                </pic:pic>
              </a:graphicData>
            </a:graphic>
          </wp:anchor>
        </w:drawing>
      </w:r>
    </w:p>
    <w:p>
      <w:pPr>
        <w:jc w:val="both"/>
        <w:ind w:right="120"/>
        <w:spacing w:after="0" w:line="256" w:lineRule="auto"/>
        <w:rPr>
          <w:sz w:val="20"/>
          <w:szCs w:val="20"/>
          <w:color w:val="auto"/>
        </w:rPr>
      </w:pPr>
      <w:r>
        <w:rPr>
          <w:rFonts w:ascii="Arial" w:cs="Arial" w:eastAsia="Arial" w:hAnsi="Arial"/>
          <w:sz w:val="15"/>
          <w:szCs w:val="15"/>
          <w:color w:val="auto"/>
        </w:rPr>
        <w:t>The SL Green Realty Corp. 2014 Outperformance Plan, or our 2014 Outperformance Plan, includes performance metrics to incorporate a new relative TRS component for one-third of each award granted. The remainder of each award is subject to the achievement of absolute TRS performance metrics similar to those utilized for prior outperformance plans.</w:t>
      </w:r>
    </w:p>
    <w:p>
      <w:pPr>
        <w:spacing w:after="0" w:line="172"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 xml:space="preserve">There will be no payout under our 2014 Outperformance Plan unless total return exceeds $2.5 billion or relative TRS is at or above the 50th percentile of index companies. In order for participants to earn the full award under our 2014 Outperformance Plan, our TRS during the performance period must equal or exceed </w:t>
      </w:r>
      <w:r>
        <w:rPr>
          <w:rFonts w:ascii="Arial" w:cs="Arial" w:eastAsia="Arial" w:hAnsi="Arial"/>
          <w:sz w:val="15"/>
          <w:szCs w:val="15"/>
          <w:b w:val="1"/>
          <w:bCs w:val="1"/>
          <w:color w:val="auto"/>
        </w:rPr>
        <w:t>50%</w:t>
      </w:r>
      <w:r>
        <w:rPr>
          <w:rFonts w:ascii="Arial" w:cs="Arial" w:eastAsia="Arial" w:hAnsi="Arial"/>
          <w:sz w:val="15"/>
          <w:szCs w:val="15"/>
          <w:color w:val="auto"/>
        </w:rPr>
        <w:t xml:space="preserve">, which would represent total returns to stockholders in excess of </w:t>
      </w:r>
      <w:r>
        <w:rPr>
          <w:rFonts w:ascii="Arial" w:cs="Arial" w:eastAsia="Arial" w:hAnsi="Arial"/>
          <w:sz w:val="15"/>
          <w:szCs w:val="15"/>
          <w:b w:val="1"/>
          <w:bCs w:val="1"/>
          <w:color w:val="auto"/>
        </w:rPr>
        <w:t>$5 billion</w:t>
      </w:r>
      <w:r>
        <w:rPr>
          <w:rFonts w:ascii="Arial" w:cs="Arial" w:eastAsia="Arial" w:hAnsi="Arial"/>
          <w:sz w:val="15"/>
          <w:szCs w:val="15"/>
          <w:color w:val="auto"/>
        </w:rPr>
        <w:t xml:space="preserve">, and be in the </w:t>
      </w:r>
      <w:r>
        <w:rPr>
          <w:rFonts w:ascii="Arial" w:cs="Arial" w:eastAsia="Arial" w:hAnsi="Arial"/>
          <w:sz w:val="15"/>
          <w:szCs w:val="15"/>
          <w:b w:val="1"/>
          <w:bCs w:val="1"/>
          <w:color w:val="auto"/>
        </w:rPr>
        <w:t xml:space="preserve">top 25% </w:t>
      </w:r>
      <w:r>
        <w:rPr>
          <w:rFonts w:ascii="Arial" w:cs="Arial" w:eastAsia="Arial" w:hAnsi="Arial"/>
          <w:sz w:val="15"/>
          <w:szCs w:val="15"/>
          <w:color w:val="auto"/>
        </w:rPr>
        <w:t>of index companies. We would need to achieve TRS of</w:t>
      </w:r>
      <w:r>
        <w:rPr>
          <w:rFonts w:ascii="Arial" w:cs="Arial" w:eastAsia="Arial" w:hAnsi="Arial"/>
          <w:sz w:val="15"/>
          <w:szCs w:val="15"/>
          <w:b w:val="1"/>
          <w:bCs w:val="1"/>
          <w:color w:val="auto"/>
        </w:rPr>
        <w:t xml:space="preserve"> 35.5% </w:t>
      </w:r>
      <w:r>
        <w:rPr>
          <w:rFonts w:ascii="Arial" w:cs="Arial" w:eastAsia="Arial" w:hAnsi="Arial"/>
          <w:sz w:val="15"/>
          <w:szCs w:val="15"/>
          <w:color w:val="auto"/>
        </w:rPr>
        <w:t>from February 1, 2017 through August 31, 2017 in order for</w:t>
      </w:r>
      <w:r>
        <w:rPr>
          <w:rFonts w:ascii="Arial" w:cs="Arial" w:eastAsia="Arial" w:hAnsi="Arial"/>
          <w:sz w:val="15"/>
          <w:szCs w:val="15"/>
          <w:b w:val="1"/>
          <w:bCs w:val="1"/>
          <w:color w:val="auto"/>
        </w:rPr>
        <w:t xml:space="preserve"> </w:t>
      </w:r>
      <w:r>
        <w:rPr>
          <w:rFonts w:ascii="Arial" w:cs="Arial" w:eastAsia="Arial" w:hAnsi="Arial"/>
          <w:sz w:val="15"/>
          <w:szCs w:val="15"/>
          <w:color w:val="auto"/>
        </w:rPr>
        <w:t>executives to earn the maximum absolute TRS amounts under our 2014 Outperformance Plan. In that case, the awards earned by participants in our 2014 Outperformance Plan would be less than 1.25% of the aggregate total return delivered to our stockholders.</w:t>
      </w:r>
    </w:p>
    <w:p>
      <w:pPr>
        <w:spacing w:after="0" w:line="175" w:lineRule="exact"/>
        <w:rPr>
          <w:sz w:val="20"/>
          <w:szCs w:val="20"/>
          <w:color w:val="auto"/>
        </w:rPr>
      </w:pPr>
    </w:p>
    <w:p>
      <w:pPr>
        <w:ind w:right="340"/>
        <w:spacing w:after="0" w:line="265" w:lineRule="auto"/>
        <w:rPr>
          <w:sz w:val="20"/>
          <w:szCs w:val="20"/>
          <w:color w:val="auto"/>
        </w:rPr>
      </w:pPr>
      <w:r>
        <w:rPr>
          <w:rFonts w:ascii="Arial" w:cs="Arial" w:eastAsia="Arial" w:hAnsi="Arial"/>
          <w:sz w:val="15"/>
          <w:szCs w:val="15"/>
          <w:color w:val="auto"/>
        </w:rPr>
        <w:t>Under our 2014 Outperformance Plan, we adopted double trigger provisions for acceleration of vesting of equity awards granted to our named executive officers in the event of a change in control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603504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5040" cy="7620"/>
                    </a:xfrm>
                    <a:prstGeom prst="rect">
                      <a:avLst/>
                    </a:prstGeom>
                    <a:noFill/>
                  </pic:spPr>
                </pic:pic>
              </a:graphicData>
            </a:graphic>
          </wp:anchor>
        </w:drawing>
      </w:r>
    </w:p>
    <w:p>
      <w:pPr>
        <w:ind w:right="400"/>
        <w:spacing w:after="0" w:line="256" w:lineRule="auto"/>
        <w:rPr>
          <w:sz w:val="20"/>
          <w:szCs w:val="20"/>
          <w:color w:val="auto"/>
        </w:rPr>
      </w:pPr>
      <w:r>
        <w:rPr>
          <w:rFonts w:ascii="Arial" w:cs="Arial" w:eastAsia="Arial" w:hAnsi="Arial"/>
          <w:sz w:val="15"/>
          <w:szCs w:val="15"/>
          <w:color w:val="auto"/>
        </w:rPr>
        <w:t>Reflecting our Executive Chairman’s evolving role, we meaningfully reduced annual bonuses paid to our Executive Chairman for the second consecutive year. As a result, our Chairman’s 2016 compensation was 50% less than his 2015 compensation. In addition, our Executive Chairman will not participate in any of our future outperformance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6035040"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5040" cy="152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45" w:space="280"/>
            <w:col w:w="9500"/>
          </w:cols>
          <w:pgMar w:left="235" w:top="528" w:right="239" w:bottom="1440" w:gutter="0" w:footer="0" w:header="0"/>
          <w:type w:val="continuous"/>
        </w:sectPr>
      </w:pPr>
    </w:p>
    <w:p>
      <w:pPr>
        <w:spacing w:after="0" w:line="233" w:lineRule="exact"/>
        <w:rPr>
          <w:sz w:val="20"/>
          <w:szCs w:val="20"/>
          <w:color w:val="auto"/>
        </w:rPr>
      </w:pPr>
    </w:p>
    <w:p>
      <w:pPr>
        <w:ind w:left="265" w:hanging="265"/>
        <w:spacing w:after="0"/>
        <w:tabs>
          <w:tab w:leader="none" w:pos="265" w:val="left"/>
        </w:tabs>
        <w:numPr>
          <w:ilvl w:val="0"/>
          <w:numId w:val="26"/>
        </w:numPr>
        <w:rPr>
          <w:rFonts w:ascii="Arial" w:cs="Arial" w:eastAsia="Arial" w:hAnsi="Arial"/>
          <w:sz w:val="15"/>
          <w:szCs w:val="15"/>
          <w:color w:val="325889"/>
        </w:rPr>
      </w:pPr>
      <w:r>
        <w:rPr>
          <w:rFonts w:ascii="Arial" w:cs="Arial" w:eastAsia="Arial" w:hAnsi="Arial"/>
          <w:sz w:val="15"/>
          <w:szCs w:val="15"/>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83450" cy="20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25"/>
          </w:cols>
          <w:pgMar w:left="235" w:top="528" w:right="239" w:bottom="1440" w:gutter="0" w:footer="0" w:header="0"/>
          <w:type w:val="continuous"/>
        </w:sectPr>
      </w:pPr>
    </w:p>
    <w:bookmarkStart w:id="26" w:name="page27"/>
    <w:bookmarkEnd w:id="26"/>
    <w:p>
      <w:pPr>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325889"/>
        </w:rPr>
        <w:t>EXECUTIVE 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b w:val="1"/>
          <w:bCs w:val="1"/>
          <w:color w:val="325889"/>
        </w:rPr>
        <w:t>Compensation Practices</w:t>
      </w:r>
    </w:p>
    <w:p>
      <w:pPr>
        <w:spacing w:after="0" w:line="200" w:lineRule="exact"/>
        <w:rPr>
          <w:sz w:val="20"/>
          <w:szCs w:val="20"/>
          <w:color w:val="auto"/>
        </w:rPr>
      </w:pPr>
    </w:p>
    <w:p>
      <w:pPr>
        <w:ind w:right="20"/>
        <w:spacing w:after="0" w:line="253" w:lineRule="auto"/>
        <w:rPr>
          <w:sz w:val="20"/>
          <w:szCs w:val="20"/>
          <w:color w:val="auto"/>
        </w:rPr>
      </w:pPr>
      <w:r>
        <w:rPr>
          <w:rFonts w:ascii="Arial" w:cs="Arial" w:eastAsia="Arial" w:hAnsi="Arial"/>
          <w:sz w:val="15"/>
          <w:szCs w:val="15"/>
          <w:color w:val="auto"/>
        </w:rPr>
        <w:t>We believe that our executive compensation programs provide appropriate performance-based incentives to attract and retain leadership talent in the highly competitive New York City real estate market, to align management and stockholder interests and to continue to drive our long-term track record of superior return to stockholders. The following are key features of our executive compensation programs, which reflect the changes we have adopted following our extensive stockholder outreach in recent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109220</wp:posOffset>
            </wp:positionV>
            <wp:extent cx="7263130" cy="13938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3130" cy="1393825"/>
                    </a:xfrm>
                    <a:prstGeom prst="rect">
                      <a:avLst/>
                    </a:prstGeom>
                    <a:noFill/>
                  </pic:spPr>
                </pic:pic>
              </a:graphicData>
            </a:graphic>
          </wp:anchor>
        </w:drawing>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325889"/>
        </w:rPr>
        <w:t>WHAT WE DO</w:t>
      </w:r>
    </w:p>
    <w:p>
      <w:pPr>
        <w:spacing w:after="0" w:line="46" w:lineRule="exact"/>
        <w:rPr>
          <w:sz w:val="20"/>
          <w:szCs w:val="20"/>
          <w:color w:val="auto"/>
        </w:rPr>
      </w:pPr>
    </w:p>
    <w:p>
      <w:pPr>
        <w:ind w:left="420" w:hanging="318"/>
        <w:spacing w:after="0"/>
        <w:tabs>
          <w:tab w:leader="none" w:pos="420" w:val="left"/>
        </w:tabs>
        <w:numPr>
          <w:ilvl w:val="0"/>
          <w:numId w:val="27"/>
        </w:numPr>
        <w:rPr>
          <w:rFonts w:ascii="MS PGothic" w:cs="MS PGothic" w:eastAsia="MS PGothic" w:hAnsi="MS PGothic"/>
          <w:sz w:val="15"/>
          <w:szCs w:val="15"/>
          <w:color w:val="325889"/>
        </w:rPr>
      </w:pPr>
      <w:r>
        <w:rPr>
          <w:rFonts w:ascii="Arial" w:cs="Arial" w:eastAsia="Arial" w:hAnsi="Arial"/>
          <w:sz w:val="15"/>
          <w:szCs w:val="15"/>
          <w:color w:val="auto"/>
        </w:rPr>
        <w:t>Pay for performance and create alignment with stockholders</w:t>
      </w:r>
    </w:p>
    <w:p>
      <w:pPr>
        <w:spacing w:after="0" w:line="17" w:lineRule="exact"/>
        <w:rPr>
          <w:rFonts w:ascii="MS PGothic" w:cs="MS PGothic" w:eastAsia="MS PGothic" w:hAnsi="MS PGothic"/>
          <w:sz w:val="15"/>
          <w:szCs w:val="15"/>
          <w:color w:val="325889"/>
        </w:rPr>
      </w:pPr>
    </w:p>
    <w:p>
      <w:pPr>
        <w:ind w:left="420" w:hanging="318"/>
        <w:spacing w:after="0"/>
        <w:tabs>
          <w:tab w:leader="none" w:pos="420" w:val="left"/>
        </w:tabs>
        <w:numPr>
          <w:ilvl w:val="0"/>
          <w:numId w:val="27"/>
        </w:numPr>
        <w:rPr>
          <w:rFonts w:ascii="MS PGothic" w:cs="MS PGothic" w:eastAsia="MS PGothic" w:hAnsi="MS PGothic"/>
          <w:sz w:val="15"/>
          <w:szCs w:val="15"/>
          <w:color w:val="325889"/>
        </w:rPr>
      </w:pPr>
      <w:r>
        <w:rPr>
          <w:rFonts w:ascii="Arial" w:cs="Arial" w:eastAsia="Arial" w:hAnsi="Arial"/>
          <w:sz w:val="15"/>
          <w:szCs w:val="15"/>
          <w:color w:val="auto"/>
        </w:rPr>
        <w:t>100% formulaic annual cash bonus program for our CEO, Chairman and President</w:t>
      </w:r>
    </w:p>
    <w:p>
      <w:pPr>
        <w:spacing w:after="0" w:line="41" w:lineRule="exact"/>
        <w:rPr>
          <w:rFonts w:ascii="MS PGothic" w:cs="MS PGothic" w:eastAsia="MS PGothic" w:hAnsi="MS PGothic"/>
          <w:sz w:val="15"/>
          <w:szCs w:val="15"/>
          <w:color w:val="325889"/>
        </w:rPr>
      </w:pPr>
    </w:p>
    <w:p>
      <w:pPr>
        <w:ind w:left="420" w:right="420" w:hanging="318"/>
        <w:spacing w:after="0" w:line="247" w:lineRule="auto"/>
        <w:tabs>
          <w:tab w:leader="none" w:pos="420" w:val="left"/>
        </w:tabs>
        <w:numPr>
          <w:ilvl w:val="0"/>
          <w:numId w:val="27"/>
        </w:numPr>
        <w:rPr>
          <w:rFonts w:ascii="MS PGothic" w:cs="MS PGothic" w:eastAsia="MS PGothic" w:hAnsi="MS PGothic"/>
          <w:sz w:val="15"/>
          <w:szCs w:val="15"/>
          <w:color w:val="325889"/>
        </w:rPr>
      </w:pPr>
      <w:r>
        <w:rPr>
          <w:rFonts w:ascii="Arial" w:cs="Arial" w:eastAsia="Arial" w:hAnsi="Arial"/>
          <w:sz w:val="15"/>
          <w:szCs w:val="15"/>
          <w:color w:val="auto"/>
        </w:rPr>
        <w:t>Include robust hurdles in our 2014 Outperformance Plan based on both absolute and relative TRS, with no payout unless total return exceeds $2.5 billion or relative TRS is at or above the 50th percentile of index companies</w:t>
      </w:r>
    </w:p>
    <w:p>
      <w:pPr>
        <w:ind w:left="420" w:hanging="318"/>
        <w:spacing w:after="0"/>
        <w:tabs>
          <w:tab w:leader="none" w:pos="420" w:val="left"/>
        </w:tabs>
        <w:numPr>
          <w:ilvl w:val="0"/>
          <w:numId w:val="27"/>
        </w:numPr>
        <w:rPr>
          <w:rFonts w:ascii="MS PGothic" w:cs="MS PGothic" w:eastAsia="MS PGothic" w:hAnsi="MS PGothic"/>
          <w:sz w:val="15"/>
          <w:szCs w:val="15"/>
          <w:color w:val="325889"/>
        </w:rPr>
      </w:pPr>
      <w:r>
        <w:rPr>
          <w:rFonts w:ascii="Arial" w:cs="Arial" w:eastAsia="Arial" w:hAnsi="Arial"/>
          <w:sz w:val="15"/>
          <w:szCs w:val="15"/>
          <w:color w:val="auto"/>
        </w:rPr>
        <w:t>Subject all future employment agreement equity awards for our CEO to performance-based hurdles</w:t>
      </w:r>
    </w:p>
    <w:p>
      <w:pPr>
        <w:spacing w:after="0" w:line="41" w:lineRule="exact"/>
        <w:rPr>
          <w:rFonts w:ascii="MS PGothic" w:cs="MS PGothic" w:eastAsia="MS PGothic" w:hAnsi="MS PGothic"/>
          <w:sz w:val="15"/>
          <w:szCs w:val="15"/>
          <w:color w:val="325889"/>
        </w:rPr>
      </w:pPr>
    </w:p>
    <w:p>
      <w:pPr>
        <w:ind w:left="420" w:hanging="318"/>
        <w:spacing w:after="0"/>
        <w:tabs>
          <w:tab w:leader="none" w:pos="420" w:val="left"/>
        </w:tabs>
        <w:numPr>
          <w:ilvl w:val="0"/>
          <w:numId w:val="27"/>
        </w:numPr>
        <w:rPr>
          <w:rFonts w:ascii="MS PGothic" w:cs="MS PGothic" w:eastAsia="MS PGothic" w:hAnsi="MS PGothic"/>
          <w:sz w:val="15"/>
          <w:szCs w:val="15"/>
          <w:color w:val="325889"/>
        </w:rPr>
      </w:pPr>
      <w:r>
        <w:rPr>
          <w:rFonts w:ascii="Arial" w:cs="Arial" w:eastAsia="Arial" w:hAnsi="Arial"/>
          <w:sz w:val="15"/>
          <w:szCs w:val="15"/>
          <w:color w:val="auto"/>
        </w:rPr>
        <w:t>Pay a majority of total compensation for our CEO and named executive officers in equity</w:t>
      </w:r>
    </w:p>
    <w:p>
      <w:pPr>
        <w:spacing w:after="0" w:line="17" w:lineRule="exact"/>
        <w:rPr>
          <w:rFonts w:ascii="MS PGothic" w:cs="MS PGothic" w:eastAsia="MS PGothic" w:hAnsi="MS PGothic"/>
          <w:sz w:val="15"/>
          <w:szCs w:val="15"/>
          <w:color w:val="325889"/>
        </w:rPr>
      </w:pPr>
    </w:p>
    <w:p>
      <w:pPr>
        <w:ind w:left="420" w:right="200" w:hanging="318"/>
        <w:spacing w:after="0" w:line="247" w:lineRule="auto"/>
        <w:tabs>
          <w:tab w:leader="none" w:pos="420" w:val="left"/>
        </w:tabs>
        <w:numPr>
          <w:ilvl w:val="0"/>
          <w:numId w:val="27"/>
        </w:numPr>
        <w:rPr>
          <w:rFonts w:ascii="MS PGothic" w:cs="MS PGothic" w:eastAsia="MS PGothic" w:hAnsi="MS PGothic"/>
          <w:sz w:val="15"/>
          <w:szCs w:val="15"/>
          <w:color w:val="325889"/>
        </w:rPr>
      </w:pPr>
      <w:r>
        <w:rPr>
          <w:rFonts w:ascii="Arial" w:cs="Arial" w:eastAsia="Arial" w:hAnsi="Arial"/>
          <w:sz w:val="15"/>
          <w:szCs w:val="15"/>
          <w:color w:val="auto"/>
        </w:rPr>
        <w:t>Follow robust stock ownership guidelines for our directors and named executive officers; in 2016, we increased the stock ownership guidelines for our directors from 3x to 5x the annual cash retainer</w:t>
      </w:r>
    </w:p>
    <w:p>
      <w:pPr>
        <w:ind w:left="420" w:hanging="318"/>
        <w:spacing w:after="0"/>
        <w:tabs>
          <w:tab w:leader="none" w:pos="420" w:val="left"/>
        </w:tabs>
        <w:numPr>
          <w:ilvl w:val="0"/>
          <w:numId w:val="27"/>
        </w:numPr>
        <w:rPr>
          <w:rFonts w:ascii="MS PGothic" w:cs="MS PGothic" w:eastAsia="MS PGothic" w:hAnsi="MS PGothic"/>
          <w:sz w:val="15"/>
          <w:szCs w:val="15"/>
          <w:color w:val="325889"/>
        </w:rPr>
      </w:pPr>
      <w:r>
        <w:rPr>
          <w:rFonts w:ascii="Arial" w:cs="Arial" w:eastAsia="Arial" w:hAnsi="Arial"/>
          <w:sz w:val="15"/>
          <w:szCs w:val="15"/>
          <w:color w:val="auto"/>
        </w:rPr>
        <w:t>Impose a clawback policy with respect to incentive payments</w:t>
      </w:r>
    </w:p>
    <w:p>
      <w:pPr>
        <w:spacing w:after="0" w:line="41" w:lineRule="exact"/>
        <w:rPr>
          <w:rFonts w:ascii="MS PGothic" w:cs="MS PGothic" w:eastAsia="MS PGothic" w:hAnsi="MS PGothic"/>
          <w:sz w:val="15"/>
          <w:szCs w:val="15"/>
          <w:color w:val="325889"/>
        </w:rPr>
      </w:pPr>
    </w:p>
    <w:p>
      <w:pPr>
        <w:ind w:left="420" w:hanging="318"/>
        <w:spacing w:after="0"/>
        <w:tabs>
          <w:tab w:leader="none" w:pos="420" w:val="left"/>
        </w:tabs>
        <w:numPr>
          <w:ilvl w:val="0"/>
          <w:numId w:val="27"/>
        </w:numPr>
        <w:rPr>
          <w:rFonts w:ascii="MS PGothic" w:cs="MS PGothic" w:eastAsia="MS PGothic" w:hAnsi="MS PGothic"/>
          <w:sz w:val="15"/>
          <w:szCs w:val="15"/>
          <w:color w:val="325889"/>
        </w:rPr>
      </w:pPr>
      <w:r>
        <w:rPr>
          <w:rFonts w:ascii="Arial" w:cs="Arial" w:eastAsia="Arial" w:hAnsi="Arial"/>
          <w:sz w:val="15"/>
          <w:szCs w:val="15"/>
          <w:color w:val="auto"/>
        </w:rPr>
        <w:t>Require a double trigger for cash severance and accelerated vesting in connection with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167640</wp:posOffset>
            </wp:positionV>
            <wp:extent cx="7263130" cy="8210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3130" cy="821055"/>
                    </a:xfrm>
                    <a:prstGeom prst="rect">
                      <a:avLst/>
                    </a:prstGeom>
                    <a:noFill/>
                  </pic:spPr>
                </pic:pic>
              </a:graphicData>
            </a:graphic>
          </wp:anchor>
        </w:drawing>
      </w: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325889"/>
        </w:rPr>
        <w:t>WHAT WE DON’T DO</w:t>
      </w:r>
    </w:p>
    <w:p>
      <w:pPr>
        <w:spacing w:after="0" w:line="46" w:lineRule="exact"/>
        <w:rPr>
          <w:sz w:val="20"/>
          <w:szCs w:val="20"/>
          <w:color w:val="auto"/>
        </w:rPr>
      </w:pPr>
    </w:p>
    <w:p>
      <w:pPr>
        <w:ind w:left="420" w:hanging="318"/>
        <w:spacing w:after="0"/>
        <w:tabs>
          <w:tab w:leader="none" w:pos="420" w:val="left"/>
        </w:tabs>
        <w:numPr>
          <w:ilvl w:val="0"/>
          <w:numId w:val="28"/>
        </w:numPr>
        <w:rPr>
          <w:rFonts w:ascii="MS PGothic" w:cs="MS PGothic" w:eastAsia="MS PGothic" w:hAnsi="MS PGothic"/>
          <w:sz w:val="15"/>
          <w:szCs w:val="15"/>
          <w:color w:val="8A8C8F"/>
        </w:rPr>
      </w:pPr>
      <w:r>
        <w:rPr>
          <w:rFonts w:ascii="Arial" w:cs="Arial" w:eastAsia="Arial" w:hAnsi="Arial"/>
          <w:sz w:val="15"/>
          <w:szCs w:val="15"/>
          <w:color w:val="auto"/>
        </w:rPr>
        <w:t>No dividends or distributions paid on unearned equity awards subject to performance-based vesting</w:t>
      </w:r>
    </w:p>
    <w:p>
      <w:pPr>
        <w:spacing w:after="0" w:line="17" w:lineRule="exact"/>
        <w:rPr>
          <w:rFonts w:ascii="MS PGothic" w:cs="MS PGothic" w:eastAsia="MS PGothic" w:hAnsi="MS PGothic"/>
          <w:sz w:val="15"/>
          <w:szCs w:val="15"/>
          <w:color w:val="8A8C8F"/>
        </w:rPr>
      </w:pPr>
    </w:p>
    <w:p>
      <w:pPr>
        <w:ind w:left="420" w:hanging="318"/>
        <w:spacing w:after="0"/>
        <w:tabs>
          <w:tab w:leader="none" w:pos="420" w:val="left"/>
        </w:tabs>
        <w:numPr>
          <w:ilvl w:val="0"/>
          <w:numId w:val="28"/>
        </w:numPr>
        <w:rPr>
          <w:rFonts w:ascii="MS PGothic" w:cs="MS PGothic" w:eastAsia="MS PGothic" w:hAnsi="MS PGothic"/>
          <w:sz w:val="15"/>
          <w:szCs w:val="15"/>
          <w:color w:val="8A8C8F"/>
        </w:rPr>
      </w:pPr>
      <w:r>
        <w:rPr>
          <w:rFonts w:ascii="Arial" w:cs="Arial" w:eastAsia="Arial" w:hAnsi="Arial"/>
          <w:sz w:val="15"/>
          <w:szCs w:val="15"/>
          <w:color w:val="auto"/>
        </w:rPr>
        <w:t>No excise tax gross-up provisions</w:t>
      </w:r>
    </w:p>
    <w:p>
      <w:pPr>
        <w:spacing w:after="0" w:line="41" w:lineRule="exact"/>
        <w:rPr>
          <w:rFonts w:ascii="MS PGothic" w:cs="MS PGothic" w:eastAsia="MS PGothic" w:hAnsi="MS PGothic"/>
          <w:sz w:val="15"/>
          <w:szCs w:val="15"/>
          <w:color w:val="8A8C8F"/>
        </w:rPr>
      </w:pPr>
    </w:p>
    <w:p>
      <w:pPr>
        <w:ind w:left="420" w:hanging="318"/>
        <w:spacing w:after="0"/>
        <w:tabs>
          <w:tab w:leader="none" w:pos="420" w:val="left"/>
        </w:tabs>
        <w:numPr>
          <w:ilvl w:val="0"/>
          <w:numId w:val="28"/>
        </w:numPr>
        <w:rPr>
          <w:rFonts w:ascii="MS PGothic" w:cs="MS PGothic" w:eastAsia="MS PGothic" w:hAnsi="MS PGothic"/>
          <w:sz w:val="15"/>
          <w:szCs w:val="15"/>
          <w:color w:val="8A8C8F"/>
        </w:rPr>
      </w:pPr>
      <w:r>
        <w:rPr>
          <w:rFonts w:ascii="Arial" w:cs="Arial" w:eastAsia="Arial" w:hAnsi="Arial"/>
          <w:sz w:val="15"/>
          <w:szCs w:val="15"/>
          <w:color w:val="auto"/>
        </w:rPr>
        <w:t>Don’t allow repricing of stock options</w:t>
      </w:r>
    </w:p>
    <w:p>
      <w:pPr>
        <w:spacing w:after="0" w:line="17" w:lineRule="exact"/>
        <w:rPr>
          <w:rFonts w:ascii="MS PGothic" w:cs="MS PGothic" w:eastAsia="MS PGothic" w:hAnsi="MS PGothic"/>
          <w:sz w:val="15"/>
          <w:szCs w:val="15"/>
          <w:color w:val="8A8C8F"/>
        </w:rPr>
      </w:pPr>
    </w:p>
    <w:p>
      <w:pPr>
        <w:ind w:left="420" w:hanging="318"/>
        <w:spacing w:after="0"/>
        <w:tabs>
          <w:tab w:leader="none" w:pos="420" w:val="left"/>
        </w:tabs>
        <w:numPr>
          <w:ilvl w:val="0"/>
          <w:numId w:val="28"/>
        </w:numPr>
        <w:rPr>
          <w:rFonts w:ascii="MS PGothic" w:cs="MS PGothic" w:eastAsia="MS PGothic" w:hAnsi="MS PGothic"/>
          <w:sz w:val="15"/>
          <w:szCs w:val="15"/>
          <w:color w:val="8A8C8F"/>
        </w:rPr>
      </w:pPr>
      <w:r>
        <w:rPr>
          <w:rFonts w:ascii="Arial" w:cs="Arial" w:eastAsia="Arial" w:hAnsi="Arial"/>
          <w:sz w:val="15"/>
          <w:szCs w:val="15"/>
          <w:color w:val="auto"/>
        </w:rPr>
        <w:t>No single trigger cash severance or accelerated vesting in connection with a change in control</w:t>
      </w:r>
    </w:p>
    <w:p>
      <w:pPr>
        <w:spacing w:after="0" w:line="41" w:lineRule="exact"/>
        <w:rPr>
          <w:rFonts w:ascii="MS PGothic" w:cs="MS PGothic" w:eastAsia="MS PGothic" w:hAnsi="MS PGothic"/>
          <w:sz w:val="15"/>
          <w:szCs w:val="15"/>
          <w:color w:val="8A8C8F"/>
        </w:rPr>
      </w:pPr>
    </w:p>
    <w:p>
      <w:pPr>
        <w:ind w:left="420" w:hanging="318"/>
        <w:spacing w:after="0"/>
        <w:tabs>
          <w:tab w:leader="none" w:pos="420" w:val="left"/>
        </w:tabs>
        <w:numPr>
          <w:ilvl w:val="0"/>
          <w:numId w:val="28"/>
        </w:numPr>
        <w:rPr>
          <w:rFonts w:ascii="MS PGothic" w:cs="MS PGothic" w:eastAsia="MS PGothic" w:hAnsi="MS PGothic"/>
          <w:sz w:val="15"/>
          <w:szCs w:val="15"/>
          <w:color w:val="8A8C8F"/>
        </w:rPr>
      </w:pPr>
      <w:r>
        <w:rPr>
          <w:rFonts w:ascii="Arial" w:cs="Arial" w:eastAsia="Arial" w:hAnsi="Arial"/>
          <w:sz w:val="15"/>
          <w:szCs w:val="15"/>
          <w:color w:val="auto"/>
        </w:rPr>
        <w:t>Don’t allow directors or officers to hedge our securities</w:t>
      </w:r>
    </w:p>
    <w:p>
      <w:pPr>
        <w:spacing w:after="0" w:line="26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2017 Proxy Statement </w:t>
      </w:r>
      <w:r>
        <w:rPr>
          <w:rFonts w:ascii="Arial" w:cs="Arial" w:eastAsia="Arial" w:hAnsi="Arial"/>
          <w:sz w:val="15"/>
          <w:szCs w:val="15"/>
          <w:color w:val="325889"/>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83450" cy="20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0"/>
          </w:cols>
          <w:pgMar w:left="240" w:top="528" w:right="219" w:bottom="1440" w:gutter="0" w:footer="0" w:header="0"/>
        </w:sectPr>
      </w:pPr>
    </w:p>
    <w:bookmarkStart w:id="27" w:name="page28"/>
    <w:bookmarkEnd w:id="27"/>
    <w:p>
      <w:pPr>
        <w:ind w:left="5"/>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ind w:left="5"/>
        <w:spacing w:after="0"/>
        <w:rPr>
          <w:sz w:val="20"/>
          <w:szCs w:val="20"/>
          <w:color w:val="auto"/>
        </w:rPr>
      </w:pPr>
      <w:r>
        <w:rPr>
          <w:rFonts w:ascii="Arial" w:cs="Arial" w:eastAsia="Arial" w:hAnsi="Arial"/>
          <w:sz w:val="15"/>
          <w:szCs w:val="15"/>
          <w:u w:val="single" w:color="auto"/>
          <w:color w:val="325889"/>
        </w:rPr>
        <w:t>EXECUTIVE COMPENSATION</w:t>
      </w:r>
    </w:p>
    <w:p>
      <w:pPr>
        <w:spacing w:after="0" w:line="167"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325889"/>
        </w:rPr>
        <w:t>Our Executive Compensation Philosophy</w:t>
      </w:r>
    </w:p>
    <w:p>
      <w:pPr>
        <w:spacing w:after="0" w:line="212" w:lineRule="exact"/>
        <w:rPr>
          <w:sz w:val="20"/>
          <w:szCs w:val="20"/>
          <w:color w:val="auto"/>
        </w:rPr>
      </w:pPr>
    </w:p>
    <w:p>
      <w:pPr>
        <w:ind w:left="5" w:right="200"/>
        <w:spacing w:after="0" w:line="265" w:lineRule="auto"/>
        <w:rPr>
          <w:sz w:val="20"/>
          <w:szCs w:val="20"/>
          <w:color w:val="auto"/>
        </w:rPr>
      </w:pPr>
      <w:r>
        <w:rPr>
          <w:rFonts w:ascii="Arial" w:cs="Arial" w:eastAsia="Arial" w:hAnsi="Arial"/>
          <w:sz w:val="15"/>
          <w:szCs w:val="15"/>
          <w:color w:val="auto"/>
        </w:rPr>
        <w:t>We adopted an executive compensation philosophy that rewards the achievement of annual and long-term goals of both the Company and individual executives. Our executive compensation programs are designed to achieve the following objectives:</w:t>
      </w:r>
    </w:p>
    <w:p>
      <w:pPr>
        <w:spacing w:after="0" w:line="165" w:lineRule="exact"/>
        <w:rPr>
          <w:sz w:val="20"/>
          <w:szCs w:val="20"/>
          <w:color w:val="auto"/>
        </w:rPr>
      </w:pPr>
    </w:p>
    <w:p>
      <w:pPr>
        <w:ind w:left="465" w:hanging="228"/>
        <w:spacing w:after="0"/>
        <w:tabs>
          <w:tab w:leader="none" w:pos="465" w:val="left"/>
        </w:tabs>
        <w:numPr>
          <w:ilvl w:val="0"/>
          <w:numId w:val="29"/>
        </w:numPr>
        <w:rPr>
          <w:rFonts w:ascii="Arial" w:cs="Arial" w:eastAsia="Arial" w:hAnsi="Arial"/>
          <w:sz w:val="15"/>
          <w:szCs w:val="15"/>
          <w:color w:val="325889"/>
        </w:rPr>
      </w:pPr>
      <w:r>
        <w:rPr>
          <w:rFonts w:ascii="Arial" w:cs="Arial" w:eastAsia="Arial" w:hAnsi="Arial"/>
          <w:sz w:val="15"/>
          <w:szCs w:val="15"/>
          <w:color w:val="auto"/>
        </w:rPr>
        <w:t>To provide performance-based incentives that create a strong alignment of management and stockholder interests</w:t>
      </w:r>
    </w:p>
    <w:p>
      <w:pPr>
        <w:spacing w:after="0" w:line="183" w:lineRule="exact"/>
        <w:rPr>
          <w:rFonts w:ascii="Arial" w:cs="Arial" w:eastAsia="Arial" w:hAnsi="Arial"/>
          <w:sz w:val="15"/>
          <w:szCs w:val="15"/>
          <w:color w:val="325889"/>
        </w:rPr>
      </w:pPr>
    </w:p>
    <w:p>
      <w:pPr>
        <w:ind w:left="465" w:hanging="228"/>
        <w:spacing w:after="0"/>
        <w:tabs>
          <w:tab w:leader="none" w:pos="465" w:val="left"/>
        </w:tabs>
        <w:numPr>
          <w:ilvl w:val="0"/>
          <w:numId w:val="29"/>
        </w:numPr>
        <w:rPr>
          <w:rFonts w:ascii="Arial" w:cs="Arial" w:eastAsia="Arial" w:hAnsi="Arial"/>
          <w:sz w:val="15"/>
          <w:szCs w:val="15"/>
          <w:color w:val="325889"/>
        </w:rPr>
      </w:pPr>
      <w:r>
        <w:rPr>
          <w:rFonts w:ascii="Arial" w:cs="Arial" w:eastAsia="Arial" w:hAnsi="Arial"/>
          <w:sz w:val="15"/>
          <w:szCs w:val="15"/>
          <w:color w:val="auto"/>
        </w:rPr>
        <w:t>To attract and retain top talent in a market that is highly competitive for New York City commercial real estate management</w:t>
      </w:r>
    </w:p>
    <w:p>
      <w:pPr>
        <w:spacing w:after="0" w:line="183" w:lineRule="exact"/>
        <w:rPr>
          <w:rFonts w:ascii="Arial" w:cs="Arial" w:eastAsia="Arial" w:hAnsi="Arial"/>
          <w:sz w:val="15"/>
          <w:szCs w:val="15"/>
          <w:color w:val="325889"/>
        </w:rPr>
      </w:pPr>
    </w:p>
    <w:p>
      <w:pPr>
        <w:ind w:left="465" w:hanging="228"/>
        <w:spacing w:after="0"/>
        <w:tabs>
          <w:tab w:leader="none" w:pos="465" w:val="left"/>
        </w:tabs>
        <w:numPr>
          <w:ilvl w:val="0"/>
          <w:numId w:val="29"/>
        </w:numPr>
        <w:rPr>
          <w:rFonts w:ascii="Arial" w:cs="Arial" w:eastAsia="Arial" w:hAnsi="Arial"/>
          <w:sz w:val="15"/>
          <w:szCs w:val="15"/>
          <w:color w:val="325889"/>
        </w:rPr>
      </w:pPr>
      <w:r>
        <w:rPr>
          <w:rFonts w:ascii="Arial" w:cs="Arial" w:eastAsia="Arial" w:hAnsi="Arial"/>
          <w:sz w:val="15"/>
          <w:szCs w:val="15"/>
          <w:color w:val="auto"/>
        </w:rPr>
        <w:t>To motivate our executives to achieve, and reward them for achieving, superior performance</w:t>
      </w:r>
    </w:p>
    <w:p>
      <w:pPr>
        <w:spacing w:after="0" w:line="183" w:lineRule="exact"/>
        <w:rPr>
          <w:rFonts w:ascii="Arial" w:cs="Arial" w:eastAsia="Arial" w:hAnsi="Arial"/>
          <w:sz w:val="15"/>
          <w:szCs w:val="15"/>
          <w:color w:val="325889"/>
        </w:rPr>
      </w:pPr>
    </w:p>
    <w:p>
      <w:pPr>
        <w:ind w:left="465" w:right="320" w:hanging="228"/>
        <w:spacing w:after="0" w:line="265" w:lineRule="auto"/>
        <w:tabs>
          <w:tab w:leader="none" w:pos="465" w:val="left"/>
        </w:tabs>
        <w:numPr>
          <w:ilvl w:val="0"/>
          <w:numId w:val="29"/>
        </w:numPr>
        <w:rPr>
          <w:rFonts w:ascii="Arial" w:cs="Arial" w:eastAsia="Arial" w:hAnsi="Arial"/>
          <w:sz w:val="15"/>
          <w:szCs w:val="15"/>
          <w:color w:val="325889"/>
        </w:rPr>
      </w:pPr>
      <w:r>
        <w:rPr>
          <w:rFonts w:ascii="Arial" w:cs="Arial" w:eastAsia="Arial" w:hAnsi="Arial"/>
          <w:sz w:val="15"/>
          <w:szCs w:val="15"/>
          <w:color w:val="auto"/>
        </w:rPr>
        <w:t>To achieve an appropriate balance between risk and reward in our compensation programs that does not create incentives for unnecessary or excessive risk taking</w:t>
      </w:r>
    </w:p>
    <w:p>
      <w:pPr>
        <w:spacing w:after="0" w:line="153" w:lineRule="exact"/>
        <w:rPr>
          <w:rFonts w:ascii="Arial" w:cs="Arial" w:eastAsia="Arial" w:hAnsi="Arial"/>
          <w:sz w:val="15"/>
          <w:szCs w:val="15"/>
          <w:color w:val="325889"/>
        </w:rPr>
      </w:pPr>
    </w:p>
    <w:p>
      <w:pPr>
        <w:ind w:left="465" w:hanging="228"/>
        <w:spacing w:after="0"/>
        <w:tabs>
          <w:tab w:leader="none" w:pos="465" w:val="left"/>
        </w:tabs>
        <w:numPr>
          <w:ilvl w:val="0"/>
          <w:numId w:val="29"/>
        </w:numPr>
        <w:rPr>
          <w:rFonts w:ascii="Arial" w:cs="Arial" w:eastAsia="Arial" w:hAnsi="Arial"/>
          <w:sz w:val="15"/>
          <w:szCs w:val="15"/>
          <w:color w:val="325889"/>
        </w:rPr>
      </w:pPr>
      <w:r>
        <w:rPr>
          <w:rFonts w:ascii="Arial" w:cs="Arial" w:eastAsia="Arial" w:hAnsi="Arial"/>
          <w:sz w:val="15"/>
          <w:szCs w:val="15"/>
          <w:color w:val="auto"/>
        </w:rPr>
        <w:t>To foster the dedication required to succeed against our competitors, while maintaining low overall general and administrative expense</w:t>
      </w:r>
    </w:p>
    <w:p>
      <w:pPr>
        <w:spacing w:after="0" w:line="195" w:lineRule="exact"/>
        <w:rPr>
          <w:sz w:val="20"/>
          <w:szCs w:val="20"/>
          <w:color w:val="auto"/>
        </w:rPr>
      </w:pPr>
    </w:p>
    <w:p>
      <w:pPr>
        <w:ind w:left="5" w:right="400"/>
        <w:spacing w:after="0" w:line="253" w:lineRule="auto"/>
        <w:rPr>
          <w:sz w:val="20"/>
          <w:szCs w:val="20"/>
          <w:color w:val="auto"/>
        </w:rPr>
      </w:pPr>
      <w:r>
        <w:rPr>
          <w:rFonts w:ascii="Arial" w:cs="Arial" w:eastAsia="Arial" w:hAnsi="Arial"/>
          <w:sz w:val="15"/>
          <w:szCs w:val="15"/>
          <w:color w:val="auto"/>
        </w:rPr>
        <w:t>In order to reach these goals, the Committee, in consultation with our Chief Executive Officer and the Committee’s independent compensation consultant, adopted executive compensation practices that follow a pay-for-performance philosophy. Our primary business objective, of maximizing TRS through growth in FFO while seeking appreciation in the value of our investment properties, demands a long-term focus. Therefore, on both a current and historical basis, our executive compensation programs are based heavily on the achievement of both annual and multi-year performance measures.</w:t>
      </w:r>
    </w:p>
    <w:p>
      <w:pPr>
        <w:spacing w:after="0" w:line="146"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325889"/>
        </w:rPr>
        <w:t>Consideration of 2016 Say-on-Pay Vote</w:t>
      </w:r>
    </w:p>
    <w:p>
      <w:pPr>
        <w:spacing w:after="0" w:line="212" w:lineRule="exact"/>
        <w:rPr>
          <w:sz w:val="20"/>
          <w:szCs w:val="20"/>
          <w:color w:val="auto"/>
        </w:rPr>
      </w:pPr>
    </w:p>
    <w:p>
      <w:pPr>
        <w:ind w:left="5" w:right="520"/>
        <w:spacing w:after="0" w:line="253" w:lineRule="auto"/>
        <w:rPr>
          <w:sz w:val="20"/>
          <w:szCs w:val="20"/>
          <w:color w:val="auto"/>
        </w:rPr>
      </w:pPr>
      <w:r>
        <w:rPr>
          <w:rFonts w:ascii="Arial" w:cs="Arial" w:eastAsia="Arial" w:hAnsi="Arial"/>
          <w:sz w:val="15"/>
          <w:szCs w:val="15"/>
          <w:color w:val="auto"/>
        </w:rPr>
        <w:t>Our say-on-pay proposal was approved at our 2016 annual meeting, as it has been every year since it was first introduced in 2011. The Committee viewed this favorable vote by more than a majority of our stockholders as an indication that our stockholders are generally supportive of the structure of our executive compensation programs. Nevertheless, we continued to engage in stockholder outreach and implemented the additional changes described above based on the feedback we received.</w:t>
      </w:r>
    </w:p>
    <w:p>
      <w:pPr>
        <w:spacing w:after="0" w:line="146"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325889"/>
        </w:rPr>
        <w:t>Our Executive Compensation Programs</w:t>
      </w:r>
    </w:p>
    <w:p>
      <w:pPr>
        <w:spacing w:after="0" w:line="212" w:lineRule="exact"/>
        <w:rPr>
          <w:sz w:val="20"/>
          <w:szCs w:val="20"/>
          <w:color w:val="auto"/>
        </w:rPr>
      </w:pPr>
    </w:p>
    <w:p>
      <w:pPr>
        <w:ind w:left="5"/>
        <w:spacing w:after="0"/>
        <w:rPr>
          <w:sz w:val="20"/>
          <w:szCs w:val="20"/>
          <w:color w:val="auto"/>
        </w:rPr>
      </w:pPr>
      <w:r>
        <w:rPr>
          <w:rFonts w:ascii="Arial" w:cs="Arial" w:eastAsia="Arial" w:hAnsi="Arial"/>
          <w:sz w:val="15"/>
          <w:szCs w:val="15"/>
          <w:color w:val="auto"/>
        </w:rPr>
        <w:t>Our named executive officers’ compensation currently has three primary components, which are discussed in more detail below:</w:t>
      </w:r>
    </w:p>
    <w:p>
      <w:pPr>
        <w:spacing w:after="0" w:line="195" w:lineRule="exact"/>
        <w:rPr>
          <w:sz w:val="20"/>
          <w:szCs w:val="20"/>
          <w:color w:val="auto"/>
        </w:rPr>
      </w:pPr>
    </w:p>
    <w:p>
      <w:pPr>
        <w:ind w:left="465" w:hanging="228"/>
        <w:spacing w:after="0"/>
        <w:tabs>
          <w:tab w:leader="none" w:pos="465" w:val="left"/>
        </w:tabs>
        <w:numPr>
          <w:ilvl w:val="0"/>
          <w:numId w:val="30"/>
        </w:numPr>
        <w:rPr>
          <w:rFonts w:ascii="Arial" w:cs="Arial" w:eastAsia="Arial" w:hAnsi="Arial"/>
          <w:sz w:val="15"/>
          <w:szCs w:val="15"/>
          <w:color w:val="325889"/>
        </w:rPr>
      </w:pPr>
      <w:r>
        <w:rPr>
          <w:rFonts w:ascii="Arial" w:cs="Arial" w:eastAsia="Arial" w:hAnsi="Arial"/>
          <w:sz w:val="15"/>
          <w:szCs w:val="15"/>
          <w:color w:val="auto"/>
        </w:rPr>
        <w:t>annual base salary and deferred compensation</w:t>
      </w:r>
    </w:p>
    <w:p>
      <w:pPr>
        <w:spacing w:after="0" w:line="183" w:lineRule="exact"/>
        <w:rPr>
          <w:rFonts w:ascii="Arial" w:cs="Arial" w:eastAsia="Arial" w:hAnsi="Arial"/>
          <w:sz w:val="15"/>
          <w:szCs w:val="15"/>
          <w:color w:val="325889"/>
        </w:rPr>
      </w:pPr>
    </w:p>
    <w:p>
      <w:pPr>
        <w:ind w:left="465" w:hanging="228"/>
        <w:spacing w:after="0"/>
        <w:tabs>
          <w:tab w:leader="none" w:pos="465" w:val="left"/>
        </w:tabs>
        <w:numPr>
          <w:ilvl w:val="0"/>
          <w:numId w:val="30"/>
        </w:numPr>
        <w:rPr>
          <w:rFonts w:ascii="Arial" w:cs="Arial" w:eastAsia="Arial" w:hAnsi="Arial"/>
          <w:sz w:val="15"/>
          <w:szCs w:val="15"/>
          <w:color w:val="325889"/>
        </w:rPr>
      </w:pPr>
      <w:r>
        <w:rPr>
          <w:rFonts w:ascii="Arial" w:cs="Arial" w:eastAsia="Arial" w:hAnsi="Arial"/>
          <w:sz w:val="15"/>
          <w:szCs w:val="15"/>
          <w:color w:val="auto"/>
        </w:rPr>
        <w:t>annual incentive awards, which include cash and equity bonuses</w:t>
      </w:r>
    </w:p>
    <w:p>
      <w:pPr>
        <w:spacing w:after="0" w:line="183" w:lineRule="exact"/>
        <w:rPr>
          <w:rFonts w:ascii="Arial" w:cs="Arial" w:eastAsia="Arial" w:hAnsi="Arial"/>
          <w:sz w:val="15"/>
          <w:szCs w:val="15"/>
          <w:color w:val="325889"/>
        </w:rPr>
      </w:pPr>
    </w:p>
    <w:p>
      <w:pPr>
        <w:ind w:left="465" w:hanging="228"/>
        <w:spacing w:after="0"/>
        <w:tabs>
          <w:tab w:leader="none" w:pos="465" w:val="left"/>
        </w:tabs>
        <w:numPr>
          <w:ilvl w:val="0"/>
          <w:numId w:val="30"/>
        </w:numPr>
        <w:rPr>
          <w:rFonts w:ascii="Arial" w:cs="Arial" w:eastAsia="Arial" w:hAnsi="Arial"/>
          <w:sz w:val="15"/>
          <w:szCs w:val="15"/>
          <w:color w:val="325889"/>
        </w:rPr>
      </w:pPr>
      <w:r>
        <w:rPr>
          <w:rFonts w:ascii="Arial" w:cs="Arial" w:eastAsia="Arial" w:hAnsi="Arial"/>
          <w:sz w:val="15"/>
          <w:szCs w:val="15"/>
          <w:color w:val="auto"/>
        </w:rPr>
        <w:t>long-term equity incentive awards, which include stock options and full-value equity awards</w:t>
      </w:r>
    </w:p>
    <w:p>
      <w:pPr>
        <w:spacing w:after="0" w:line="195" w:lineRule="exact"/>
        <w:rPr>
          <w:sz w:val="20"/>
          <w:szCs w:val="20"/>
          <w:color w:val="auto"/>
        </w:rPr>
      </w:pPr>
    </w:p>
    <w:p>
      <w:pPr>
        <w:ind w:left="5" w:right="240"/>
        <w:spacing w:after="0" w:line="262" w:lineRule="auto"/>
        <w:rPr>
          <w:sz w:val="20"/>
          <w:szCs w:val="20"/>
          <w:color w:val="auto"/>
        </w:rPr>
      </w:pPr>
      <w:r>
        <w:rPr>
          <w:rFonts w:ascii="Arial" w:cs="Arial" w:eastAsia="Arial" w:hAnsi="Arial"/>
          <w:sz w:val="15"/>
          <w:szCs w:val="15"/>
          <w:color w:val="auto"/>
        </w:rPr>
        <w:t>Variable pay constitutes the vast majority of our executives’ compensation, which allows the Committee to reward superior performance and penalize poor performance, while the substantial long-term equity incentive portions of our compensation programs serve to align the interests of our named executive officers with our stockholders.</w:t>
      </w:r>
    </w:p>
    <w:p>
      <w:pPr>
        <w:spacing w:after="0" w:line="330" w:lineRule="exact"/>
        <w:rPr>
          <w:sz w:val="20"/>
          <w:szCs w:val="20"/>
          <w:color w:val="auto"/>
        </w:rPr>
      </w:pPr>
    </w:p>
    <w:p>
      <w:pPr>
        <w:ind w:left="5"/>
        <w:spacing w:after="0"/>
        <w:rPr>
          <w:sz w:val="20"/>
          <w:szCs w:val="20"/>
          <w:color w:val="auto"/>
        </w:rPr>
      </w:pPr>
      <w:r>
        <w:rPr>
          <w:rFonts w:ascii="Arial" w:cs="Arial" w:eastAsia="Arial" w:hAnsi="Arial"/>
          <w:sz w:val="12"/>
          <w:szCs w:val="12"/>
          <w:b w:val="1"/>
          <w:bCs w:val="1"/>
          <w:color w:val="325889"/>
        </w:rPr>
        <w:t>Annual Base Salary and Deferred Compensation</w:t>
      </w:r>
    </w:p>
    <w:p>
      <w:pPr>
        <w:spacing w:after="0" w:line="200" w:lineRule="exact"/>
        <w:rPr>
          <w:sz w:val="20"/>
          <w:szCs w:val="20"/>
          <w:color w:val="auto"/>
        </w:rPr>
      </w:pPr>
    </w:p>
    <w:p>
      <w:pPr>
        <w:ind w:left="5" w:right="80"/>
        <w:spacing w:after="0" w:line="256" w:lineRule="auto"/>
        <w:rPr>
          <w:sz w:val="20"/>
          <w:szCs w:val="20"/>
          <w:color w:val="auto"/>
        </w:rPr>
      </w:pPr>
      <w:r>
        <w:rPr>
          <w:rFonts w:ascii="Arial" w:cs="Arial" w:eastAsia="Arial" w:hAnsi="Arial"/>
          <w:sz w:val="15"/>
          <w:szCs w:val="15"/>
          <w:color w:val="auto"/>
        </w:rPr>
        <w:t>Base salaries are established at levels intended to reflect the scope of each executive’s duties and responsibilities and further take into account the competitive market compensation paid by other companies for similar positions. However, they do not serve our objective of paying for performance, and therefore are intentionally structured to be a relatively low percentage of total compensation.</w:t>
      </w:r>
    </w:p>
    <w:p>
      <w:pPr>
        <w:spacing w:after="0" w:line="172" w:lineRule="exact"/>
        <w:rPr>
          <w:sz w:val="20"/>
          <w:szCs w:val="20"/>
          <w:color w:val="auto"/>
        </w:rPr>
      </w:pPr>
    </w:p>
    <w:p>
      <w:pPr>
        <w:ind w:left="5" w:right="120"/>
        <w:spacing w:after="0" w:line="265" w:lineRule="auto"/>
        <w:rPr>
          <w:sz w:val="20"/>
          <w:szCs w:val="20"/>
          <w:color w:val="auto"/>
        </w:rPr>
      </w:pPr>
      <w:r>
        <w:rPr>
          <w:rFonts w:ascii="Arial" w:cs="Arial" w:eastAsia="Arial" w:hAnsi="Arial"/>
          <w:sz w:val="15"/>
          <w:szCs w:val="15"/>
          <w:color w:val="auto"/>
        </w:rPr>
        <w:t>The following sets forth the annual base salaries for our named executive officers for 2015 and 2016, which reflect amounts agreed to in each executive’s employment agreement:</w:t>
      </w:r>
    </w:p>
    <w:p>
      <w:pPr>
        <w:spacing w:after="0" w:line="140" w:lineRule="exact"/>
        <w:rPr>
          <w:sz w:val="20"/>
          <w:szCs w:val="20"/>
          <w:color w:val="auto"/>
        </w:rPr>
      </w:pPr>
    </w:p>
    <w:tbl>
      <w:tblPr>
        <w:tblLayout w:type="fixed"/>
        <w:tblInd w:w="5" w:type="dxa"/>
        <w:tblCellMar>
          <w:top w:w="0" w:type="dxa"/>
          <w:left w:w="0" w:type="dxa"/>
          <w:bottom w:w="0" w:type="dxa"/>
          <w:right w:w="0" w:type="dxa"/>
        </w:tblCellMar>
      </w:tblPr>
      <w:tr>
        <w:trPr>
          <w:trHeight w:val="138"/>
        </w:trPr>
        <w:tc>
          <w:tcPr>
            <w:tcW w:w="8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b w:val="1"/>
                <w:bCs w:val="1"/>
                <w:color w:val="325889"/>
              </w:rPr>
              <w:t>2015</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325889"/>
              </w:rPr>
              <w:t>2016</w:t>
            </w:r>
          </w:p>
        </w:tc>
        <w:tc>
          <w:tcPr>
            <w:tcW w:w="580" w:type="dxa"/>
            <w:vAlign w:val="bottom"/>
          </w:tcPr>
          <w:p>
            <w:pPr>
              <w:spacing w:after="0"/>
              <w:rPr>
                <w:sz w:val="12"/>
                <w:szCs w:val="12"/>
                <w:color w:val="auto"/>
              </w:rPr>
            </w:pPr>
          </w:p>
        </w:tc>
      </w:tr>
      <w:tr>
        <w:trPr>
          <w:trHeight w:val="162"/>
        </w:trPr>
        <w:tc>
          <w:tcPr>
            <w:tcW w:w="8440" w:type="dxa"/>
            <w:vAlign w:val="bottom"/>
          </w:tcPr>
          <w:p>
            <w:pPr>
              <w:spacing w:after="0"/>
              <w:rPr>
                <w:sz w:val="20"/>
                <w:szCs w:val="20"/>
                <w:color w:val="auto"/>
              </w:rPr>
            </w:pPr>
            <w:r>
              <w:rPr>
                <w:rFonts w:ascii="Arial" w:cs="Arial" w:eastAsia="Arial" w:hAnsi="Arial"/>
                <w:sz w:val="12"/>
                <w:szCs w:val="12"/>
                <w:b w:val="1"/>
                <w:bCs w:val="1"/>
                <w:color w:val="auto"/>
              </w:rPr>
              <w:t>Executive</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b w:val="1"/>
                <w:bCs w:val="1"/>
                <w:color w:val="325889"/>
              </w:rPr>
              <w:t>Base Salary</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325889"/>
              </w:rPr>
              <w:t>Base Salary</w:t>
            </w:r>
          </w:p>
        </w:tc>
        <w:tc>
          <w:tcPr>
            <w:tcW w:w="580" w:type="dxa"/>
            <w:vAlign w:val="bottom"/>
          </w:tcPr>
          <w:p>
            <w:pPr>
              <w:jc w:val="right"/>
              <w:spacing w:after="0"/>
              <w:rPr>
                <w:sz w:val="20"/>
                <w:szCs w:val="20"/>
                <w:color w:val="auto"/>
              </w:rPr>
            </w:pPr>
            <w:r>
              <w:rPr>
                <w:rFonts w:ascii="Arial" w:cs="Arial" w:eastAsia="Arial" w:hAnsi="Arial"/>
                <w:sz w:val="12"/>
                <w:szCs w:val="12"/>
                <w:b w:val="1"/>
                <w:bCs w:val="1"/>
                <w:color w:val="325889"/>
                <w:w w:val="96"/>
              </w:rPr>
              <w:t>% Change</w:t>
            </w:r>
          </w:p>
        </w:tc>
      </w:tr>
      <w:tr>
        <w:trPr>
          <w:trHeight w:val="30"/>
        </w:trPr>
        <w:tc>
          <w:tcPr>
            <w:tcW w:w="844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325889"/>
          </w:tcPr>
          <w:p>
            <w:pPr>
              <w:spacing w:after="0"/>
              <w:rPr>
                <w:sz w:val="2"/>
                <w:szCs w:val="2"/>
                <w:color w:val="auto"/>
              </w:rPr>
            </w:pPr>
          </w:p>
        </w:tc>
        <w:tc>
          <w:tcPr>
            <w:tcW w:w="80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325889"/>
          </w:tcPr>
          <w:p>
            <w:pPr>
              <w:spacing w:after="0"/>
              <w:rPr>
                <w:sz w:val="2"/>
                <w:szCs w:val="2"/>
                <w:color w:val="auto"/>
              </w:rPr>
            </w:pPr>
          </w:p>
        </w:tc>
        <w:tc>
          <w:tcPr>
            <w:tcW w:w="780" w:type="dxa"/>
            <w:vAlign w:val="bottom"/>
            <w:shd w:val="clear" w:color="auto" w:fill="325889"/>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325889"/>
          </w:tcPr>
          <w:p>
            <w:pPr>
              <w:spacing w:after="0"/>
              <w:rPr>
                <w:sz w:val="2"/>
                <w:szCs w:val="2"/>
                <w:color w:val="auto"/>
              </w:rPr>
            </w:pPr>
          </w:p>
        </w:tc>
      </w:tr>
      <w:tr>
        <w:trPr>
          <w:trHeight w:val="207"/>
        </w:trPr>
        <w:tc>
          <w:tcPr>
            <w:tcW w:w="8440" w:type="dxa"/>
            <w:vAlign w:val="bottom"/>
          </w:tcPr>
          <w:p>
            <w:pPr>
              <w:spacing w:after="0"/>
              <w:rPr>
                <w:sz w:val="20"/>
                <w:szCs w:val="20"/>
                <w:color w:val="auto"/>
              </w:rPr>
            </w:pPr>
            <w:r>
              <w:rPr>
                <w:rFonts w:ascii="Arial" w:cs="Arial" w:eastAsia="Arial" w:hAnsi="Arial"/>
                <w:sz w:val="15"/>
                <w:szCs w:val="15"/>
                <w:color w:val="auto"/>
              </w:rPr>
              <w:t>Marc Holliday</w:t>
            </w:r>
          </w:p>
        </w:tc>
        <w:tc>
          <w:tcPr>
            <w:tcW w:w="14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1,050,000</w:t>
            </w:r>
          </w:p>
        </w:tc>
        <w:tc>
          <w:tcPr>
            <w:tcW w:w="3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1,350,000</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28.6%</w:t>
            </w:r>
          </w:p>
        </w:tc>
      </w:tr>
      <w:tr>
        <w:trPr>
          <w:trHeight w:val="20"/>
        </w:trPr>
        <w:tc>
          <w:tcPr>
            <w:tcW w:w="844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98A3B8"/>
          </w:tcPr>
          <w:p>
            <w:pPr>
              <w:spacing w:after="0" w:line="20" w:lineRule="exact"/>
              <w:rPr>
                <w:sz w:val="1"/>
                <w:szCs w:val="1"/>
                <w:color w:val="auto"/>
              </w:rPr>
            </w:pPr>
          </w:p>
        </w:tc>
        <w:tc>
          <w:tcPr>
            <w:tcW w:w="80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98A3B8"/>
          </w:tcPr>
          <w:p>
            <w:pPr>
              <w:spacing w:after="0" w:line="20" w:lineRule="exact"/>
              <w:rPr>
                <w:sz w:val="1"/>
                <w:szCs w:val="1"/>
                <w:color w:val="auto"/>
              </w:rPr>
            </w:pPr>
          </w:p>
        </w:tc>
      </w:tr>
      <w:tr>
        <w:trPr>
          <w:trHeight w:val="205"/>
        </w:trPr>
        <w:tc>
          <w:tcPr>
            <w:tcW w:w="8440" w:type="dxa"/>
            <w:vAlign w:val="bottom"/>
          </w:tcPr>
          <w:p>
            <w:pPr>
              <w:spacing w:after="0"/>
              <w:rPr>
                <w:sz w:val="20"/>
                <w:szCs w:val="20"/>
                <w:color w:val="auto"/>
              </w:rPr>
            </w:pPr>
            <w:r>
              <w:rPr>
                <w:rFonts w:ascii="Arial" w:cs="Arial" w:eastAsia="Arial" w:hAnsi="Arial"/>
                <w:sz w:val="15"/>
                <w:szCs w:val="15"/>
                <w:color w:val="auto"/>
              </w:rPr>
              <w:t>Stephen L. Green</w:t>
            </w:r>
          </w:p>
        </w:tc>
        <w:tc>
          <w:tcPr>
            <w:tcW w:w="14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750,000</w:t>
            </w:r>
          </w:p>
        </w:tc>
        <w:tc>
          <w:tcPr>
            <w:tcW w:w="3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750,000</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844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98A3B8"/>
          </w:tcPr>
          <w:p>
            <w:pPr>
              <w:spacing w:after="0" w:line="20" w:lineRule="exact"/>
              <w:rPr>
                <w:sz w:val="1"/>
                <w:szCs w:val="1"/>
                <w:color w:val="auto"/>
              </w:rPr>
            </w:pPr>
          </w:p>
        </w:tc>
        <w:tc>
          <w:tcPr>
            <w:tcW w:w="80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98A3B8"/>
          </w:tcPr>
          <w:p>
            <w:pPr>
              <w:spacing w:after="0" w:line="20" w:lineRule="exact"/>
              <w:rPr>
                <w:sz w:val="1"/>
                <w:szCs w:val="1"/>
                <w:color w:val="auto"/>
              </w:rPr>
            </w:pPr>
          </w:p>
        </w:tc>
      </w:tr>
      <w:tr>
        <w:trPr>
          <w:trHeight w:val="205"/>
        </w:trPr>
        <w:tc>
          <w:tcPr>
            <w:tcW w:w="8440" w:type="dxa"/>
            <w:vAlign w:val="bottom"/>
          </w:tcPr>
          <w:p>
            <w:pPr>
              <w:spacing w:after="0"/>
              <w:rPr>
                <w:sz w:val="20"/>
                <w:szCs w:val="20"/>
                <w:color w:val="auto"/>
              </w:rPr>
            </w:pPr>
            <w:r>
              <w:rPr>
                <w:rFonts w:ascii="Arial" w:cs="Arial" w:eastAsia="Arial" w:hAnsi="Arial"/>
                <w:sz w:val="15"/>
                <w:szCs w:val="15"/>
                <w:color w:val="auto"/>
              </w:rPr>
              <w:t>Andrew Mathias</w:t>
            </w:r>
          </w:p>
        </w:tc>
        <w:tc>
          <w:tcPr>
            <w:tcW w:w="14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800,000</w:t>
            </w:r>
          </w:p>
        </w:tc>
        <w:tc>
          <w:tcPr>
            <w:tcW w:w="3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800,000</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844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98A3B8"/>
          </w:tcPr>
          <w:p>
            <w:pPr>
              <w:spacing w:after="0" w:line="20" w:lineRule="exact"/>
              <w:rPr>
                <w:sz w:val="1"/>
                <w:szCs w:val="1"/>
                <w:color w:val="auto"/>
              </w:rPr>
            </w:pPr>
          </w:p>
        </w:tc>
        <w:tc>
          <w:tcPr>
            <w:tcW w:w="80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98A3B8"/>
          </w:tcPr>
          <w:p>
            <w:pPr>
              <w:spacing w:after="0" w:line="20" w:lineRule="exact"/>
              <w:rPr>
                <w:sz w:val="1"/>
                <w:szCs w:val="1"/>
                <w:color w:val="auto"/>
              </w:rPr>
            </w:pPr>
          </w:p>
        </w:tc>
      </w:tr>
      <w:tr>
        <w:trPr>
          <w:trHeight w:val="205"/>
        </w:trPr>
        <w:tc>
          <w:tcPr>
            <w:tcW w:w="8440" w:type="dxa"/>
            <w:vAlign w:val="bottom"/>
          </w:tcPr>
          <w:p>
            <w:pPr>
              <w:spacing w:after="0"/>
              <w:rPr>
                <w:sz w:val="20"/>
                <w:szCs w:val="20"/>
                <w:color w:val="auto"/>
              </w:rPr>
            </w:pPr>
            <w:r>
              <w:rPr>
                <w:rFonts w:ascii="Arial" w:cs="Arial" w:eastAsia="Arial" w:hAnsi="Arial"/>
                <w:sz w:val="15"/>
                <w:szCs w:val="15"/>
                <w:color w:val="auto"/>
              </w:rPr>
              <w:t>Matthew J. DiLiberto</w:t>
            </w:r>
          </w:p>
        </w:tc>
        <w:tc>
          <w:tcPr>
            <w:tcW w:w="14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400,000</w:t>
            </w:r>
          </w:p>
        </w:tc>
        <w:tc>
          <w:tcPr>
            <w:tcW w:w="3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400,000</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844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98A3B8"/>
          </w:tcPr>
          <w:p>
            <w:pPr>
              <w:spacing w:after="0" w:line="20" w:lineRule="exact"/>
              <w:rPr>
                <w:sz w:val="1"/>
                <w:szCs w:val="1"/>
                <w:color w:val="auto"/>
              </w:rPr>
            </w:pPr>
          </w:p>
        </w:tc>
        <w:tc>
          <w:tcPr>
            <w:tcW w:w="80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98A3B8"/>
          </w:tcPr>
          <w:p>
            <w:pPr>
              <w:spacing w:after="0" w:line="20" w:lineRule="exact"/>
              <w:rPr>
                <w:sz w:val="1"/>
                <w:szCs w:val="1"/>
                <w:color w:val="auto"/>
              </w:rPr>
            </w:pPr>
          </w:p>
        </w:tc>
      </w:tr>
      <w:tr>
        <w:trPr>
          <w:trHeight w:val="205"/>
        </w:trPr>
        <w:tc>
          <w:tcPr>
            <w:tcW w:w="8440" w:type="dxa"/>
            <w:vAlign w:val="bottom"/>
          </w:tcPr>
          <w:p>
            <w:pPr>
              <w:spacing w:after="0"/>
              <w:rPr>
                <w:sz w:val="20"/>
                <w:szCs w:val="20"/>
                <w:color w:val="auto"/>
              </w:rPr>
            </w:pPr>
            <w:r>
              <w:rPr>
                <w:rFonts w:ascii="Arial" w:cs="Arial" w:eastAsia="Arial" w:hAnsi="Arial"/>
                <w:sz w:val="15"/>
                <w:szCs w:val="15"/>
                <w:color w:val="auto"/>
              </w:rPr>
              <w:t>Andrew S. Levine</w:t>
            </w:r>
          </w:p>
        </w:tc>
        <w:tc>
          <w:tcPr>
            <w:tcW w:w="14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500,000</w:t>
            </w:r>
          </w:p>
        </w:tc>
        <w:tc>
          <w:tcPr>
            <w:tcW w:w="3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550,000</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10.0%</w:t>
            </w:r>
          </w:p>
        </w:tc>
      </w:tr>
      <w:tr>
        <w:trPr>
          <w:trHeight w:val="30"/>
        </w:trPr>
        <w:tc>
          <w:tcPr>
            <w:tcW w:w="844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325889"/>
          </w:tcPr>
          <w:p>
            <w:pPr>
              <w:spacing w:after="0"/>
              <w:rPr>
                <w:sz w:val="2"/>
                <w:szCs w:val="2"/>
                <w:color w:val="auto"/>
              </w:rPr>
            </w:pPr>
          </w:p>
        </w:tc>
        <w:tc>
          <w:tcPr>
            <w:tcW w:w="80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325889"/>
          </w:tcPr>
          <w:p>
            <w:pPr>
              <w:spacing w:after="0"/>
              <w:rPr>
                <w:sz w:val="2"/>
                <w:szCs w:val="2"/>
                <w:color w:val="auto"/>
              </w:rPr>
            </w:pPr>
          </w:p>
        </w:tc>
        <w:tc>
          <w:tcPr>
            <w:tcW w:w="780" w:type="dxa"/>
            <w:vAlign w:val="bottom"/>
            <w:shd w:val="clear" w:color="auto" w:fill="325889"/>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325889"/>
          </w:tcPr>
          <w:p>
            <w:pPr>
              <w:spacing w:after="0"/>
              <w:rPr>
                <w:sz w:val="2"/>
                <w:szCs w:val="2"/>
                <w:color w:val="auto"/>
              </w:rPr>
            </w:pPr>
          </w:p>
        </w:tc>
      </w:tr>
    </w:tbl>
    <w:p>
      <w:pPr>
        <w:spacing w:after="0" w:line="193" w:lineRule="exact"/>
        <w:rPr>
          <w:sz w:val="20"/>
          <w:szCs w:val="20"/>
          <w:color w:val="auto"/>
        </w:rPr>
      </w:pPr>
    </w:p>
    <w:p>
      <w:pPr>
        <w:ind w:left="265" w:hanging="265"/>
        <w:spacing w:after="0"/>
        <w:tabs>
          <w:tab w:leader="none" w:pos="265" w:val="left"/>
        </w:tabs>
        <w:numPr>
          <w:ilvl w:val="0"/>
          <w:numId w:val="31"/>
        </w:numPr>
        <w:rPr>
          <w:rFonts w:ascii="Arial" w:cs="Arial" w:eastAsia="Arial" w:hAnsi="Arial"/>
          <w:sz w:val="15"/>
          <w:szCs w:val="15"/>
          <w:color w:val="325889"/>
        </w:rPr>
      </w:pPr>
      <w:r>
        <w:rPr>
          <w:rFonts w:ascii="Arial" w:cs="Arial" w:eastAsia="Arial" w:hAnsi="Arial"/>
          <w:sz w:val="15"/>
          <w:szCs w:val="15"/>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83450" cy="203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5"/>
          </w:cols>
          <w:pgMar w:left="235" w:top="528" w:right="219" w:bottom="1440" w:gutter="0" w:footer="0" w:header="0"/>
        </w:sectPr>
      </w:pPr>
    </w:p>
    <w:bookmarkStart w:id="28" w:name="page29"/>
    <w:bookmarkEnd w:id="28"/>
    <w:p>
      <w:pPr>
        <w:ind w:left="5"/>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ind w:left="9285"/>
        <w:spacing w:after="0"/>
        <w:rPr>
          <w:sz w:val="20"/>
          <w:szCs w:val="20"/>
          <w:color w:val="auto"/>
        </w:rPr>
      </w:pPr>
      <w:r>
        <w:rPr>
          <w:rFonts w:ascii="Arial" w:cs="Arial" w:eastAsia="Arial" w:hAnsi="Arial"/>
          <w:sz w:val="15"/>
          <w:szCs w:val="15"/>
          <w:u w:val="single" w:color="auto"/>
          <w:color w:val="325889"/>
        </w:rPr>
        <w:t>EXECUTIVE COMPENSATION</w:t>
      </w:r>
    </w:p>
    <w:p>
      <w:pPr>
        <w:spacing w:after="0" w:line="195" w:lineRule="exact"/>
        <w:rPr>
          <w:sz w:val="20"/>
          <w:szCs w:val="20"/>
          <w:color w:val="auto"/>
        </w:rPr>
      </w:pPr>
    </w:p>
    <w:p>
      <w:pPr>
        <w:ind w:left="5" w:right="20"/>
        <w:spacing w:after="0" w:line="250" w:lineRule="auto"/>
        <w:rPr>
          <w:sz w:val="20"/>
          <w:szCs w:val="20"/>
          <w:color w:val="auto"/>
        </w:rPr>
      </w:pPr>
      <w:r>
        <w:rPr>
          <w:rFonts w:ascii="Arial" w:cs="Arial" w:eastAsia="Arial" w:hAnsi="Arial"/>
          <w:sz w:val="15"/>
          <w:szCs w:val="15"/>
          <w:color w:val="auto"/>
        </w:rPr>
        <w:t>In addition to base salary, each of Messrs. Holliday, Green and Mathias also received a contribution of deferred notional stock units that are subject to vesting based on continued employment during a one-year period following the contribution and are only paid upon termination of employment or a change in control. The amount of deferred compensation that each of Messrs. Holliday, Green and Mathias received for 2016 was equal to the minimum amount that we had previously agreed to provide under the executive’s employment agreement and associated deferred compensation agreement that was in effect for 2016. This deferred compensation is viewed similarly to annual base salary, in that fixed amounts are granted each year regardless of performance. However, because the value of this deferred compensation is tied to the value of our common stock and these executives will not receive this deferred compensation until the termination of their employment or a change in control, this deferred compensation program further establishes alignment of management and stockholder interests and helps ensure that the executives remain focused on long-term stockholder value creation. The following table sets forth the deferred compensation grants made to our executives in 2016:</w:t>
      </w:r>
    </w:p>
    <w:p>
      <w:pPr>
        <w:spacing w:after="0" w:line="159" w:lineRule="exact"/>
        <w:rPr>
          <w:sz w:val="20"/>
          <w:szCs w:val="20"/>
          <w:color w:val="auto"/>
        </w:rPr>
      </w:pPr>
    </w:p>
    <w:tbl>
      <w:tblPr>
        <w:tblLayout w:type="fixed"/>
        <w:tblInd w:w="5" w:type="dxa"/>
        <w:tblCellMar>
          <w:top w:w="0" w:type="dxa"/>
          <w:left w:w="0" w:type="dxa"/>
          <w:bottom w:w="0" w:type="dxa"/>
          <w:right w:w="0" w:type="dxa"/>
        </w:tblCellMar>
      </w:tblPr>
      <w:tr>
        <w:trPr>
          <w:trHeight w:val="157"/>
        </w:trPr>
        <w:tc>
          <w:tcPr>
            <w:tcW w:w="9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325889"/>
              </w:rPr>
              <w:t>Deferred</w:t>
            </w:r>
          </w:p>
        </w:tc>
        <w:tc>
          <w:tcPr>
            <w:tcW w:w="480" w:type="dxa"/>
            <w:vAlign w:val="bottom"/>
          </w:tcPr>
          <w:p>
            <w:pPr>
              <w:jc w:val="right"/>
              <w:spacing w:after="0"/>
              <w:rPr>
                <w:sz w:val="20"/>
                <w:szCs w:val="20"/>
                <w:color w:val="auto"/>
              </w:rPr>
            </w:pPr>
            <w:r>
              <w:rPr>
                <w:rFonts w:ascii="Arial" w:cs="Arial" w:eastAsia="Arial" w:hAnsi="Arial"/>
                <w:sz w:val="12"/>
                <w:szCs w:val="12"/>
                <w:b w:val="1"/>
                <w:bCs w:val="1"/>
                <w:color w:val="325889"/>
                <w:w w:val="95"/>
              </w:rPr>
              <w:t>Notional</w:t>
            </w:r>
          </w:p>
        </w:tc>
      </w:tr>
      <w:tr>
        <w:trPr>
          <w:trHeight w:val="131"/>
        </w:trPr>
        <w:tc>
          <w:tcPr>
            <w:tcW w:w="9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3"/>
          </w:tcPr>
          <w:p>
            <w:pPr>
              <w:jc w:val="right"/>
              <w:ind w:right="140"/>
              <w:spacing w:after="0" w:line="131" w:lineRule="exact"/>
              <w:rPr>
                <w:sz w:val="20"/>
                <w:szCs w:val="20"/>
                <w:color w:val="auto"/>
              </w:rPr>
            </w:pPr>
            <w:r>
              <w:rPr>
                <w:rFonts w:ascii="Arial" w:cs="Arial" w:eastAsia="Arial" w:hAnsi="Arial"/>
                <w:sz w:val="12"/>
                <w:szCs w:val="12"/>
                <w:b w:val="1"/>
                <w:bCs w:val="1"/>
                <w:color w:val="325889"/>
              </w:rPr>
              <w:t>Compensation</w:t>
            </w:r>
          </w:p>
        </w:tc>
        <w:tc>
          <w:tcPr>
            <w:tcW w:w="480" w:type="dxa"/>
            <w:vAlign w:val="bottom"/>
          </w:tcPr>
          <w:p>
            <w:pPr>
              <w:jc w:val="right"/>
              <w:spacing w:after="0" w:line="131" w:lineRule="exact"/>
              <w:rPr>
                <w:sz w:val="20"/>
                <w:szCs w:val="20"/>
                <w:color w:val="auto"/>
              </w:rPr>
            </w:pPr>
            <w:r>
              <w:rPr>
                <w:rFonts w:ascii="Arial" w:cs="Arial" w:eastAsia="Arial" w:hAnsi="Arial"/>
                <w:sz w:val="12"/>
                <w:szCs w:val="12"/>
                <w:b w:val="1"/>
                <w:bCs w:val="1"/>
                <w:color w:val="325889"/>
              </w:rPr>
              <w:t>Stock</w:t>
            </w:r>
          </w:p>
        </w:tc>
      </w:tr>
      <w:tr>
        <w:trPr>
          <w:trHeight w:val="182"/>
        </w:trPr>
        <w:tc>
          <w:tcPr>
            <w:tcW w:w="9800" w:type="dxa"/>
            <w:vAlign w:val="bottom"/>
            <w:tcBorders>
              <w:bottom w:val="single" w:sz="8" w:color="325889"/>
            </w:tcBorders>
          </w:tcPr>
          <w:p>
            <w:pPr>
              <w:spacing w:after="0"/>
              <w:rPr>
                <w:sz w:val="20"/>
                <w:szCs w:val="20"/>
                <w:color w:val="auto"/>
              </w:rPr>
            </w:pPr>
            <w:r>
              <w:rPr>
                <w:rFonts w:ascii="Arial" w:cs="Arial" w:eastAsia="Arial" w:hAnsi="Arial"/>
                <w:sz w:val="12"/>
                <w:szCs w:val="12"/>
                <w:b w:val="1"/>
                <w:bCs w:val="1"/>
                <w:color w:val="auto"/>
              </w:rPr>
              <w:t>Executive</w:t>
            </w:r>
          </w:p>
        </w:tc>
        <w:tc>
          <w:tcPr>
            <w:tcW w:w="140" w:type="dxa"/>
            <w:vAlign w:val="bottom"/>
          </w:tcPr>
          <w:p>
            <w:pPr>
              <w:spacing w:after="0"/>
              <w:rPr>
                <w:sz w:val="15"/>
                <w:szCs w:val="15"/>
                <w:color w:val="auto"/>
              </w:rPr>
            </w:pPr>
          </w:p>
        </w:tc>
        <w:tc>
          <w:tcPr>
            <w:tcW w:w="200" w:type="dxa"/>
            <w:vAlign w:val="bottom"/>
            <w:tcBorders>
              <w:bottom w:val="single" w:sz="8" w:color="325889"/>
            </w:tcBorders>
          </w:tcPr>
          <w:p>
            <w:pPr>
              <w:spacing w:after="0"/>
              <w:rPr>
                <w:sz w:val="15"/>
                <w:szCs w:val="15"/>
                <w:color w:val="auto"/>
              </w:rPr>
            </w:pPr>
          </w:p>
        </w:tc>
        <w:tc>
          <w:tcPr>
            <w:tcW w:w="680" w:type="dxa"/>
            <w:vAlign w:val="bottom"/>
            <w:tcBorders>
              <w:bottom w:val="single" w:sz="8" w:color="325889"/>
            </w:tcBorders>
          </w:tcPr>
          <w:p>
            <w:pPr>
              <w:jc w:val="right"/>
              <w:spacing w:after="0"/>
              <w:rPr>
                <w:sz w:val="20"/>
                <w:szCs w:val="20"/>
                <w:color w:val="auto"/>
              </w:rPr>
            </w:pPr>
            <w:r>
              <w:rPr>
                <w:rFonts w:ascii="Arial" w:cs="Arial" w:eastAsia="Arial" w:hAnsi="Arial"/>
                <w:sz w:val="12"/>
                <w:szCs w:val="12"/>
                <w:b w:val="1"/>
                <w:bCs w:val="1"/>
                <w:color w:val="325889"/>
              </w:rPr>
              <w:t>Amount</w:t>
            </w:r>
          </w:p>
        </w:tc>
        <w:tc>
          <w:tcPr>
            <w:tcW w:w="140" w:type="dxa"/>
            <w:vAlign w:val="bottom"/>
          </w:tcPr>
          <w:p>
            <w:pPr>
              <w:spacing w:after="0"/>
              <w:rPr>
                <w:sz w:val="15"/>
                <w:szCs w:val="15"/>
                <w:color w:val="auto"/>
              </w:rPr>
            </w:pPr>
          </w:p>
        </w:tc>
        <w:tc>
          <w:tcPr>
            <w:tcW w:w="480" w:type="dxa"/>
            <w:vAlign w:val="bottom"/>
            <w:tcBorders>
              <w:bottom w:val="single" w:sz="8" w:color="325889"/>
            </w:tcBorders>
          </w:tcPr>
          <w:p>
            <w:pPr>
              <w:jc w:val="right"/>
              <w:spacing w:after="0" w:line="178" w:lineRule="exact"/>
              <w:rPr>
                <w:sz w:val="20"/>
                <w:szCs w:val="20"/>
                <w:color w:val="auto"/>
              </w:rPr>
            </w:pPr>
            <w:r>
              <w:rPr>
                <w:rFonts w:ascii="Arial" w:cs="Arial" w:eastAsia="Arial" w:hAnsi="Arial"/>
                <w:sz w:val="12"/>
                <w:szCs w:val="12"/>
                <w:b w:val="1"/>
                <w:bCs w:val="1"/>
                <w:color w:val="325889"/>
              </w:rPr>
              <w:t>Units</w:t>
            </w:r>
            <w:r>
              <w:rPr>
                <w:rFonts w:ascii="Arial" w:cs="Arial" w:eastAsia="Arial" w:hAnsi="Arial"/>
                <w:sz w:val="19"/>
                <w:szCs w:val="19"/>
                <w:b w:val="1"/>
                <w:bCs w:val="1"/>
                <w:color w:val="325889"/>
                <w:vertAlign w:val="superscript"/>
              </w:rPr>
              <w:t>(1)</w:t>
            </w:r>
          </w:p>
        </w:tc>
      </w:tr>
      <w:tr>
        <w:trPr>
          <w:trHeight w:val="207"/>
        </w:trPr>
        <w:tc>
          <w:tcPr>
            <w:tcW w:w="9800" w:type="dxa"/>
            <w:vAlign w:val="bottom"/>
          </w:tcPr>
          <w:p>
            <w:pPr>
              <w:spacing w:after="0"/>
              <w:rPr>
                <w:sz w:val="20"/>
                <w:szCs w:val="20"/>
                <w:color w:val="auto"/>
              </w:rPr>
            </w:pPr>
            <w:r>
              <w:rPr>
                <w:rFonts w:ascii="Arial" w:cs="Arial" w:eastAsia="Arial" w:hAnsi="Arial"/>
                <w:sz w:val="15"/>
                <w:szCs w:val="15"/>
                <w:color w:val="auto"/>
              </w:rPr>
              <w:t>Marc Holliday</w:t>
            </w:r>
          </w:p>
        </w:tc>
        <w:tc>
          <w:tcPr>
            <w:tcW w:w="340" w:type="dxa"/>
            <w:vAlign w:val="bottom"/>
            <w:gridSpan w:val="2"/>
          </w:tcPr>
          <w:p>
            <w:pPr>
              <w:jc w:val="right"/>
              <w:ind w:right="61"/>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750,000</w:t>
            </w: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8,265</w:t>
            </w:r>
          </w:p>
        </w:tc>
      </w:tr>
      <w:tr>
        <w:trPr>
          <w:trHeight w:val="20"/>
        </w:trPr>
        <w:tc>
          <w:tcPr>
            <w:tcW w:w="980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98A3B8"/>
          </w:tcPr>
          <w:p>
            <w:pPr>
              <w:spacing w:after="0" w:line="20" w:lineRule="exact"/>
              <w:rPr>
                <w:sz w:val="1"/>
                <w:szCs w:val="1"/>
                <w:color w:val="auto"/>
              </w:rPr>
            </w:pPr>
          </w:p>
        </w:tc>
        <w:tc>
          <w:tcPr>
            <w:tcW w:w="6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98A3B8"/>
          </w:tcPr>
          <w:p>
            <w:pPr>
              <w:spacing w:after="0" w:line="20" w:lineRule="exact"/>
              <w:rPr>
                <w:sz w:val="1"/>
                <w:szCs w:val="1"/>
                <w:color w:val="auto"/>
              </w:rPr>
            </w:pPr>
          </w:p>
        </w:tc>
      </w:tr>
      <w:tr>
        <w:trPr>
          <w:trHeight w:val="205"/>
        </w:trPr>
        <w:tc>
          <w:tcPr>
            <w:tcW w:w="9800" w:type="dxa"/>
            <w:vAlign w:val="bottom"/>
          </w:tcPr>
          <w:p>
            <w:pPr>
              <w:spacing w:after="0"/>
              <w:rPr>
                <w:sz w:val="20"/>
                <w:szCs w:val="20"/>
                <w:color w:val="auto"/>
              </w:rPr>
            </w:pPr>
            <w:r>
              <w:rPr>
                <w:rFonts w:ascii="Arial" w:cs="Arial" w:eastAsia="Arial" w:hAnsi="Arial"/>
                <w:sz w:val="15"/>
                <w:szCs w:val="15"/>
                <w:color w:val="auto"/>
              </w:rPr>
              <w:t>Stephen L. Green</w:t>
            </w:r>
          </w:p>
        </w:tc>
        <w:tc>
          <w:tcPr>
            <w:tcW w:w="340" w:type="dxa"/>
            <w:vAlign w:val="bottom"/>
            <w:gridSpan w:val="2"/>
          </w:tcPr>
          <w:p>
            <w:pPr>
              <w:jc w:val="right"/>
              <w:ind w:right="61"/>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150,000</w:t>
            </w: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1,333</w:t>
            </w:r>
          </w:p>
        </w:tc>
      </w:tr>
      <w:tr>
        <w:trPr>
          <w:trHeight w:val="20"/>
        </w:trPr>
        <w:tc>
          <w:tcPr>
            <w:tcW w:w="980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98A3B8"/>
          </w:tcPr>
          <w:p>
            <w:pPr>
              <w:spacing w:after="0" w:line="20" w:lineRule="exact"/>
              <w:rPr>
                <w:sz w:val="1"/>
                <w:szCs w:val="1"/>
                <w:color w:val="auto"/>
              </w:rPr>
            </w:pPr>
          </w:p>
        </w:tc>
        <w:tc>
          <w:tcPr>
            <w:tcW w:w="6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98A3B8"/>
          </w:tcPr>
          <w:p>
            <w:pPr>
              <w:spacing w:after="0" w:line="20" w:lineRule="exact"/>
              <w:rPr>
                <w:sz w:val="1"/>
                <w:szCs w:val="1"/>
                <w:color w:val="auto"/>
              </w:rPr>
            </w:pPr>
          </w:p>
        </w:tc>
      </w:tr>
      <w:tr>
        <w:trPr>
          <w:trHeight w:val="205"/>
        </w:trPr>
        <w:tc>
          <w:tcPr>
            <w:tcW w:w="9800" w:type="dxa"/>
            <w:vAlign w:val="bottom"/>
          </w:tcPr>
          <w:p>
            <w:pPr>
              <w:spacing w:after="0"/>
              <w:rPr>
                <w:sz w:val="20"/>
                <w:szCs w:val="20"/>
                <w:color w:val="auto"/>
              </w:rPr>
            </w:pPr>
            <w:r>
              <w:rPr>
                <w:rFonts w:ascii="Arial" w:cs="Arial" w:eastAsia="Arial" w:hAnsi="Arial"/>
                <w:sz w:val="15"/>
                <w:szCs w:val="15"/>
                <w:color w:val="auto"/>
              </w:rPr>
              <w:t>Andrew Mathias</w:t>
            </w:r>
          </w:p>
        </w:tc>
        <w:tc>
          <w:tcPr>
            <w:tcW w:w="340" w:type="dxa"/>
            <w:vAlign w:val="bottom"/>
            <w:gridSpan w:val="2"/>
          </w:tcPr>
          <w:p>
            <w:pPr>
              <w:jc w:val="right"/>
              <w:ind w:right="61"/>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500,000</w:t>
            </w: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4,443</w:t>
            </w:r>
          </w:p>
        </w:tc>
      </w:tr>
      <w:tr>
        <w:trPr>
          <w:trHeight w:val="30"/>
        </w:trPr>
        <w:tc>
          <w:tcPr>
            <w:tcW w:w="980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325889"/>
          </w:tcPr>
          <w:p>
            <w:pPr>
              <w:spacing w:after="0"/>
              <w:rPr>
                <w:sz w:val="2"/>
                <w:szCs w:val="2"/>
                <w:color w:val="auto"/>
              </w:rPr>
            </w:pPr>
          </w:p>
        </w:tc>
        <w:tc>
          <w:tcPr>
            <w:tcW w:w="68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325889"/>
          </w:tcPr>
          <w:p>
            <w:pPr>
              <w:spacing w:after="0"/>
              <w:rPr>
                <w:sz w:val="2"/>
                <w:szCs w:val="2"/>
                <w:color w:val="auto"/>
              </w:rPr>
            </w:pPr>
          </w:p>
        </w:tc>
      </w:tr>
    </w:tbl>
    <w:p>
      <w:pPr>
        <w:spacing w:after="0" w:line="59" w:lineRule="exact"/>
        <w:rPr>
          <w:sz w:val="20"/>
          <w:szCs w:val="20"/>
          <w:color w:val="auto"/>
        </w:rPr>
      </w:pPr>
    </w:p>
    <w:p>
      <w:pPr>
        <w:ind w:left="305" w:hanging="305"/>
        <w:spacing w:after="0"/>
        <w:tabs>
          <w:tab w:leader="none" w:pos="305" w:val="left"/>
        </w:tabs>
        <w:numPr>
          <w:ilvl w:val="0"/>
          <w:numId w:val="32"/>
        </w:numPr>
        <w:rPr>
          <w:rFonts w:ascii="Arial" w:cs="Arial" w:eastAsia="Arial" w:hAnsi="Arial"/>
          <w:sz w:val="12"/>
          <w:szCs w:val="12"/>
          <w:color w:val="auto"/>
        </w:rPr>
      </w:pPr>
      <w:r>
        <w:rPr>
          <w:rFonts w:ascii="Arial" w:cs="Arial" w:eastAsia="Arial" w:hAnsi="Arial"/>
          <w:sz w:val="12"/>
          <w:szCs w:val="12"/>
          <w:color w:val="auto"/>
        </w:rPr>
        <w:t>Deferred compensation contributions were converted into notional stock units based on the market price of our common stock on the date of the contribution.</w:t>
      </w:r>
    </w:p>
    <w:p>
      <w:pPr>
        <w:spacing w:after="0" w:line="168" w:lineRule="exact"/>
        <w:rPr>
          <w:sz w:val="20"/>
          <w:szCs w:val="20"/>
          <w:color w:val="auto"/>
        </w:rPr>
      </w:pPr>
    </w:p>
    <w:p>
      <w:pPr>
        <w:ind w:left="5"/>
        <w:spacing w:after="0"/>
        <w:rPr>
          <w:sz w:val="20"/>
          <w:szCs w:val="20"/>
          <w:color w:val="auto"/>
        </w:rPr>
      </w:pPr>
      <w:r>
        <w:rPr>
          <w:rFonts w:ascii="Arial" w:cs="Arial" w:eastAsia="Arial" w:hAnsi="Arial"/>
          <w:sz w:val="12"/>
          <w:szCs w:val="12"/>
          <w:b w:val="1"/>
          <w:bCs w:val="1"/>
          <w:color w:val="325889"/>
        </w:rPr>
        <w:t>Annual Incentive Awards</w:t>
      </w:r>
    </w:p>
    <w:p>
      <w:pPr>
        <w:spacing w:after="0" w:line="200" w:lineRule="exact"/>
        <w:rPr>
          <w:sz w:val="20"/>
          <w:szCs w:val="20"/>
          <w:color w:val="auto"/>
        </w:rPr>
      </w:pPr>
    </w:p>
    <w:p>
      <w:pPr>
        <w:ind w:left="5" w:right="120"/>
        <w:spacing w:after="0" w:line="250" w:lineRule="auto"/>
        <w:rPr>
          <w:sz w:val="20"/>
          <w:szCs w:val="20"/>
          <w:color w:val="auto"/>
        </w:rPr>
      </w:pPr>
      <w:r>
        <w:rPr>
          <w:rFonts w:ascii="Arial" w:cs="Arial" w:eastAsia="Arial" w:hAnsi="Arial"/>
          <w:sz w:val="15"/>
          <w:szCs w:val="15"/>
          <w:color w:val="auto"/>
        </w:rPr>
        <w:t>We pay annual incentive awards in the form of annual cash and equity bonuses to focus and reward our named executive officers on achieving key corporate financial and operational objectives and individual goals. Based in part on the feedback we received in connection with our outreach efforts relating to executive compensation, the Committee decided to revise the structure of our annual incentive award program for our Chief Executive Officer, Executive Chairman and President. For 2016, we increased the formulaic component of our annual cash bonus program to 100% of the target opportunity (from 75% in 2015 and 60% in 2014) and we reduced the number of performance criteria. Otherwise, we maintained the same overall structure of our annual incentive award program. Also, in 2016, the entire amount of the annual cash bonuses paid to our top three named executive officers was determined pursuant to this annual cash bonus program, which is described in more detail below.</w:t>
      </w:r>
    </w:p>
    <w:p>
      <w:pPr>
        <w:spacing w:after="0" w:line="340" w:lineRule="exact"/>
        <w:rPr>
          <w:sz w:val="20"/>
          <w:szCs w:val="20"/>
          <w:color w:val="auto"/>
        </w:rPr>
      </w:pPr>
    </w:p>
    <w:p>
      <w:pPr>
        <w:ind w:left="5"/>
        <w:spacing w:after="0"/>
        <w:rPr>
          <w:sz w:val="20"/>
          <w:szCs w:val="20"/>
          <w:color w:val="auto"/>
        </w:rPr>
      </w:pPr>
      <w:r>
        <w:rPr>
          <w:rFonts w:ascii="Arial" w:cs="Arial" w:eastAsia="Arial" w:hAnsi="Arial"/>
          <w:sz w:val="12"/>
          <w:szCs w:val="12"/>
          <w:b w:val="1"/>
          <w:bCs w:val="1"/>
          <w:color w:val="325889"/>
        </w:rPr>
        <w:t>Annual Cash Bonus Program (Top Three Named Executive Officers)</w:t>
      </w:r>
    </w:p>
    <w:p>
      <w:pPr>
        <w:spacing w:after="0" w:line="200" w:lineRule="exact"/>
        <w:rPr>
          <w:sz w:val="20"/>
          <w:szCs w:val="20"/>
          <w:color w:val="auto"/>
        </w:rPr>
      </w:pPr>
    </w:p>
    <w:p>
      <w:pPr>
        <w:ind w:left="5" w:right="60"/>
        <w:spacing w:after="0" w:line="252" w:lineRule="auto"/>
        <w:rPr>
          <w:sz w:val="20"/>
          <w:szCs w:val="20"/>
          <w:color w:val="auto"/>
        </w:rPr>
      </w:pPr>
      <w:r>
        <w:rPr>
          <w:rFonts w:ascii="Arial" w:cs="Arial" w:eastAsia="Arial" w:hAnsi="Arial"/>
          <w:sz w:val="15"/>
          <w:szCs w:val="15"/>
          <w:color w:val="auto"/>
        </w:rPr>
        <w:t>As noted above, the annual cash bonuses paid to our top three named executive officers for 2016 were determined pursuant to our annual cash bonus program. Under this program, the Committee established specific threshold, target and maximum cash bonus amounts that each of our top three named executive officers could earn for 2016 and established specific performance criteria that were to be used in a formulaic manner to determine 100% of each of these executives’ cash bonuses. For 2016, each of Messrs. Holliday, Green and Mathias were eligible to earn the following percentages of his base salary (with linear interpolation used to determine the percentage earned for performance that falls between threshold, target and/ or maximum):</w:t>
      </w:r>
    </w:p>
    <w:p>
      <w:pPr>
        <w:spacing w:after="0" w:line="192" w:lineRule="exact"/>
        <w:rPr>
          <w:sz w:val="20"/>
          <w:szCs w:val="20"/>
          <w:color w:val="auto"/>
        </w:rPr>
      </w:pPr>
    </w:p>
    <w:tbl>
      <w:tblPr>
        <w:tblLayout w:type="fixed"/>
        <w:tblInd w:w="5" w:type="dxa"/>
        <w:tblCellMar>
          <w:top w:w="0" w:type="dxa"/>
          <w:left w:w="0" w:type="dxa"/>
          <w:bottom w:w="0" w:type="dxa"/>
          <w:right w:w="0" w:type="dxa"/>
        </w:tblCellMar>
      </w:tblPr>
      <w:tr>
        <w:trPr>
          <w:trHeight w:val="155"/>
        </w:trPr>
        <w:tc>
          <w:tcPr>
            <w:tcW w:w="9600" w:type="dxa"/>
            <w:vAlign w:val="bottom"/>
            <w:gridSpan w:val="2"/>
          </w:tcPr>
          <w:p>
            <w:pPr>
              <w:spacing w:after="0"/>
              <w:rPr>
                <w:sz w:val="20"/>
                <w:szCs w:val="20"/>
                <w:color w:val="auto"/>
              </w:rPr>
            </w:pPr>
            <w:r>
              <w:rPr>
                <w:rFonts w:ascii="Arial" w:cs="Arial" w:eastAsia="Arial" w:hAnsi="Arial"/>
                <w:sz w:val="12"/>
                <w:szCs w:val="12"/>
                <w:b w:val="1"/>
                <w:bCs w:val="1"/>
                <w:color w:val="auto"/>
              </w:rPr>
              <w:t>Executive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325889"/>
              </w:rPr>
              <w:t>Threshold</w:t>
            </w:r>
          </w:p>
        </w:tc>
        <w:tc>
          <w:tcPr>
            <w:tcW w:w="56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325889"/>
              </w:rPr>
              <w:t>Target</w:t>
            </w:r>
          </w:p>
        </w:tc>
        <w:tc>
          <w:tcPr>
            <w:tcW w:w="560" w:type="dxa"/>
            <w:vAlign w:val="bottom"/>
          </w:tcPr>
          <w:p>
            <w:pPr>
              <w:jc w:val="right"/>
              <w:spacing w:after="0"/>
              <w:rPr>
                <w:sz w:val="20"/>
                <w:szCs w:val="20"/>
                <w:color w:val="auto"/>
              </w:rPr>
            </w:pPr>
            <w:r>
              <w:rPr>
                <w:rFonts w:ascii="Arial" w:cs="Arial" w:eastAsia="Arial" w:hAnsi="Arial"/>
                <w:sz w:val="12"/>
                <w:szCs w:val="12"/>
                <w:b w:val="1"/>
                <w:bCs w:val="1"/>
                <w:color w:val="325889"/>
                <w:w w:val="97"/>
              </w:rPr>
              <w:t>Maximum</w:t>
            </w:r>
          </w:p>
        </w:tc>
      </w:tr>
      <w:tr>
        <w:trPr>
          <w:trHeight w:val="41"/>
        </w:trPr>
        <w:tc>
          <w:tcPr>
            <w:tcW w:w="9460" w:type="dxa"/>
            <w:vAlign w:val="bottom"/>
            <w:tcBorders>
              <w:bottom w:val="single" w:sz="8" w:color="325889"/>
            </w:tcBorders>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Borders>
              <w:bottom w:val="single" w:sz="8" w:color="325889"/>
            </w:tcBorders>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Borders>
              <w:bottom w:val="single" w:sz="8" w:color="325889"/>
            </w:tcBorders>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Borders>
              <w:bottom w:val="single" w:sz="8" w:color="325889"/>
            </w:tcBorders>
          </w:tcPr>
          <w:p>
            <w:pPr>
              <w:spacing w:after="0"/>
              <w:rPr>
                <w:sz w:val="3"/>
                <w:szCs w:val="3"/>
                <w:color w:val="auto"/>
              </w:rPr>
            </w:pPr>
          </w:p>
        </w:tc>
      </w:tr>
      <w:tr>
        <w:trPr>
          <w:trHeight w:val="207"/>
        </w:trPr>
        <w:tc>
          <w:tcPr>
            <w:tcW w:w="946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Marc Holliday</w:t>
            </w:r>
          </w:p>
        </w:tc>
        <w:tc>
          <w:tcPr>
            <w:tcW w:w="140" w:type="dxa"/>
            <w:vAlign w:val="bottom"/>
          </w:tcPr>
          <w:p>
            <w:pPr>
              <w:spacing w:after="0"/>
              <w:rPr>
                <w:sz w:val="17"/>
                <w:szCs w:val="17"/>
                <w:color w:val="auto"/>
              </w:rPr>
            </w:pPr>
          </w:p>
        </w:tc>
        <w:tc>
          <w:tcPr>
            <w:tcW w:w="58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100%</w:t>
            </w:r>
          </w:p>
        </w:tc>
        <w:tc>
          <w:tcPr>
            <w:tcW w:w="140" w:type="dxa"/>
            <w:vAlign w:val="bottom"/>
          </w:tcPr>
          <w:p>
            <w:pPr>
              <w:spacing w:after="0"/>
              <w:rPr>
                <w:sz w:val="17"/>
                <w:szCs w:val="17"/>
                <w:color w:val="auto"/>
              </w:rPr>
            </w:pPr>
          </w:p>
        </w:tc>
        <w:tc>
          <w:tcPr>
            <w:tcW w:w="4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200%</w:t>
            </w:r>
          </w:p>
        </w:tc>
        <w:tc>
          <w:tcPr>
            <w:tcW w:w="140" w:type="dxa"/>
            <w:vAlign w:val="bottom"/>
          </w:tcPr>
          <w:p>
            <w:pPr>
              <w:spacing w:after="0"/>
              <w:rPr>
                <w:sz w:val="17"/>
                <w:szCs w:val="17"/>
                <w:color w:val="auto"/>
              </w:rPr>
            </w:pPr>
          </w:p>
        </w:tc>
        <w:tc>
          <w:tcPr>
            <w:tcW w:w="56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300%</w:t>
            </w:r>
          </w:p>
        </w:tc>
      </w:tr>
      <w:tr>
        <w:trPr>
          <w:trHeight w:val="205"/>
        </w:trPr>
        <w:tc>
          <w:tcPr>
            <w:tcW w:w="946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Stephen L. Green</w:t>
            </w:r>
          </w:p>
        </w:tc>
        <w:tc>
          <w:tcPr>
            <w:tcW w:w="140" w:type="dxa"/>
            <w:vAlign w:val="bottom"/>
          </w:tcPr>
          <w:p>
            <w:pPr>
              <w:spacing w:after="0"/>
              <w:rPr>
                <w:sz w:val="17"/>
                <w:szCs w:val="17"/>
                <w:color w:val="auto"/>
              </w:rPr>
            </w:pPr>
          </w:p>
        </w:tc>
        <w:tc>
          <w:tcPr>
            <w:tcW w:w="58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100%</w:t>
            </w:r>
          </w:p>
        </w:tc>
        <w:tc>
          <w:tcPr>
            <w:tcW w:w="140" w:type="dxa"/>
            <w:vAlign w:val="bottom"/>
          </w:tcPr>
          <w:p>
            <w:pPr>
              <w:spacing w:after="0"/>
              <w:rPr>
                <w:sz w:val="17"/>
                <w:szCs w:val="17"/>
                <w:color w:val="auto"/>
              </w:rPr>
            </w:pPr>
          </w:p>
        </w:tc>
        <w:tc>
          <w:tcPr>
            <w:tcW w:w="4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175%</w:t>
            </w:r>
          </w:p>
        </w:tc>
        <w:tc>
          <w:tcPr>
            <w:tcW w:w="140" w:type="dxa"/>
            <w:vAlign w:val="bottom"/>
          </w:tcPr>
          <w:p>
            <w:pPr>
              <w:spacing w:after="0"/>
              <w:rPr>
                <w:sz w:val="17"/>
                <w:szCs w:val="17"/>
                <w:color w:val="auto"/>
              </w:rPr>
            </w:pPr>
          </w:p>
        </w:tc>
        <w:tc>
          <w:tcPr>
            <w:tcW w:w="56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250%</w:t>
            </w:r>
          </w:p>
        </w:tc>
      </w:tr>
      <w:tr>
        <w:trPr>
          <w:trHeight w:val="216"/>
        </w:trPr>
        <w:tc>
          <w:tcPr>
            <w:tcW w:w="9460" w:type="dxa"/>
            <w:vAlign w:val="bottom"/>
            <w:tcBorders>
              <w:bottom w:val="single" w:sz="8" w:color="325889"/>
            </w:tcBorders>
          </w:tcPr>
          <w:p>
            <w:pPr>
              <w:spacing w:after="0"/>
              <w:rPr>
                <w:sz w:val="20"/>
                <w:szCs w:val="20"/>
                <w:color w:val="auto"/>
              </w:rPr>
            </w:pPr>
            <w:r>
              <w:rPr>
                <w:rFonts w:ascii="Arial" w:cs="Arial" w:eastAsia="Arial" w:hAnsi="Arial"/>
                <w:sz w:val="15"/>
                <w:szCs w:val="15"/>
                <w:color w:val="auto"/>
              </w:rPr>
              <w:t>Andrew Mathias</w:t>
            </w:r>
          </w:p>
        </w:tc>
        <w:tc>
          <w:tcPr>
            <w:tcW w:w="140" w:type="dxa"/>
            <w:vAlign w:val="bottom"/>
          </w:tcPr>
          <w:p>
            <w:pPr>
              <w:spacing w:after="0"/>
              <w:rPr>
                <w:sz w:val="18"/>
                <w:szCs w:val="18"/>
                <w:color w:val="auto"/>
              </w:rPr>
            </w:pPr>
          </w:p>
        </w:tc>
        <w:tc>
          <w:tcPr>
            <w:tcW w:w="580" w:type="dxa"/>
            <w:vAlign w:val="bottom"/>
            <w:tcBorders>
              <w:bottom w:val="single" w:sz="8" w:color="325889"/>
            </w:tcBorders>
          </w:tcPr>
          <w:p>
            <w:pPr>
              <w:jc w:val="right"/>
              <w:spacing w:after="0"/>
              <w:rPr>
                <w:sz w:val="20"/>
                <w:szCs w:val="20"/>
                <w:color w:val="auto"/>
              </w:rPr>
            </w:pPr>
            <w:r>
              <w:rPr>
                <w:rFonts w:ascii="Arial" w:cs="Arial" w:eastAsia="Arial" w:hAnsi="Arial"/>
                <w:sz w:val="15"/>
                <w:szCs w:val="15"/>
                <w:color w:val="auto"/>
              </w:rPr>
              <w:t>100%</w:t>
            </w:r>
          </w:p>
        </w:tc>
        <w:tc>
          <w:tcPr>
            <w:tcW w:w="140" w:type="dxa"/>
            <w:vAlign w:val="bottom"/>
          </w:tcPr>
          <w:p>
            <w:pPr>
              <w:spacing w:after="0"/>
              <w:rPr>
                <w:sz w:val="18"/>
                <w:szCs w:val="18"/>
                <w:color w:val="auto"/>
              </w:rPr>
            </w:pPr>
          </w:p>
        </w:tc>
        <w:tc>
          <w:tcPr>
            <w:tcW w:w="420" w:type="dxa"/>
            <w:vAlign w:val="bottom"/>
            <w:tcBorders>
              <w:bottom w:val="single" w:sz="8" w:color="325889"/>
            </w:tcBorders>
          </w:tcPr>
          <w:p>
            <w:pPr>
              <w:jc w:val="right"/>
              <w:spacing w:after="0"/>
              <w:rPr>
                <w:sz w:val="20"/>
                <w:szCs w:val="20"/>
                <w:color w:val="auto"/>
              </w:rPr>
            </w:pPr>
            <w:r>
              <w:rPr>
                <w:rFonts w:ascii="Arial" w:cs="Arial" w:eastAsia="Arial" w:hAnsi="Arial"/>
                <w:sz w:val="15"/>
                <w:szCs w:val="15"/>
                <w:color w:val="auto"/>
              </w:rPr>
              <w:t>175%</w:t>
            </w:r>
          </w:p>
        </w:tc>
        <w:tc>
          <w:tcPr>
            <w:tcW w:w="140" w:type="dxa"/>
            <w:vAlign w:val="bottom"/>
          </w:tcPr>
          <w:p>
            <w:pPr>
              <w:spacing w:after="0"/>
              <w:rPr>
                <w:sz w:val="18"/>
                <w:szCs w:val="18"/>
                <w:color w:val="auto"/>
              </w:rPr>
            </w:pPr>
          </w:p>
        </w:tc>
        <w:tc>
          <w:tcPr>
            <w:tcW w:w="560" w:type="dxa"/>
            <w:vAlign w:val="bottom"/>
            <w:tcBorders>
              <w:bottom w:val="single" w:sz="8" w:color="325889"/>
            </w:tcBorders>
          </w:tcPr>
          <w:p>
            <w:pPr>
              <w:jc w:val="right"/>
              <w:spacing w:after="0"/>
              <w:rPr>
                <w:sz w:val="20"/>
                <w:szCs w:val="20"/>
                <w:color w:val="auto"/>
              </w:rPr>
            </w:pPr>
            <w:r>
              <w:rPr>
                <w:rFonts w:ascii="Arial" w:cs="Arial" w:eastAsia="Arial" w:hAnsi="Arial"/>
                <w:sz w:val="15"/>
                <w:szCs w:val="15"/>
                <w:color w:val="auto"/>
              </w:rPr>
              <w:t>250%</w:t>
            </w:r>
          </w:p>
        </w:tc>
      </w:tr>
    </w:tbl>
    <w:p>
      <w:pPr>
        <w:spacing w:after="0" w:line="2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2017 Proxy Statement </w:t>
      </w:r>
      <w:r>
        <w:rPr>
          <w:rFonts w:ascii="Arial" w:cs="Arial" w:eastAsia="Arial" w:hAnsi="Arial"/>
          <w:sz w:val="15"/>
          <w:szCs w:val="15"/>
          <w:color w:val="325889"/>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127000</wp:posOffset>
            </wp:positionV>
            <wp:extent cx="7283450" cy="203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5"/>
          </w:cols>
          <w:pgMar w:left="235" w:top="528" w:right="219" w:bottom="1440" w:gutter="0" w:footer="0" w:header="0"/>
        </w:sectPr>
      </w:pPr>
    </w:p>
    <w:bookmarkStart w:id="29" w:name="page30"/>
    <w:bookmarkEnd w:id="29"/>
    <w:p>
      <w:pPr>
        <w:ind w:left="5"/>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ind w:left="5"/>
        <w:spacing w:after="0"/>
        <w:rPr>
          <w:sz w:val="20"/>
          <w:szCs w:val="20"/>
          <w:color w:val="auto"/>
        </w:rPr>
      </w:pPr>
      <w:r>
        <w:rPr>
          <w:rFonts w:ascii="Arial" w:cs="Arial" w:eastAsia="Arial" w:hAnsi="Arial"/>
          <w:sz w:val="15"/>
          <w:szCs w:val="15"/>
          <w:u w:val="single" w:color="auto"/>
          <w:color w:val="325889"/>
        </w:rPr>
        <w:t>EXECUTIVE COMPENSATION</w:t>
      </w:r>
    </w:p>
    <w:p>
      <w:pPr>
        <w:spacing w:after="0" w:line="195" w:lineRule="exact"/>
        <w:rPr>
          <w:sz w:val="20"/>
          <w:szCs w:val="20"/>
          <w:color w:val="auto"/>
        </w:rPr>
      </w:pPr>
    </w:p>
    <w:p>
      <w:pPr>
        <w:ind w:left="5" w:right="40"/>
        <w:spacing w:after="0" w:line="256" w:lineRule="auto"/>
        <w:rPr>
          <w:sz w:val="20"/>
          <w:szCs w:val="20"/>
          <w:color w:val="auto"/>
        </w:rPr>
      </w:pPr>
      <w:r>
        <w:rPr>
          <w:rFonts w:ascii="Arial" w:cs="Arial" w:eastAsia="Arial" w:hAnsi="Arial"/>
          <w:sz w:val="15"/>
          <w:szCs w:val="15"/>
          <w:color w:val="auto"/>
        </w:rPr>
        <w:t>One hundred percent of each executive’s annual cash bonus was determined in a formulaic manner based on the level of our achievement of a number of performance criteria as compared to the level established in advance by the Committee. The following set forth the specific performance criteria selected for 2016, the relative weighting of each, the threshold, target and maximum performance levels established by the Committee in advance for each, and our actual 2016 results for each:</w:t>
      </w:r>
    </w:p>
    <w:p>
      <w:pPr>
        <w:spacing w:after="0" w:line="147" w:lineRule="exact"/>
        <w:rPr>
          <w:sz w:val="20"/>
          <w:szCs w:val="20"/>
          <w:color w:val="auto"/>
        </w:rPr>
      </w:pPr>
    </w:p>
    <w:tbl>
      <w:tblPr>
        <w:tblLayout w:type="fixed"/>
        <w:tblInd w:w="5" w:type="dxa"/>
        <w:tblCellMar>
          <w:top w:w="0" w:type="dxa"/>
          <w:left w:w="0" w:type="dxa"/>
          <w:bottom w:w="0" w:type="dxa"/>
          <w:right w:w="0" w:type="dxa"/>
        </w:tblCellMar>
      </w:tblPr>
      <w:tr>
        <w:trPr>
          <w:trHeight w:val="138"/>
        </w:trPr>
        <w:tc>
          <w:tcPr>
            <w:tcW w:w="7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b w:val="1"/>
                <w:bCs w:val="1"/>
                <w:color w:val="325889"/>
              </w:rPr>
              <w:t>2016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31"/>
        </w:trPr>
        <w:tc>
          <w:tcPr>
            <w:tcW w:w="7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80"/>
              <w:spacing w:after="0" w:line="131" w:lineRule="exact"/>
              <w:rPr>
                <w:sz w:val="20"/>
                <w:szCs w:val="20"/>
                <w:color w:val="auto"/>
              </w:rPr>
            </w:pPr>
            <w:r>
              <w:rPr>
                <w:rFonts w:ascii="Arial" w:cs="Arial" w:eastAsia="Arial" w:hAnsi="Arial"/>
                <w:sz w:val="12"/>
                <w:szCs w:val="12"/>
                <w:b w:val="1"/>
                <w:bCs w:val="1"/>
                <w:color w:val="325889"/>
                <w:w w:val="96"/>
              </w:rPr>
              <w:t>Weighting</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line="131" w:lineRule="exact"/>
              <w:rPr>
                <w:sz w:val="20"/>
                <w:szCs w:val="20"/>
                <w:color w:val="auto"/>
              </w:rPr>
            </w:pPr>
            <w:r>
              <w:rPr>
                <w:rFonts w:ascii="Arial" w:cs="Arial" w:eastAsia="Arial" w:hAnsi="Arial"/>
                <w:sz w:val="12"/>
                <w:szCs w:val="12"/>
                <w:b w:val="1"/>
                <w:bCs w:val="1"/>
                <w:color w:val="325889"/>
              </w:rPr>
              <w:t>2016 Actual</w:t>
            </w:r>
          </w:p>
        </w:tc>
      </w:tr>
      <w:tr>
        <w:trPr>
          <w:trHeight w:val="162"/>
        </w:trPr>
        <w:tc>
          <w:tcPr>
            <w:tcW w:w="7260" w:type="dxa"/>
            <w:vAlign w:val="bottom"/>
          </w:tcPr>
          <w:p>
            <w:pPr>
              <w:spacing w:after="0"/>
              <w:rPr>
                <w:sz w:val="20"/>
                <w:szCs w:val="20"/>
                <w:color w:val="auto"/>
              </w:rPr>
            </w:pPr>
            <w:r>
              <w:rPr>
                <w:rFonts w:ascii="Arial" w:cs="Arial" w:eastAsia="Arial" w:hAnsi="Arial"/>
                <w:sz w:val="12"/>
                <w:szCs w:val="12"/>
                <w:b w:val="1"/>
                <w:bCs w:val="1"/>
                <w:color w:val="auto"/>
              </w:rPr>
              <w:t>Performance criteria</w:t>
            </w:r>
          </w:p>
        </w:tc>
        <w:tc>
          <w:tcPr>
            <w:tcW w:w="14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b w:val="1"/>
                <w:bCs w:val="1"/>
                <w:color w:val="325889"/>
              </w:rPr>
              <w:t>Levels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325889"/>
                <w:w w:val="93"/>
              </w:rPr>
              <w:t>Threshold</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ind w:left="120"/>
              <w:spacing w:after="0"/>
              <w:rPr>
                <w:sz w:val="20"/>
                <w:szCs w:val="20"/>
                <w:color w:val="auto"/>
              </w:rPr>
            </w:pPr>
            <w:r>
              <w:rPr>
                <w:rFonts w:ascii="Arial" w:cs="Arial" w:eastAsia="Arial" w:hAnsi="Arial"/>
                <w:sz w:val="12"/>
                <w:szCs w:val="12"/>
                <w:b w:val="1"/>
                <w:bCs w:val="1"/>
                <w:color w:val="325889"/>
              </w:rPr>
              <w:t>Target</w:t>
            </w:r>
          </w:p>
        </w:tc>
        <w:tc>
          <w:tcPr>
            <w:tcW w:w="14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b w:val="1"/>
                <w:bCs w:val="1"/>
                <w:color w:val="325889"/>
              </w:rPr>
              <w:t>Maximum</w:t>
            </w:r>
          </w:p>
        </w:tc>
        <w:tc>
          <w:tcPr>
            <w:tcW w:w="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325889"/>
              </w:rPr>
              <w:t>Performance</w:t>
            </w:r>
          </w:p>
        </w:tc>
      </w:tr>
      <w:tr>
        <w:trPr>
          <w:trHeight w:val="30"/>
        </w:trPr>
        <w:tc>
          <w:tcPr>
            <w:tcW w:w="726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325889"/>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325889"/>
          </w:tcPr>
          <w:p>
            <w:pPr>
              <w:spacing w:after="0"/>
              <w:rPr>
                <w:sz w:val="2"/>
                <w:szCs w:val="2"/>
                <w:color w:val="auto"/>
              </w:rPr>
            </w:pPr>
          </w:p>
        </w:tc>
        <w:tc>
          <w:tcPr>
            <w:tcW w:w="560" w:type="dxa"/>
            <w:vAlign w:val="bottom"/>
            <w:shd w:val="clear" w:color="auto" w:fill="325889"/>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325889"/>
          </w:tcPr>
          <w:p>
            <w:pPr>
              <w:spacing w:after="0"/>
              <w:rPr>
                <w:sz w:val="2"/>
                <w:szCs w:val="2"/>
                <w:color w:val="auto"/>
              </w:rPr>
            </w:pPr>
          </w:p>
        </w:tc>
        <w:tc>
          <w:tcPr>
            <w:tcW w:w="48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325889"/>
          </w:tcPr>
          <w:p>
            <w:pPr>
              <w:spacing w:after="0"/>
              <w:rPr>
                <w:sz w:val="2"/>
                <w:szCs w:val="2"/>
                <w:color w:val="auto"/>
              </w:rPr>
            </w:pPr>
          </w:p>
        </w:tc>
        <w:tc>
          <w:tcPr>
            <w:tcW w:w="600" w:type="dxa"/>
            <w:vAlign w:val="bottom"/>
            <w:shd w:val="clear" w:color="auto" w:fill="325889"/>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shd w:val="clear" w:color="auto" w:fill="325889"/>
          </w:tcPr>
          <w:p>
            <w:pPr>
              <w:spacing w:after="0"/>
              <w:rPr>
                <w:sz w:val="2"/>
                <w:szCs w:val="2"/>
                <w:color w:val="auto"/>
              </w:rPr>
            </w:pPr>
          </w:p>
        </w:tc>
      </w:tr>
      <w:tr>
        <w:trPr>
          <w:trHeight w:val="273"/>
        </w:trPr>
        <w:tc>
          <w:tcPr>
            <w:tcW w:w="7260" w:type="dxa"/>
            <w:vAlign w:val="bottom"/>
          </w:tcPr>
          <w:p>
            <w:pPr>
              <w:spacing w:after="0"/>
              <w:rPr>
                <w:sz w:val="20"/>
                <w:szCs w:val="20"/>
                <w:color w:val="auto"/>
              </w:rPr>
            </w:pPr>
            <w:r>
              <w:rPr>
                <w:rFonts w:ascii="Arial" w:cs="Arial" w:eastAsia="Arial" w:hAnsi="Arial"/>
                <w:sz w:val="15"/>
                <w:szCs w:val="15"/>
                <w:color w:val="auto"/>
              </w:rPr>
              <w:t>FFO per share</w:t>
            </w:r>
          </w:p>
        </w:tc>
        <w:tc>
          <w:tcPr>
            <w:tcW w:w="140" w:type="dxa"/>
            <w:vAlign w:val="bottom"/>
          </w:tcPr>
          <w:p>
            <w:pPr>
              <w:spacing w:after="0"/>
              <w:rPr>
                <w:sz w:val="23"/>
                <w:szCs w:val="2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25.0%</w:t>
            </w:r>
          </w:p>
        </w:tc>
        <w:tc>
          <w:tcPr>
            <w:tcW w:w="1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6.75</w:t>
            </w:r>
          </w:p>
        </w:tc>
        <w:tc>
          <w:tcPr>
            <w:tcW w:w="2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6.85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6.95</w:t>
            </w:r>
          </w:p>
        </w:tc>
        <w:tc>
          <w:tcPr>
            <w:tcW w:w="80" w:type="dxa"/>
            <w:vAlign w:val="bottom"/>
          </w:tcPr>
          <w:p>
            <w:pPr>
              <w:spacing w:after="0"/>
              <w:rPr>
                <w:sz w:val="23"/>
                <w:szCs w:val="23"/>
                <w:color w:val="auto"/>
              </w:rPr>
            </w:pPr>
          </w:p>
        </w:tc>
        <w:tc>
          <w:tcPr>
            <w:tcW w:w="880" w:type="dxa"/>
            <w:vAlign w:val="bottom"/>
            <w:gridSpan w:val="2"/>
          </w:tcPr>
          <w:p>
            <w:pPr>
              <w:jc w:val="right"/>
              <w:spacing w:after="0" w:line="272" w:lineRule="exact"/>
              <w:rPr>
                <w:sz w:val="20"/>
                <w:szCs w:val="20"/>
                <w:color w:val="auto"/>
              </w:rPr>
            </w:pPr>
            <w:r>
              <w:rPr>
                <w:rFonts w:ascii="Arial" w:cs="Arial" w:eastAsia="Arial" w:hAnsi="Arial"/>
                <w:sz w:val="15"/>
                <w:szCs w:val="15"/>
                <w:color w:val="auto"/>
              </w:rPr>
              <w:t>$   7.08</w:t>
            </w:r>
            <w:r>
              <w:rPr>
                <w:rFonts w:ascii="Arial" w:cs="Arial" w:eastAsia="Arial" w:hAnsi="Arial"/>
                <w:sz w:val="25"/>
                <w:szCs w:val="25"/>
                <w:color w:val="auto"/>
                <w:vertAlign w:val="superscript"/>
              </w:rPr>
              <w:t>(2)</w:t>
            </w:r>
          </w:p>
        </w:tc>
      </w:tr>
      <w:tr>
        <w:trPr>
          <w:trHeight w:val="20"/>
        </w:trPr>
        <w:tc>
          <w:tcPr>
            <w:tcW w:w="72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56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98A3B8"/>
          </w:tcPr>
          <w:p>
            <w:pPr>
              <w:spacing w:after="0" w:line="20" w:lineRule="exact"/>
              <w:rPr>
                <w:sz w:val="1"/>
                <w:szCs w:val="1"/>
                <w:color w:val="auto"/>
              </w:rPr>
            </w:pPr>
          </w:p>
        </w:tc>
        <w:tc>
          <w:tcPr>
            <w:tcW w:w="4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60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98A3B8"/>
          </w:tcPr>
          <w:p>
            <w:pPr>
              <w:spacing w:after="0" w:line="20" w:lineRule="exact"/>
              <w:rPr>
                <w:sz w:val="1"/>
                <w:szCs w:val="1"/>
                <w:color w:val="auto"/>
              </w:rPr>
            </w:pPr>
          </w:p>
        </w:tc>
      </w:tr>
      <w:tr>
        <w:trPr>
          <w:trHeight w:val="199"/>
        </w:trPr>
        <w:tc>
          <w:tcPr>
            <w:tcW w:w="7260" w:type="dxa"/>
            <w:vAlign w:val="bottom"/>
          </w:tcPr>
          <w:p>
            <w:pPr>
              <w:spacing w:after="0"/>
              <w:rPr>
                <w:sz w:val="20"/>
                <w:szCs w:val="20"/>
                <w:color w:val="auto"/>
              </w:rPr>
            </w:pPr>
            <w:r>
              <w:rPr>
                <w:rFonts w:ascii="Arial" w:cs="Arial" w:eastAsia="Arial" w:hAnsi="Arial"/>
                <w:sz w:val="15"/>
                <w:szCs w:val="15"/>
                <w:color w:val="auto"/>
              </w:rPr>
              <w:t>Same-store cash NOI growth</w:t>
            </w:r>
          </w:p>
        </w:tc>
        <w:tc>
          <w:tcPr>
            <w:tcW w:w="14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25.0%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3.0%</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4.0%</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5.0%</w:t>
            </w:r>
          </w:p>
        </w:tc>
        <w:tc>
          <w:tcPr>
            <w:tcW w:w="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6.0%</w:t>
            </w:r>
          </w:p>
        </w:tc>
      </w:tr>
      <w:tr>
        <w:trPr>
          <w:trHeight w:val="20"/>
        </w:trPr>
        <w:tc>
          <w:tcPr>
            <w:tcW w:w="72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56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98A3B8"/>
          </w:tcPr>
          <w:p>
            <w:pPr>
              <w:spacing w:after="0" w:line="20" w:lineRule="exact"/>
              <w:rPr>
                <w:sz w:val="1"/>
                <w:szCs w:val="1"/>
                <w:color w:val="auto"/>
              </w:rPr>
            </w:pPr>
          </w:p>
        </w:tc>
        <w:tc>
          <w:tcPr>
            <w:tcW w:w="4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60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98A3B8"/>
          </w:tcPr>
          <w:p>
            <w:pPr>
              <w:spacing w:after="0" w:line="20" w:lineRule="exact"/>
              <w:rPr>
                <w:sz w:val="1"/>
                <w:szCs w:val="1"/>
                <w:color w:val="auto"/>
              </w:rPr>
            </w:pPr>
          </w:p>
        </w:tc>
      </w:tr>
      <w:tr>
        <w:trPr>
          <w:trHeight w:val="205"/>
        </w:trPr>
        <w:tc>
          <w:tcPr>
            <w:tcW w:w="7260" w:type="dxa"/>
            <w:vAlign w:val="bottom"/>
          </w:tcPr>
          <w:p>
            <w:pPr>
              <w:spacing w:after="0"/>
              <w:rPr>
                <w:sz w:val="20"/>
                <w:szCs w:val="20"/>
                <w:color w:val="auto"/>
              </w:rPr>
            </w:pPr>
            <w:r>
              <w:rPr>
                <w:rFonts w:ascii="Arial" w:cs="Arial" w:eastAsia="Arial" w:hAnsi="Arial"/>
                <w:sz w:val="15"/>
                <w:szCs w:val="15"/>
                <w:color w:val="auto"/>
              </w:rPr>
              <w:t>Dividend growth</w:t>
            </w:r>
          </w:p>
        </w:tc>
        <w:tc>
          <w:tcPr>
            <w:tcW w:w="14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20.0%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5.0%</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9.0%</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13.0%</w:t>
            </w:r>
          </w:p>
        </w:tc>
        <w:tc>
          <w:tcPr>
            <w:tcW w:w="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7.6%</w:t>
            </w:r>
          </w:p>
        </w:tc>
      </w:tr>
      <w:tr>
        <w:trPr>
          <w:trHeight w:val="20"/>
        </w:trPr>
        <w:tc>
          <w:tcPr>
            <w:tcW w:w="72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56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98A3B8"/>
          </w:tcPr>
          <w:p>
            <w:pPr>
              <w:spacing w:after="0" w:line="20" w:lineRule="exact"/>
              <w:rPr>
                <w:sz w:val="1"/>
                <w:szCs w:val="1"/>
                <w:color w:val="auto"/>
              </w:rPr>
            </w:pPr>
          </w:p>
        </w:tc>
        <w:tc>
          <w:tcPr>
            <w:tcW w:w="4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60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98A3B8"/>
          </w:tcPr>
          <w:p>
            <w:pPr>
              <w:spacing w:after="0" w:line="20" w:lineRule="exact"/>
              <w:rPr>
                <w:sz w:val="1"/>
                <w:szCs w:val="1"/>
                <w:color w:val="auto"/>
              </w:rPr>
            </w:pPr>
          </w:p>
        </w:tc>
      </w:tr>
      <w:tr>
        <w:trPr>
          <w:trHeight w:val="271"/>
        </w:trPr>
        <w:tc>
          <w:tcPr>
            <w:tcW w:w="7260" w:type="dxa"/>
            <w:vAlign w:val="bottom"/>
          </w:tcPr>
          <w:p>
            <w:pPr>
              <w:spacing w:after="0" w:line="271" w:lineRule="exact"/>
              <w:rPr>
                <w:sz w:val="20"/>
                <w:szCs w:val="20"/>
                <w:color w:val="auto"/>
              </w:rPr>
            </w:pPr>
            <w:r>
              <w:rPr>
                <w:rFonts w:ascii="Arial" w:cs="Arial" w:eastAsia="Arial" w:hAnsi="Arial"/>
                <w:sz w:val="15"/>
                <w:szCs w:val="15"/>
                <w:color w:val="auto"/>
              </w:rPr>
              <w:t>Relative TRS for 2016</w:t>
            </w:r>
            <w:r>
              <w:rPr>
                <w:rFonts w:ascii="Arial" w:cs="Arial" w:eastAsia="Arial" w:hAnsi="Arial"/>
                <w:sz w:val="25"/>
                <w:szCs w:val="25"/>
                <w:color w:val="auto"/>
                <w:vertAlign w:val="superscript"/>
              </w:rPr>
              <w:t>(1)</w:t>
            </w:r>
          </w:p>
        </w:tc>
        <w:tc>
          <w:tcPr>
            <w:tcW w:w="140" w:type="dxa"/>
            <w:vAlign w:val="bottom"/>
          </w:tcPr>
          <w:p>
            <w:pPr>
              <w:spacing w:after="0"/>
              <w:rPr>
                <w:sz w:val="23"/>
                <w:szCs w:val="2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15.0%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40th</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60th</w:t>
            </w:r>
          </w:p>
        </w:tc>
        <w:tc>
          <w:tcPr>
            <w:tcW w:w="140" w:type="dxa"/>
            <w:vAlign w:val="bottom"/>
          </w:tcPr>
          <w:p>
            <w:pPr>
              <w:spacing w:after="0"/>
              <w:rPr>
                <w:sz w:val="23"/>
                <w:szCs w:val="2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80th</w:t>
            </w:r>
          </w:p>
        </w:tc>
        <w:tc>
          <w:tcPr>
            <w:tcW w:w="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16th</w:t>
            </w:r>
          </w:p>
        </w:tc>
      </w:tr>
      <w:tr>
        <w:trPr>
          <w:trHeight w:val="20"/>
        </w:trPr>
        <w:tc>
          <w:tcPr>
            <w:tcW w:w="72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56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98A3B8"/>
          </w:tcPr>
          <w:p>
            <w:pPr>
              <w:spacing w:after="0" w:line="20" w:lineRule="exact"/>
              <w:rPr>
                <w:sz w:val="1"/>
                <w:szCs w:val="1"/>
                <w:color w:val="auto"/>
              </w:rPr>
            </w:pPr>
          </w:p>
        </w:tc>
        <w:tc>
          <w:tcPr>
            <w:tcW w:w="4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60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98A3B8"/>
          </w:tcPr>
          <w:p>
            <w:pPr>
              <w:spacing w:after="0" w:line="20" w:lineRule="exact"/>
              <w:rPr>
                <w:sz w:val="1"/>
                <w:szCs w:val="1"/>
                <w:color w:val="auto"/>
              </w:rPr>
            </w:pPr>
          </w:p>
        </w:tc>
      </w:tr>
      <w:tr>
        <w:trPr>
          <w:trHeight w:val="211"/>
        </w:trPr>
        <w:tc>
          <w:tcPr>
            <w:tcW w:w="7260" w:type="dxa"/>
            <w:vAlign w:val="bottom"/>
          </w:tcPr>
          <w:p>
            <w:pPr>
              <w:spacing w:after="0"/>
              <w:rPr>
                <w:sz w:val="20"/>
                <w:szCs w:val="20"/>
                <w:color w:val="auto"/>
              </w:rPr>
            </w:pPr>
            <w:r>
              <w:rPr>
                <w:rFonts w:ascii="Arial" w:cs="Arial" w:eastAsia="Arial" w:hAnsi="Arial"/>
                <w:sz w:val="15"/>
                <w:szCs w:val="15"/>
                <w:color w:val="auto"/>
              </w:rPr>
              <w:t>Absolute TRS for 2016</w:t>
            </w: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15.0%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5.0%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7.0%</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9.0%</w:t>
            </w: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-2.06%</w:t>
            </w:r>
          </w:p>
        </w:tc>
      </w:tr>
      <w:tr>
        <w:trPr>
          <w:trHeight w:val="30"/>
        </w:trPr>
        <w:tc>
          <w:tcPr>
            <w:tcW w:w="726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325889"/>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325889"/>
          </w:tcPr>
          <w:p>
            <w:pPr>
              <w:spacing w:after="0"/>
              <w:rPr>
                <w:sz w:val="2"/>
                <w:szCs w:val="2"/>
                <w:color w:val="auto"/>
              </w:rPr>
            </w:pPr>
          </w:p>
        </w:tc>
        <w:tc>
          <w:tcPr>
            <w:tcW w:w="560" w:type="dxa"/>
            <w:vAlign w:val="bottom"/>
            <w:shd w:val="clear" w:color="auto" w:fill="325889"/>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325889"/>
          </w:tcPr>
          <w:p>
            <w:pPr>
              <w:spacing w:after="0"/>
              <w:rPr>
                <w:sz w:val="2"/>
                <w:szCs w:val="2"/>
                <w:color w:val="auto"/>
              </w:rPr>
            </w:pPr>
          </w:p>
        </w:tc>
        <w:tc>
          <w:tcPr>
            <w:tcW w:w="48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325889"/>
          </w:tcPr>
          <w:p>
            <w:pPr>
              <w:spacing w:after="0"/>
              <w:rPr>
                <w:sz w:val="2"/>
                <w:szCs w:val="2"/>
                <w:color w:val="auto"/>
              </w:rPr>
            </w:pPr>
          </w:p>
        </w:tc>
        <w:tc>
          <w:tcPr>
            <w:tcW w:w="600" w:type="dxa"/>
            <w:vAlign w:val="bottom"/>
            <w:shd w:val="clear" w:color="auto" w:fill="325889"/>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shd w:val="clear" w:color="auto" w:fill="325889"/>
          </w:tcPr>
          <w:p>
            <w:pPr>
              <w:spacing w:after="0"/>
              <w:rPr>
                <w:sz w:val="2"/>
                <w:szCs w:val="2"/>
                <w:color w:val="auto"/>
              </w:rPr>
            </w:pPr>
          </w:p>
        </w:tc>
      </w:tr>
    </w:tbl>
    <w:p>
      <w:pPr>
        <w:spacing w:after="0" w:line="59" w:lineRule="exact"/>
        <w:rPr>
          <w:sz w:val="20"/>
          <w:szCs w:val="20"/>
          <w:color w:val="auto"/>
        </w:rPr>
      </w:pPr>
    </w:p>
    <w:p>
      <w:pPr>
        <w:ind w:left="305" w:hanging="305"/>
        <w:spacing w:after="0"/>
        <w:tabs>
          <w:tab w:leader="none" w:pos="305" w:val="left"/>
        </w:tabs>
        <w:numPr>
          <w:ilvl w:val="0"/>
          <w:numId w:val="33"/>
        </w:numPr>
        <w:rPr>
          <w:rFonts w:ascii="Arial" w:cs="Arial" w:eastAsia="Arial" w:hAnsi="Arial"/>
          <w:sz w:val="12"/>
          <w:szCs w:val="12"/>
          <w:color w:val="auto"/>
        </w:rPr>
      </w:pPr>
      <w:r>
        <w:rPr>
          <w:rFonts w:ascii="Arial" w:cs="Arial" w:eastAsia="Arial" w:hAnsi="Arial"/>
          <w:sz w:val="12"/>
          <w:szCs w:val="12"/>
          <w:color w:val="auto"/>
        </w:rPr>
        <w:t>Relative TRS for 2016 was based on the percentile of our TRS relative to the TRS of the constituents of the SNL US REIT Office Index.</w:t>
      </w:r>
    </w:p>
    <w:p>
      <w:pPr>
        <w:spacing w:after="0" w:line="51" w:lineRule="exact"/>
        <w:rPr>
          <w:rFonts w:ascii="Arial" w:cs="Arial" w:eastAsia="Arial" w:hAnsi="Arial"/>
          <w:sz w:val="12"/>
          <w:szCs w:val="12"/>
          <w:color w:val="auto"/>
        </w:rPr>
      </w:pPr>
    </w:p>
    <w:p>
      <w:pPr>
        <w:ind w:left="305" w:right="320" w:hanging="305"/>
        <w:spacing w:after="0" w:line="236" w:lineRule="auto"/>
        <w:tabs>
          <w:tab w:leader="none" w:pos="305" w:val="left"/>
        </w:tabs>
        <w:numPr>
          <w:ilvl w:val="0"/>
          <w:numId w:val="33"/>
        </w:numPr>
        <w:rPr>
          <w:rFonts w:ascii="Arial" w:cs="Arial" w:eastAsia="Arial" w:hAnsi="Arial"/>
          <w:sz w:val="12"/>
          <w:szCs w:val="12"/>
          <w:color w:val="auto"/>
        </w:rPr>
      </w:pPr>
      <w:r>
        <w:rPr>
          <w:rFonts w:ascii="Arial" w:cs="Arial" w:eastAsia="Arial" w:hAnsi="Arial"/>
          <w:sz w:val="12"/>
          <w:szCs w:val="12"/>
          <w:color w:val="auto"/>
        </w:rPr>
        <w:t>Represents normalized FFO per share of $7.08, which adjusts actual FFO per share of $8.29 to exclude $1.21 per share attributable to the write-off of accounting related balances and the 2017 portion of the lease termination fee related to the sale of 388-390 Greenwich Street to Citigroup, Inc.</w:t>
      </w:r>
    </w:p>
    <w:p>
      <w:pPr>
        <w:spacing w:after="0" w:line="183" w:lineRule="exact"/>
        <w:rPr>
          <w:sz w:val="20"/>
          <w:szCs w:val="20"/>
          <w:color w:val="auto"/>
        </w:rPr>
      </w:pPr>
    </w:p>
    <w:p>
      <w:pPr>
        <w:ind w:left="5" w:right="140"/>
        <w:spacing w:after="0" w:line="265" w:lineRule="auto"/>
        <w:rPr>
          <w:sz w:val="20"/>
          <w:szCs w:val="20"/>
          <w:color w:val="auto"/>
        </w:rPr>
      </w:pPr>
      <w:r>
        <w:rPr>
          <w:rFonts w:ascii="Arial" w:cs="Arial" w:eastAsia="Arial" w:hAnsi="Arial"/>
          <w:sz w:val="15"/>
          <w:szCs w:val="15"/>
          <w:color w:val="auto"/>
        </w:rPr>
        <w:t>The following table reflects the 2016 cash bonuses awarded to Messrs. Holliday, Green and Mathias pursuant to our annual cash bonus program, presented based on the maximum percentages of each executive’s base salary that can be earned:</w:t>
      </w:r>
    </w:p>
    <w:p>
      <w:pPr>
        <w:spacing w:after="0" w:line="148" w:lineRule="exact"/>
        <w:rPr>
          <w:sz w:val="20"/>
          <w:szCs w:val="20"/>
          <w:color w:val="auto"/>
        </w:rPr>
      </w:pPr>
    </w:p>
    <w:tbl>
      <w:tblPr>
        <w:tblLayout w:type="fixed"/>
        <w:tblInd w:w="5" w:type="dxa"/>
        <w:tblCellMar>
          <w:top w:w="0" w:type="dxa"/>
          <w:left w:w="0" w:type="dxa"/>
          <w:bottom w:w="0" w:type="dxa"/>
          <w:right w:w="0" w:type="dxa"/>
        </w:tblCellMar>
      </w:tblPr>
      <w:tr>
        <w:trPr>
          <w:trHeight w:val="145"/>
        </w:trPr>
        <w:tc>
          <w:tcPr>
            <w:tcW w:w="8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325889"/>
              </w:rPr>
              <w:t>Max Cash</w:t>
            </w:r>
          </w:p>
        </w:tc>
        <w:tc>
          <w:tcPr>
            <w:tcW w:w="84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325889"/>
                <w:w w:val="97"/>
              </w:rPr>
              <w:t>Actual Cash</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3"/>
        </w:trPr>
        <w:tc>
          <w:tcPr>
            <w:tcW w:w="8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325889"/>
              </w:rPr>
              <w:t>Bonus</w:t>
            </w:r>
          </w:p>
        </w:tc>
        <w:tc>
          <w:tcPr>
            <w:tcW w:w="84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325889"/>
              </w:rPr>
              <w:t>Bonus</w:t>
            </w: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b w:val="1"/>
                <w:bCs w:val="1"/>
                <w:color w:val="325889"/>
              </w:rPr>
              <w:t>Total</w:t>
            </w:r>
          </w:p>
        </w:tc>
      </w:tr>
      <w:tr>
        <w:trPr>
          <w:trHeight w:val="182"/>
        </w:trPr>
        <w:tc>
          <w:tcPr>
            <w:tcW w:w="8700" w:type="dxa"/>
            <w:vAlign w:val="bottom"/>
            <w:tcBorders>
              <w:bottom w:val="single" w:sz="8" w:color="325889"/>
            </w:tcBorders>
          </w:tcPr>
          <w:p>
            <w:pPr>
              <w:spacing w:after="0"/>
              <w:rPr>
                <w:sz w:val="20"/>
                <w:szCs w:val="20"/>
                <w:color w:val="auto"/>
              </w:rPr>
            </w:pPr>
            <w:r>
              <w:rPr>
                <w:rFonts w:ascii="Arial" w:cs="Arial" w:eastAsia="Arial" w:hAnsi="Arial"/>
                <w:sz w:val="12"/>
                <w:szCs w:val="12"/>
                <w:b w:val="1"/>
                <w:bCs w:val="1"/>
                <w:color w:val="auto"/>
              </w:rPr>
              <w:t>Executive</w:t>
            </w:r>
          </w:p>
        </w:tc>
        <w:tc>
          <w:tcPr>
            <w:tcW w:w="140" w:type="dxa"/>
            <w:vAlign w:val="bottom"/>
          </w:tcPr>
          <w:p>
            <w:pPr>
              <w:spacing w:after="0"/>
              <w:rPr>
                <w:sz w:val="15"/>
                <w:szCs w:val="15"/>
                <w:color w:val="auto"/>
              </w:rPr>
            </w:pPr>
          </w:p>
        </w:tc>
        <w:tc>
          <w:tcPr>
            <w:tcW w:w="620" w:type="dxa"/>
            <w:vAlign w:val="bottom"/>
            <w:tcBorders>
              <w:bottom w:val="single" w:sz="8" w:color="325889"/>
            </w:tcBorders>
          </w:tcPr>
          <w:p>
            <w:pPr>
              <w:jc w:val="right"/>
              <w:spacing w:after="0"/>
              <w:rPr>
                <w:sz w:val="20"/>
                <w:szCs w:val="20"/>
                <w:color w:val="auto"/>
              </w:rPr>
            </w:pPr>
            <w:r>
              <w:rPr>
                <w:rFonts w:ascii="Arial" w:cs="Arial" w:eastAsia="Arial" w:hAnsi="Arial"/>
                <w:sz w:val="12"/>
                <w:szCs w:val="12"/>
                <w:b w:val="1"/>
                <w:bCs w:val="1"/>
                <w:color w:val="325889"/>
              </w:rPr>
              <w:t>(%)</w:t>
            </w:r>
          </w:p>
        </w:tc>
        <w:tc>
          <w:tcPr>
            <w:tcW w:w="140" w:type="dxa"/>
            <w:vAlign w:val="bottom"/>
          </w:tcPr>
          <w:p>
            <w:pPr>
              <w:spacing w:after="0"/>
              <w:rPr>
                <w:sz w:val="15"/>
                <w:szCs w:val="15"/>
                <w:color w:val="auto"/>
              </w:rPr>
            </w:pPr>
          </w:p>
        </w:tc>
        <w:tc>
          <w:tcPr>
            <w:tcW w:w="700" w:type="dxa"/>
            <w:vAlign w:val="bottom"/>
            <w:tcBorders>
              <w:bottom w:val="single" w:sz="8" w:color="325889"/>
            </w:tcBorders>
          </w:tcPr>
          <w:p>
            <w:pPr>
              <w:jc w:val="right"/>
              <w:spacing w:after="0" w:line="178" w:lineRule="exact"/>
              <w:rPr>
                <w:sz w:val="20"/>
                <w:szCs w:val="20"/>
                <w:color w:val="auto"/>
              </w:rPr>
            </w:pPr>
            <w:r>
              <w:rPr>
                <w:rFonts w:ascii="Arial" w:cs="Arial" w:eastAsia="Arial" w:hAnsi="Arial"/>
                <w:sz w:val="12"/>
                <w:szCs w:val="12"/>
                <w:b w:val="1"/>
                <w:bCs w:val="1"/>
                <w:color w:val="325889"/>
              </w:rPr>
              <w:t>(%)</w:t>
            </w:r>
            <w:r>
              <w:rPr>
                <w:rFonts w:ascii="Arial" w:cs="Arial" w:eastAsia="Arial" w:hAnsi="Arial"/>
                <w:sz w:val="19"/>
                <w:szCs w:val="19"/>
                <w:b w:val="1"/>
                <w:bCs w:val="1"/>
                <w:color w:val="325889"/>
                <w:vertAlign w:val="superscript"/>
              </w:rPr>
              <w:t>(1)</w:t>
            </w:r>
          </w:p>
        </w:tc>
        <w:tc>
          <w:tcPr>
            <w:tcW w:w="140" w:type="dxa"/>
            <w:vAlign w:val="bottom"/>
          </w:tcPr>
          <w:p>
            <w:pPr>
              <w:spacing w:after="0"/>
              <w:rPr>
                <w:sz w:val="15"/>
                <w:szCs w:val="15"/>
                <w:color w:val="auto"/>
              </w:rPr>
            </w:pPr>
          </w:p>
        </w:tc>
        <w:tc>
          <w:tcPr>
            <w:tcW w:w="200" w:type="dxa"/>
            <w:vAlign w:val="bottom"/>
            <w:tcBorders>
              <w:bottom w:val="single" w:sz="8" w:color="325889"/>
            </w:tcBorders>
          </w:tcPr>
          <w:p>
            <w:pPr>
              <w:spacing w:after="0"/>
              <w:rPr>
                <w:sz w:val="15"/>
                <w:szCs w:val="15"/>
                <w:color w:val="auto"/>
              </w:rPr>
            </w:pPr>
          </w:p>
        </w:tc>
        <w:tc>
          <w:tcPr>
            <w:tcW w:w="800" w:type="dxa"/>
            <w:vAlign w:val="bottom"/>
            <w:tcBorders>
              <w:bottom w:val="single" w:sz="8" w:color="325889"/>
            </w:tcBorders>
          </w:tcPr>
          <w:p>
            <w:pPr>
              <w:jc w:val="right"/>
              <w:spacing w:after="0"/>
              <w:rPr>
                <w:sz w:val="20"/>
                <w:szCs w:val="20"/>
                <w:color w:val="auto"/>
              </w:rPr>
            </w:pPr>
            <w:r>
              <w:rPr>
                <w:rFonts w:ascii="Arial" w:cs="Arial" w:eastAsia="Arial" w:hAnsi="Arial"/>
                <w:sz w:val="12"/>
                <w:szCs w:val="12"/>
                <w:b w:val="1"/>
                <w:bCs w:val="1"/>
                <w:color w:val="325889"/>
              </w:rPr>
              <w:t>($)</w:t>
            </w:r>
          </w:p>
        </w:tc>
      </w:tr>
      <w:tr>
        <w:trPr>
          <w:trHeight w:val="207"/>
        </w:trPr>
        <w:tc>
          <w:tcPr>
            <w:tcW w:w="870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Marc Holliday</w:t>
            </w:r>
          </w:p>
        </w:tc>
        <w:tc>
          <w:tcPr>
            <w:tcW w:w="140" w:type="dxa"/>
            <w:vAlign w:val="bottom"/>
          </w:tcPr>
          <w:p>
            <w:pPr>
              <w:spacing w:after="0"/>
              <w:rPr>
                <w:sz w:val="17"/>
                <w:szCs w:val="17"/>
                <w:color w:val="auto"/>
              </w:rPr>
            </w:pPr>
          </w:p>
        </w:tc>
        <w:tc>
          <w:tcPr>
            <w:tcW w:w="6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300.00%</w:t>
            </w:r>
          </w:p>
        </w:tc>
        <w:tc>
          <w:tcPr>
            <w:tcW w:w="140" w:type="dxa"/>
            <w:vAlign w:val="bottom"/>
          </w:tcPr>
          <w:p>
            <w:pPr>
              <w:spacing w:after="0"/>
              <w:rPr>
                <w:sz w:val="17"/>
                <w:szCs w:val="17"/>
                <w:color w:val="auto"/>
              </w:rPr>
            </w:pPr>
          </w:p>
        </w:tc>
        <w:tc>
          <w:tcPr>
            <w:tcW w:w="7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183.19%</w:t>
            </w:r>
          </w:p>
        </w:tc>
        <w:tc>
          <w:tcPr>
            <w:tcW w:w="140" w:type="dxa"/>
            <w:vAlign w:val="bottom"/>
          </w:tcPr>
          <w:p>
            <w:pPr>
              <w:spacing w:after="0"/>
              <w:rPr>
                <w:sz w:val="17"/>
                <w:szCs w:val="17"/>
                <w:color w:val="auto"/>
              </w:rPr>
            </w:pPr>
          </w:p>
        </w:tc>
        <w:tc>
          <w:tcPr>
            <w:tcW w:w="200" w:type="dxa"/>
            <w:vAlign w:val="bottom"/>
            <w:tcBorders>
              <w:bottom w:val="single" w:sz="8" w:color="98A3B8"/>
            </w:tcBorders>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2,473,125</w:t>
            </w:r>
          </w:p>
        </w:tc>
      </w:tr>
      <w:tr>
        <w:trPr>
          <w:trHeight w:val="205"/>
        </w:trPr>
        <w:tc>
          <w:tcPr>
            <w:tcW w:w="870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Stephen L. Green</w:t>
            </w:r>
          </w:p>
        </w:tc>
        <w:tc>
          <w:tcPr>
            <w:tcW w:w="140" w:type="dxa"/>
            <w:vAlign w:val="bottom"/>
          </w:tcPr>
          <w:p>
            <w:pPr>
              <w:spacing w:after="0"/>
              <w:rPr>
                <w:sz w:val="17"/>
                <w:szCs w:val="17"/>
                <w:color w:val="auto"/>
              </w:rPr>
            </w:pPr>
          </w:p>
        </w:tc>
        <w:tc>
          <w:tcPr>
            <w:tcW w:w="6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250.00%</w:t>
            </w:r>
          </w:p>
        </w:tc>
        <w:tc>
          <w:tcPr>
            <w:tcW w:w="140" w:type="dxa"/>
            <w:vAlign w:val="bottom"/>
          </w:tcPr>
          <w:p>
            <w:pPr>
              <w:spacing w:after="0"/>
              <w:rPr>
                <w:sz w:val="17"/>
                <w:szCs w:val="17"/>
                <w:color w:val="auto"/>
              </w:rPr>
            </w:pPr>
          </w:p>
        </w:tc>
        <w:tc>
          <w:tcPr>
            <w:tcW w:w="7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154.90%</w:t>
            </w:r>
          </w:p>
        </w:tc>
        <w:tc>
          <w:tcPr>
            <w:tcW w:w="140" w:type="dxa"/>
            <w:vAlign w:val="bottom"/>
          </w:tcPr>
          <w:p>
            <w:pPr>
              <w:spacing w:after="0"/>
              <w:rPr>
                <w:sz w:val="17"/>
                <w:szCs w:val="17"/>
                <w:color w:val="auto"/>
              </w:rPr>
            </w:pPr>
          </w:p>
        </w:tc>
        <w:tc>
          <w:tcPr>
            <w:tcW w:w="200" w:type="dxa"/>
            <w:vAlign w:val="bottom"/>
            <w:tcBorders>
              <w:bottom w:val="single" w:sz="8" w:color="98A3B8"/>
            </w:tcBorders>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1,161,718</w:t>
            </w:r>
          </w:p>
        </w:tc>
      </w:tr>
      <w:tr>
        <w:trPr>
          <w:trHeight w:val="216"/>
        </w:trPr>
        <w:tc>
          <w:tcPr>
            <w:tcW w:w="8700" w:type="dxa"/>
            <w:vAlign w:val="bottom"/>
            <w:tcBorders>
              <w:bottom w:val="single" w:sz="8" w:color="325889"/>
            </w:tcBorders>
          </w:tcPr>
          <w:p>
            <w:pPr>
              <w:spacing w:after="0"/>
              <w:rPr>
                <w:sz w:val="20"/>
                <w:szCs w:val="20"/>
                <w:color w:val="auto"/>
              </w:rPr>
            </w:pPr>
            <w:r>
              <w:rPr>
                <w:rFonts w:ascii="Arial" w:cs="Arial" w:eastAsia="Arial" w:hAnsi="Arial"/>
                <w:sz w:val="15"/>
                <w:szCs w:val="15"/>
                <w:color w:val="auto"/>
              </w:rPr>
              <w:t>Andrew Mathias</w:t>
            </w:r>
          </w:p>
        </w:tc>
        <w:tc>
          <w:tcPr>
            <w:tcW w:w="140" w:type="dxa"/>
            <w:vAlign w:val="bottom"/>
          </w:tcPr>
          <w:p>
            <w:pPr>
              <w:spacing w:after="0"/>
              <w:rPr>
                <w:sz w:val="18"/>
                <w:szCs w:val="18"/>
                <w:color w:val="auto"/>
              </w:rPr>
            </w:pPr>
          </w:p>
        </w:tc>
        <w:tc>
          <w:tcPr>
            <w:tcW w:w="620" w:type="dxa"/>
            <w:vAlign w:val="bottom"/>
            <w:tcBorders>
              <w:bottom w:val="single" w:sz="8" w:color="325889"/>
            </w:tcBorders>
          </w:tcPr>
          <w:p>
            <w:pPr>
              <w:jc w:val="right"/>
              <w:spacing w:after="0"/>
              <w:rPr>
                <w:sz w:val="20"/>
                <w:szCs w:val="20"/>
                <w:color w:val="auto"/>
              </w:rPr>
            </w:pPr>
            <w:r>
              <w:rPr>
                <w:rFonts w:ascii="Arial" w:cs="Arial" w:eastAsia="Arial" w:hAnsi="Arial"/>
                <w:sz w:val="15"/>
                <w:szCs w:val="15"/>
                <w:color w:val="auto"/>
              </w:rPr>
              <w:t>250.00%</w:t>
            </w:r>
          </w:p>
        </w:tc>
        <w:tc>
          <w:tcPr>
            <w:tcW w:w="140" w:type="dxa"/>
            <w:vAlign w:val="bottom"/>
          </w:tcPr>
          <w:p>
            <w:pPr>
              <w:spacing w:after="0"/>
              <w:rPr>
                <w:sz w:val="18"/>
                <w:szCs w:val="18"/>
                <w:color w:val="auto"/>
              </w:rPr>
            </w:pPr>
          </w:p>
        </w:tc>
        <w:tc>
          <w:tcPr>
            <w:tcW w:w="700" w:type="dxa"/>
            <w:vAlign w:val="bottom"/>
            <w:tcBorders>
              <w:bottom w:val="single" w:sz="8" w:color="325889"/>
            </w:tcBorders>
          </w:tcPr>
          <w:p>
            <w:pPr>
              <w:jc w:val="right"/>
              <w:spacing w:after="0"/>
              <w:rPr>
                <w:sz w:val="20"/>
                <w:szCs w:val="20"/>
                <w:color w:val="auto"/>
              </w:rPr>
            </w:pPr>
            <w:r>
              <w:rPr>
                <w:rFonts w:ascii="Arial" w:cs="Arial" w:eastAsia="Arial" w:hAnsi="Arial"/>
                <w:sz w:val="15"/>
                <w:szCs w:val="15"/>
                <w:color w:val="auto"/>
              </w:rPr>
              <w:t>154.90%</w:t>
            </w:r>
          </w:p>
        </w:tc>
        <w:tc>
          <w:tcPr>
            <w:tcW w:w="140" w:type="dxa"/>
            <w:vAlign w:val="bottom"/>
          </w:tcPr>
          <w:p>
            <w:pPr>
              <w:spacing w:after="0"/>
              <w:rPr>
                <w:sz w:val="18"/>
                <w:szCs w:val="18"/>
                <w:color w:val="auto"/>
              </w:rPr>
            </w:pPr>
          </w:p>
        </w:tc>
        <w:tc>
          <w:tcPr>
            <w:tcW w:w="200" w:type="dxa"/>
            <w:vAlign w:val="bottom"/>
            <w:tcBorders>
              <w:bottom w:val="single" w:sz="8" w:color="325889"/>
            </w:tcBorders>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325889"/>
            </w:tcBorders>
          </w:tcPr>
          <w:p>
            <w:pPr>
              <w:jc w:val="right"/>
              <w:spacing w:after="0"/>
              <w:rPr>
                <w:sz w:val="20"/>
                <w:szCs w:val="20"/>
                <w:color w:val="auto"/>
              </w:rPr>
            </w:pPr>
            <w:r>
              <w:rPr>
                <w:rFonts w:ascii="Arial" w:cs="Arial" w:eastAsia="Arial" w:hAnsi="Arial"/>
                <w:sz w:val="15"/>
                <w:szCs w:val="15"/>
                <w:color w:val="auto"/>
              </w:rPr>
              <w:t>1,239,166</w:t>
            </w:r>
          </w:p>
        </w:tc>
      </w:tr>
    </w:tbl>
    <w:p>
      <w:pPr>
        <w:spacing w:after="0" w:line="59" w:lineRule="exact"/>
        <w:rPr>
          <w:sz w:val="20"/>
          <w:szCs w:val="20"/>
          <w:color w:val="auto"/>
        </w:rPr>
      </w:pPr>
    </w:p>
    <w:p>
      <w:pPr>
        <w:ind w:left="305" w:right="240" w:hanging="305"/>
        <w:spacing w:after="0" w:line="236" w:lineRule="auto"/>
        <w:tabs>
          <w:tab w:leader="none" w:pos="305" w:val="left"/>
        </w:tabs>
        <w:numPr>
          <w:ilvl w:val="0"/>
          <w:numId w:val="34"/>
        </w:numPr>
        <w:rPr>
          <w:rFonts w:ascii="Arial" w:cs="Arial" w:eastAsia="Arial" w:hAnsi="Arial"/>
          <w:sz w:val="12"/>
          <w:szCs w:val="12"/>
          <w:color w:val="auto"/>
        </w:rPr>
      </w:pPr>
      <w:r>
        <w:rPr>
          <w:rFonts w:ascii="Arial" w:cs="Arial" w:eastAsia="Arial" w:hAnsi="Arial"/>
          <w:sz w:val="12"/>
          <w:szCs w:val="12"/>
          <w:color w:val="auto"/>
        </w:rPr>
        <w:t>Consistent with the timing of prior years’ annual cash bonus determinations, payouts and determinations under the annual cash bonus program were made in December 2016 based on a combination of actual results through that point in time and estimates of full year results.</w:t>
      </w:r>
    </w:p>
    <w:p>
      <w:pPr>
        <w:spacing w:after="0" w:line="183" w:lineRule="exact"/>
        <w:rPr>
          <w:sz w:val="20"/>
          <w:szCs w:val="20"/>
          <w:color w:val="auto"/>
        </w:rPr>
      </w:pPr>
    </w:p>
    <w:p>
      <w:pPr>
        <w:ind w:left="5"/>
        <w:spacing w:after="0"/>
        <w:rPr>
          <w:sz w:val="20"/>
          <w:szCs w:val="20"/>
          <w:color w:val="auto"/>
        </w:rPr>
      </w:pPr>
      <w:r>
        <w:rPr>
          <w:rFonts w:ascii="Arial" w:cs="Arial" w:eastAsia="Arial" w:hAnsi="Arial"/>
          <w:sz w:val="15"/>
          <w:szCs w:val="15"/>
          <w:color w:val="auto"/>
        </w:rPr>
        <w:t>As a result of the rigor of the performance targets established by the Committee for our annual cash bonus program, the amounts paid to Messrs. Holliday, Green and</w:t>
      </w:r>
    </w:p>
    <w:p>
      <w:pPr>
        <w:spacing w:after="0" w:line="5" w:lineRule="exact"/>
        <w:rPr>
          <w:sz w:val="20"/>
          <w:szCs w:val="20"/>
          <w:color w:val="auto"/>
        </w:rPr>
      </w:pPr>
    </w:p>
    <w:p>
      <w:pPr>
        <w:ind w:left="5"/>
        <w:spacing w:after="0"/>
        <w:rPr>
          <w:sz w:val="20"/>
          <w:szCs w:val="20"/>
          <w:color w:val="auto"/>
        </w:rPr>
      </w:pPr>
      <w:r>
        <w:rPr>
          <w:rFonts w:ascii="Arial" w:cs="Arial" w:eastAsia="Arial" w:hAnsi="Arial"/>
          <w:sz w:val="15"/>
          <w:szCs w:val="15"/>
          <w:color w:val="auto"/>
        </w:rPr>
        <w:t>Mathias were significantly reduced for 2016 as compared to 2015, as set forth in the table below:</w:t>
      </w:r>
    </w:p>
    <w:p>
      <w:pPr>
        <w:spacing w:after="0" w:line="170" w:lineRule="exact"/>
        <w:rPr>
          <w:sz w:val="20"/>
          <w:szCs w:val="20"/>
          <w:color w:val="auto"/>
        </w:rPr>
      </w:pPr>
    </w:p>
    <w:tbl>
      <w:tblPr>
        <w:tblLayout w:type="fixed"/>
        <w:tblInd w:w="5" w:type="dxa"/>
        <w:tblCellMar>
          <w:top w:w="0" w:type="dxa"/>
          <w:left w:w="0" w:type="dxa"/>
          <w:bottom w:w="0" w:type="dxa"/>
          <w:right w:w="0" w:type="dxa"/>
        </w:tblCellMar>
      </w:tblPr>
      <w:tr>
        <w:trPr>
          <w:trHeight w:val="138"/>
        </w:trPr>
        <w:tc>
          <w:tcPr>
            <w:tcW w:w="7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325889"/>
              </w:rPr>
              <w:t>2015</w:t>
            </w:r>
          </w:p>
        </w:tc>
        <w:tc>
          <w:tcPr>
            <w:tcW w:w="100" w:type="dxa"/>
            <w:vAlign w:val="bottom"/>
          </w:tcPr>
          <w:p>
            <w:pPr>
              <w:spacing w:after="0"/>
              <w:rPr>
                <w:sz w:val="12"/>
                <w:szCs w:val="12"/>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325889"/>
              </w:rPr>
              <w:t>2016</w:t>
            </w:r>
          </w:p>
        </w:tc>
        <w:tc>
          <w:tcPr>
            <w:tcW w:w="700" w:type="dxa"/>
            <w:vAlign w:val="bottom"/>
            <w:vMerge w:val="restart"/>
          </w:tcPr>
          <w:p>
            <w:pPr>
              <w:jc w:val="right"/>
              <w:spacing w:after="0"/>
              <w:rPr>
                <w:sz w:val="20"/>
                <w:szCs w:val="20"/>
                <w:color w:val="auto"/>
              </w:rPr>
            </w:pPr>
            <w:r>
              <w:rPr>
                <w:rFonts w:ascii="Arial" w:cs="Arial" w:eastAsia="Arial" w:hAnsi="Arial"/>
                <w:sz w:val="12"/>
                <w:szCs w:val="12"/>
                <w:b w:val="1"/>
                <w:bCs w:val="1"/>
                <w:color w:val="325889"/>
                <w:w w:val="92"/>
              </w:rPr>
              <w:t>% Change</w:t>
            </w:r>
            <w:r>
              <w:rPr>
                <w:rFonts w:ascii="Arial" w:cs="Arial" w:eastAsia="Arial" w:hAnsi="Arial"/>
                <w:sz w:val="19"/>
                <w:szCs w:val="19"/>
                <w:b w:val="1"/>
                <w:bCs w:val="1"/>
                <w:color w:val="325889"/>
                <w:w w:val="92"/>
                <w:vertAlign w:val="superscript"/>
              </w:rPr>
              <w:t>(1)</w:t>
            </w:r>
          </w:p>
        </w:tc>
        <w:tc>
          <w:tcPr>
            <w:tcW w:w="0" w:type="dxa"/>
            <w:vAlign w:val="bottom"/>
          </w:tcPr>
          <w:p>
            <w:pPr>
              <w:spacing w:after="0"/>
              <w:rPr>
                <w:sz w:val="1"/>
                <w:szCs w:val="1"/>
                <w:color w:val="auto"/>
              </w:rPr>
            </w:pPr>
          </w:p>
        </w:tc>
      </w:tr>
      <w:tr>
        <w:trPr>
          <w:trHeight w:val="173"/>
        </w:trPr>
        <w:tc>
          <w:tcPr>
            <w:tcW w:w="7800" w:type="dxa"/>
            <w:vAlign w:val="bottom"/>
            <w:tcBorders>
              <w:bottom w:val="single" w:sz="8" w:color="325889"/>
            </w:tcBorders>
          </w:tcPr>
          <w:p>
            <w:pPr>
              <w:spacing w:after="0"/>
              <w:rPr>
                <w:sz w:val="20"/>
                <w:szCs w:val="20"/>
                <w:color w:val="auto"/>
              </w:rPr>
            </w:pPr>
            <w:r>
              <w:rPr>
                <w:rFonts w:ascii="Arial" w:cs="Arial" w:eastAsia="Arial" w:hAnsi="Arial"/>
                <w:sz w:val="12"/>
                <w:szCs w:val="12"/>
                <w:b w:val="1"/>
                <w:bCs w:val="1"/>
                <w:color w:val="auto"/>
              </w:rPr>
              <w:t>Executive</w:t>
            </w:r>
          </w:p>
        </w:tc>
        <w:tc>
          <w:tcPr>
            <w:tcW w:w="140" w:type="dxa"/>
            <w:vAlign w:val="bottom"/>
          </w:tcPr>
          <w:p>
            <w:pPr>
              <w:spacing w:after="0"/>
              <w:rPr>
                <w:sz w:val="15"/>
                <w:szCs w:val="15"/>
                <w:color w:val="auto"/>
              </w:rPr>
            </w:pPr>
          </w:p>
        </w:tc>
        <w:tc>
          <w:tcPr>
            <w:tcW w:w="100" w:type="dxa"/>
            <w:vAlign w:val="bottom"/>
            <w:tcBorders>
              <w:bottom w:val="single" w:sz="8" w:color="325889"/>
            </w:tcBorders>
          </w:tcPr>
          <w:p>
            <w:pPr>
              <w:spacing w:after="0"/>
              <w:rPr>
                <w:sz w:val="15"/>
                <w:szCs w:val="15"/>
                <w:color w:val="auto"/>
              </w:rPr>
            </w:pPr>
          </w:p>
        </w:tc>
        <w:tc>
          <w:tcPr>
            <w:tcW w:w="1160" w:type="dxa"/>
            <w:vAlign w:val="bottom"/>
            <w:tcBorders>
              <w:bottom w:val="single" w:sz="8" w:color="325889"/>
            </w:tcBorders>
          </w:tcPr>
          <w:p>
            <w:pPr>
              <w:jc w:val="right"/>
              <w:spacing w:after="0"/>
              <w:rPr>
                <w:sz w:val="20"/>
                <w:szCs w:val="20"/>
                <w:color w:val="auto"/>
              </w:rPr>
            </w:pPr>
            <w:r>
              <w:rPr>
                <w:rFonts w:ascii="Arial" w:cs="Arial" w:eastAsia="Arial" w:hAnsi="Arial"/>
                <w:sz w:val="12"/>
                <w:szCs w:val="12"/>
                <w:b w:val="1"/>
                <w:bCs w:val="1"/>
                <w:color w:val="325889"/>
                <w:w w:val="99"/>
              </w:rPr>
              <w:t>Annual Cash Bonus</w:t>
            </w:r>
          </w:p>
        </w:tc>
        <w:tc>
          <w:tcPr>
            <w:tcW w:w="140" w:type="dxa"/>
            <w:vAlign w:val="bottom"/>
          </w:tcPr>
          <w:p>
            <w:pPr>
              <w:spacing w:after="0"/>
              <w:rPr>
                <w:sz w:val="15"/>
                <w:szCs w:val="15"/>
                <w:color w:val="auto"/>
              </w:rPr>
            </w:pPr>
          </w:p>
        </w:tc>
        <w:tc>
          <w:tcPr>
            <w:tcW w:w="100" w:type="dxa"/>
            <w:vAlign w:val="bottom"/>
            <w:tcBorders>
              <w:bottom w:val="single" w:sz="8" w:color="325889"/>
            </w:tcBorders>
          </w:tcPr>
          <w:p>
            <w:pPr>
              <w:spacing w:after="0"/>
              <w:rPr>
                <w:sz w:val="15"/>
                <w:szCs w:val="15"/>
                <w:color w:val="auto"/>
              </w:rPr>
            </w:pPr>
          </w:p>
        </w:tc>
        <w:tc>
          <w:tcPr>
            <w:tcW w:w="1160" w:type="dxa"/>
            <w:vAlign w:val="bottom"/>
            <w:tcBorders>
              <w:bottom w:val="single" w:sz="8" w:color="325889"/>
            </w:tcBorders>
          </w:tcPr>
          <w:p>
            <w:pPr>
              <w:jc w:val="right"/>
              <w:spacing w:after="0"/>
              <w:rPr>
                <w:sz w:val="20"/>
                <w:szCs w:val="20"/>
                <w:color w:val="auto"/>
              </w:rPr>
            </w:pPr>
            <w:r>
              <w:rPr>
                <w:rFonts w:ascii="Arial" w:cs="Arial" w:eastAsia="Arial" w:hAnsi="Arial"/>
                <w:sz w:val="12"/>
                <w:szCs w:val="12"/>
                <w:b w:val="1"/>
                <w:bCs w:val="1"/>
                <w:color w:val="325889"/>
                <w:w w:val="99"/>
              </w:rPr>
              <w:t>Annual Cash Bonus</w:t>
            </w:r>
          </w:p>
        </w:tc>
        <w:tc>
          <w:tcPr>
            <w:tcW w:w="140" w:type="dxa"/>
            <w:vAlign w:val="bottom"/>
          </w:tcPr>
          <w:p>
            <w:pPr>
              <w:spacing w:after="0"/>
              <w:rPr>
                <w:sz w:val="15"/>
                <w:szCs w:val="15"/>
                <w:color w:val="auto"/>
              </w:rPr>
            </w:pPr>
          </w:p>
        </w:tc>
        <w:tc>
          <w:tcPr>
            <w:tcW w:w="700" w:type="dxa"/>
            <w:vAlign w:val="bottom"/>
            <w:tcBorders>
              <w:bottom w:val="single" w:sz="8" w:color="325889"/>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800" w:type="dxa"/>
            <w:vAlign w:val="bottom"/>
          </w:tcPr>
          <w:p>
            <w:pPr>
              <w:spacing w:after="0"/>
              <w:rPr>
                <w:sz w:val="20"/>
                <w:szCs w:val="20"/>
                <w:color w:val="auto"/>
              </w:rPr>
            </w:pPr>
            <w:r>
              <w:rPr>
                <w:rFonts w:ascii="Arial" w:cs="Arial" w:eastAsia="Arial" w:hAnsi="Arial"/>
                <w:sz w:val="15"/>
                <w:szCs w:val="15"/>
                <w:color w:val="auto"/>
              </w:rPr>
              <w:t>Marc Holliday</w:t>
            </w:r>
          </w:p>
        </w:tc>
        <w:tc>
          <w:tcPr>
            <w:tcW w:w="2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2,795,625</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2,473,125</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-11.5%</w:t>
            </w:r>
          </w:p>
        </w:tc>
        <w:tc>
          <w:tcPr>
            <w:tcW w:w="0" w:type="dxa"/>
            <w:vAlign w:val="bottom"/>
          </w:tcPr>
          <w:p>
            <w:pPr>
              <w:spacing w:after="0"/>
              <w:rPr>
                <w:sz w:val="1"/>
                <w:szCs w:val="1"/>
                <w:color w:val="auto"/>
              </w:rPr>
            </w:pPr>
          </w:p>
        </w:tc>
      </w:tr>
      <w:tr>
        <w:trPr>
          <w:trHeight w:val="20"/>
        </w:trPr>
        <w:tc>
          <w:tcPr>
            <w:tcW w:w="780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11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11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98A3B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800" w:type="dxa"/>
            <w:vAlign w:val="bottom"/>
          </w:tcPr>
          <w:p>
            <w:pPr>
              <w:spacing w:after="0"/>
              <w:rPr>
                <w:sz w:val="20"/>
                <w:szCs w:val="20"/>
                <w:color w:val="auto"/>
              </w:rPr>
            </w:pPr>
            <w:r>
              <w:rPr>
                <w:rFonts w:ascii="Arial" w:cs="Arial" w:eastAsia="Arial" w:hAnsi="Arial"/>
                <w:sz w:val="15"/>
                <w:szCs w:val="15"/>
                <w:color w:val="auto"/>
              </w:rPr>
              <w:t>Stephen L. Green</w:t>
            </w:r>
          </w:p>
        </w:tc>
        <w:tc>
          <w:tcPr>
            <w:tcW w:w="2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1,671,093</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1,161,718</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-30.5%</w:t>
            </w:r>
          </w:p>
        </w:tc>
        <w:tc>
          <w:tcPr>
            <w:tcW w:w="0" w:type="dxa"/>
            <w:vAlign w:val="bottom"/>
          </w:tcPr>
          <w:p>
            <w:pPr>
              <w:spacing w:after="0"/>
              <w:rPr>
                <w:sz w:val="1"/>
                <w:szCs w:val="1"/>
                <w:color w:val="auto"/>
              </w:rPr>
            </w:pPr>
          </w:p>
        </w:tc>
      </w:tr>
      <w:tr>
        <w:trPr>
          <w:trHeight w:val="20"/>
        </w:trPr>
        <w:tc>
          <w:tcPr>
            <w:tcW w:w="780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11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11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98A3B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800" w:type="dxa"/>
            <w:vAlign w:val="bottom"/>
          </w:tcPr>
          <w:p>
            <w:pPr>
              <w:spacing w:after="0"/>
              <w:rPr>
                <w:sz w:val="20"/>
                <w:szCs w:val="20"/>
                <w:color w:val="auto"/>
              </w:rPr>
            </w:pPr>
            <w:r>
              <w:rPr>
                <w:rFonts w:ascii="Arial" w:cs="Arial" w:eastAsia="Arial" w:hAnsi="Arial"/>
                <w:sz w:val="15"/>
                <w:szCs w:val="15"/>
                <w:color w:val="auto"/>
              </w:rPr>
              <w:t>Andrew Mathias</w:t>
            </w:r>
          </w:p>
        </w:tc>
        <w:tc>
          <w:tcPr>
            <w:tcW w:w="2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1,782,500</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1,239,166</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-30.5%</w:t>
            </w:r>
          </w:p>
        </w:tc>
        <w:tc>
          <w:tcPr>
            <w:tcW w:w="0" w:type="dxa"/>
            <w:vAlign w:val="bottom"/>
          </w:tcPr>
          <w:p>
            <w:pPr>
              <w:spacing w:after="0"/>
              <w:rPr>
                <w:sz w:val="1"/>
                <w:szCs w:val="1"/>
                <w:color w:val="auto"/>
              </w:rPr>
            </w:pPr>
          </w:p>
        </w:tc>
      </w:tr>
      <w:tr>
        <w:trPr>
          <w:trHeight w:val="30"/>
        </w:trPr>
        <w:tc>
          <w:tcPr>
            <w:tcW w:w="780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325889"/>
          </w:tcPr>
          <w:p>
            <w:pPr>
              <w:spacing w:after="0"/>
              <w:rPr>
                <w:sz w:val="2"/>
                <w:szCs w:val="2"/>
                <w:color w:val="auto"/>
              </w:rPr>
            </w:pPr>
          </w:p>
        </w:tc>
        <w:tc>
          <w:tcPr>
            <w:tcW w:w="116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325889"/>
          </w:tcPr>
          <w:p>
            <w:pPr>
              <w:spacing w:after="0"/>
              <w:rPr>
                <w:sz w:val="2"/>
                <w:szCs w:val="2"/>
                <w:color w:val="auto"/>
              </w:rPr>
            </w:pPr>
          </w:p>
        </w:tc>
        <w:tc>
          <w:tcPr>
            <w:tcW w:w="116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325889"/>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ind w:left="305" w:hanging="305"/>
        <w:spacing w:after="0"/>
        <w:tabs>
          <w:tab w:leader="none" w:pos="305"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decrease in annual cash bonus amount paid to Mr. Holliday was partially offset by the increase in total bonus opportunity resulting from the corresponding increase in Mr. Holliday’s 2016 base salary.</w:t>
      </w:r>
    </w:p>
    <w:p>
      <w:pPr>
        <w:spacing w:after="0" w:line="168" w:lineRule="exact"/>
        <w:rPr>
          <w:sz w:val="20"/>
          <w:szCs w:val="20"/>
          <w:color w:val="auto"/>
        </w:rPr>
      </w:pPr>
    </w:p>
    <w:p>
      <w:pPr>
        <w:ind w:left="5"/>
        <w:spacing w:after="0"/>
        <w:rPr>
          <w:sz w:val="20"/>
          <w:szCs w:val="20"/>
          <w:color w:val="auto"/>
        </w:rPr>
      </w:pPr>
      <w:r>
        <w:rPr>
          <w:rFonts w:ascii="Arial" w:cs="Arial" w:eastAsia="Arial" w:hAnsi="Arial"/>
          <w:sz w:val="12"/>
          <w:szCs w:val="12"/>
          <w:b w:val="1"/>
          <w:bCs w:val="1"/>
          <w:color w:val="325889"/>
        </w:rPr>
        <w:t>Annual Equity Bonuses (Top Three Named Executive Officers)</w:t>
      </w:r>
    </w:p>
    <w:p>
      <w:pPr>
        <w:spacing w:after="0" w:line="200" w:lineRule="exact"/>
        <w:rPr>
          <w:sz w:val="20"/>
          <w:szCs w:val="20"/>
          <w:color w:val="auto"/>
        </w:rPr>
      </w:pPr>
    </w:p>
    <w:p>
      <w:pPr>
        <w:ind w:left="5" w:right="40"/>
        <w:spacing w:after="0" w:line="249" w:lineRule="auto"/>
        <w:rPr>
          <w:sz w:val="20"/>
          <w:szCs w:val="20"/>
          <w:color w:val="auto"/>
        </w:rPr>
      </w:pPr>
      <w:r>
        <w:rPr>
          <w:rFonts w:ascii="Arial" w:cs="Arial" w:eastAsia="Arial" w:hAnsi="Arial"/>
          <w:sz w:val="15"/>
          <w:szCs w:val="15"/>
          <w:color w:val="auto"/>
        </w:rPr>
        <w:t>We also maintain an equity bonus program for our top three named executive officers, which provides annual bonuses that are determined by the Committee, in its discretion, based on the short-term and long-term performance of our Company and the executive, the Committee’s view of appropriate annual incentive awards in light of the executive’s historical compensation, skill, experience and position, competitive market factors and such other factors as are determined appropriate by the Committee. In making these awards for 2016, the Committee sought to find a balance between (i) acknowledging the significant operational achievements attained during the year, as highlighted above, (ii) ensuring that annual incentive award and total compensation amounts were in line with the prevailing market and adequate to address recruitment and retention needs in the competitive New York City commercial real estate markets where we actively compete for business opportunities and executive talent with other publicly-traded REITs, private real estate operating companies, opportunity funds and sovereign wealth funds, among others, (iii) continuing to ensure our compensation programs create alignment of management and stockholder interests by appropriately rewarding our named executive officers for the attainment of performance achievements that drive long-term value creation and (iv) rewarding our continued superior</w:t>
      </w:r>
    </w:p>
    <w:p>
      <w:pPr>
        <w:spacing w:after="0" w:line="181" w:lineRule="exact"/>
        <w:rPr>
          <w:sz w:val="20"/>
          <w:szCs w:val="20"/>
          <w:color w:val="auto"/>
        </w:rPr>
      </w:pPr>
    </w:p>
    <w:p>
      <w:pPr>
        <w:ind w:left="265" w:hanging="265"/>
        <w:spacing w:after="0"/>
        <w:tabs>
          <w:tab w:leader="none" w:pos="265" w:val="left"/>
        </w:tabs>
        <w:numPr>
          <w:ilvl w:val="0"/>
          <w:numId w:val="36"/>
        </w:numPr>
        <w:rPr>
          <w:rFonts w:ascii="Arial" w:cs="Arial" w:eastAsia="Arial" w:hAnsi="Arial"/>
          <w:sz w:val="15"/>
          <w:szCs w:val="15"/>
          <w:color w:val="325889"/>
        </w:rPr>
      </w:pPr>
      <w:r>
        <w:rPr>
          <w:rFonts w:ascii="Arial" w:cs="Arial" w:eastAsia="Arial" w:hAnsi="Arial"/>
          <w:sz w:val="15"/>
          <w:szCs w:val="15"/>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83450" cy="20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5"/>
          </w:cols>
          <w:pgMar w:left="235" w:top="528" w:right="219" w:bottom="1440" w:gutter="0" w:footer="0" w:header="0"/>
        </w:sectPr>
      </w:pPr>
    </w:p>
    <w:bookmarkStart w:id="30" w:name="page31"/>
    <w:bookmarkEnd w:id="30"/>
    <w:p>
      <w:pPr>
        <w:ind w:left="5"/>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ind w:left="9285"/>
        <w:spacing w:after="0"/>
        <w:rPr>
          <w:sz w:val="20"/>
          <w:szCs w:val="20"/>
          <w:color w:val="auto"/>
        </w:rPr>
      </w:pPr>
      <w:r>
        <w:rPr>
          <w:rFonts w:ascii="Arial" w:cs="Arial" w:eastAsia="Arial" w:hAnsi="Arial"/>
          <w:sz w:val="15"/>
          <w:szCs w:val="15"/>
          <w:u w:val="single" w:color="auto"/>
          <w:color w:val="325889"/>
        </w:rPr>
        <w:t>EXECUTIVE COMPENSATION</w:t>
      </w:r>
    </w:p>
    <w:p>
      <w:pPr>
        <w:spacing w:after="0" w:line="195" w:lineRule="exact"/>
        <w:rPr>
          <w:sz w:val="20"/>
          <w:szCs w:val="20"/>
          <w:color w:val="auto"/>
        </w:rPr>
      </w:pPr>
    </w:p>
    <w:p>
      <w:pPr>
        <w:ind w:left="5" w:right="60"/>
        <w:spacing w:after="0" w:line="265" w:lineRule="auto"/>
        <w:rPr>
          <w:sz w:val="20"/>
          <w:szCs w:val="20"/>
          <w:color w:val="auto"/>
        </w:rPr>
      </w:pPr>
      <w:r>
        <w:rPr>
          <w:rFonts w:ascii="Arial" w:cs="Arial" w:eastAsia="Arial" w:hAnsi="Arial"/>
          <w:sz w:val="15"/>
          <w:szCs w:val="15"/>
          <w:color w:val="auto"/>
        </w:rPr>
        <w:t>long-term TRS performance as balanced against our disappointing short-term TRS performance. In addition, the Committee based its decisions on our performance as compared to specific company goals and objectives for 2016 that were presented at the 2015 investor day conference, which are repeated below:</w:t>
      </w:r>
    </w:p>
    <w:p>
      <w:pPr>
        <w:sectPr>
          <w:pgSz w:w="11900" w:h="16838" w:orient="portrait"/>
          <w:cols w:equalWidth="0" w:num="1">
            <w:col w:w="11445"/>
          </w:cols>
          <w:pgMar w:left="235" w:top="528" w:right="219" w:bottom="1440" w:gutter="0" w:footer="0" w:header="0"/>
        </w:sectPr>
      </w:pPr>
    </w:p>
    <w:p>
      <w:pPr>
        <w:spacing w:after="0" w:line="207" w:lineRule="exact"/>
        <w:rPr>
          <w:sz w:val="20"/>
          <w:szCs w:val="20"/>
          <w:color w:val="auto"/>
        </w:rPr>
      </w:pPr>
    </w:p>
    <w:p>
      <w:pPr>
        <w:ind w:left="5"/>
        <w:spacing w:after="0"/>
        <w:rPr>
          <w:sz w:val="20"/>
          <w:szCs w:val="20"/>
          <w:color w:val="auto"/>
        </w:rPr>
      </w:pPr>
      <w:r>
        <w:rPr>
          <w:rFonts w:ascii="Arial" w:cs="Arial" w:eastAsia="Arial" w:hAnsi="Arial"/>
          <w:sz w:val="12"/>
          <w:szCs w:val="12"/>
          <w:b w:val="1"/>
          <w:bCs w:val="1"/>
          <w:color w:val="auto"/>
        </w:rPr>
        <w:t>2016 Goals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5530215"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530215" cy="15240"/>
                    </a:xfrm>
                    <a:prstGeom prst="rect">
                      <a:avLst/>
                    </a:prstGeom>
                    <a:noFill/>
                  </pic:spPr>
                </pic:pic>
              </a:graphicData>
            </a:graphic>
          </wp:anchor>
        </w:drawing>
      </w:r>
    </w:p>
    <w:p>
      <w:pPr>
        <w:spacing w:after="0" w:line="70" w:lineRule="exact"/>
        <w:rPr>
          <w:sz w:val="20"/>
          <w:szCs w:val="20"/>
          <w:color w:val="auto"/>
        </w:rPr>
      </w:pPr>
    </w:p>
    <w:p>
      <w:pPr>
        <w:ind w:left="5"/>
        <w:spacing w:after="0"/>
        <w:rPr>
          <w:sz w:val="20"/>
          <w:szCs w:val="20"/>
          <w:color w:val="auto"/>
        </w:rPr>
      </w:pPr>
      <w:r>
        <w:rPr>
          <w:rFonts w:ascii="Arial" w:cs="Arial" w:eastAsia="Arial" w:hAnsi="Arial"/>
          <w:sz w:val="15"/>
          <w:szCs w:val="15"/>
          <w:color w:val="auto"/>
        </w:rPr>
        <w:t>2,600,000 square feet of Manhattan leases signed</w:t>
      </w:r>
      <w:r>
        <w:rPr>
          <w:rFonts w:ascii="Arial" w:cs="Arial" w:eastAsia="Arial" w:hAnsi="Arial"/>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5530215"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530215" cy="7620"/>
                    </a:xfrm>
                    <a:prstGeom prst="rect">
                      <a:avLst/>
                    </a:prstGeom>
                    <a:noFill/>
                  </pic:spPr>
                </pic:pic>
              </a:graphicData>
            </a:graphic>
          </wp:anchor>
        </w:drawing>
      </w:r>
    </w:p>
    <w:p>
      <w:pPr>
        <w:ind w:left="5"/>
        <w:spacing w:after="0"/>
        <w:rPr>
          <w:sz w:val="20"/>
          <w:szCs w:val="20"/>
          <w:color w:val="auto"/>
        </w:rPr>
      </w:pPr>
      <w:r>
        <w:rPr>
          <w:rFonts w:ascii="Arial" w:cs="Arial" w:eastAsia="Arial" w:hAnsi="Arial"/>
          <w:sz w:val="15"/>
          <w:szCs w:val="15"/>
          <w:color w:val="auto"/>
        </w:rPr>
        <w:t>97% or greater same-store Manhattan portfolio leased occupancy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553021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530215" cy="7620"/>
                    </a:xfrm>
                    <a:prstGeom prst="rect">
                      <a:avLst/>
                    </a:prstGeom>
                    <a:noFill/>
                  </pic:spPr>
                </pic:pic>
              </a:graphicData>
            </a:graphic>
          </wp:anchor>
        </w:drawing>
      </w:r>
    </w:p>
    <w:p>
      <w:pPr>
        <w:spacing w:after="0" w:line="33" w:lineRule="exact"/>
        <w:rPr>
          <w:sz w:val="20"/>
          <w:szCs w:val="20"/>
          <w:color w:val="auto"/>
        </w:rPr>
      </w:pPr>
    </w:p>
    <w:p>
      <w:pPr>
        <w:ind w:left="5"/>
        <w:spacing w:after="0"/>
        <w:rPr>
          <w:sz w:val="20"/>
          <w:szCs w:val="20"/>
          <w:color w:val="auto"/>
        </w:rPr>
      </w:pPr>
      <w:r>
        <w:rPr>
          <w:rFonts w:ascii="Arial" w:cs="Arial" w:eastAsia="Arial" w:hAnsi="Arial"/>
          <w:sz w:val="15"/>
          <w:szCs w:val="15"/>
          <w:color w:val="auto"/>
        </w:rPr>
        <w:t>13-16% mark-to-market on signed Manhattan office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553021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30215" cy="7620"/>
                    </a:xfrm>
                    <a:prstGeom prst="rect">
                      <a:avLst/>
                    </a:prstGeom>
                    <a:noFill/>
                  </pic:spPr>
                </pic:pic>
              </a:graphicData>
            </a:graphic>
          </wp:anchor>
        </w:drawing>
      </w:r>
    </w:p>
    <w:p>
      <w:pPr>
        <w:spacing w:after="0" w:line="33" w:lineRule="exact"/>
        <w:rPr>
          <w:sz w:val="20"/>
          <w:szCs w:val="20"/>
          <w:color w:val="auto"/>
        </w:rPr>
      </w:pPr>
    </w:p>
    <w:p>
      <w:pPr>
        <w:ind w:left="5"/>
        <w:spacing w:after="0"/>
        <w:rPr>
          <w:sz w:val="20"/>
          <w:szCs w:val="20"/>
          <w:color w:val="auto"/>
        </w:rPr>
      </w:pPr>
      <w:r>
        <w:rPr>
          <w:rFonts w:ascii="Arial" w:cs="Arial" w:eastAsia="Arial" w:hAnsi="Arial"/>
          <w:sz w:val="15"/>
          <w:szCs w:val="15"/>
          <w:color w:val="auto"/>
        </w:rPr>
        <w:t>6.0% same-store cash NOI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5530215"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530215" cy="7620"/>
                    </a:xfrm>
                    <a:prstGeom prst="rect">
                      <a:avLst/>
                    </a:prstGeom>
                    <a:noFill/>
                  </pic:spPr>
                </pic:pic>
              </a:graphicData>
            </a:graphic>
          </wp:anchor>
        </w:drawing>
      </w:r>
    </w:p>
    <w:p>
      <w:pPr>
        <w:spacing w:after="0" w:line="33" w:lineRule="exact"/>
        <w:rPr>
          <w:sz w:val="20"/>
          <w:szCs w:val="20"/>
          <w:color w:val="auto"/>
        </w:rPr>
      </w:pPr>
    </w:p>
    <w:p>
      <w:pPr>
        <w:ind w:left="5"/>
        <w:spacing w:after="0"/>
        <w:rPr>
          <w:sz w:val="20"/>
          <w:szCs w:val="20"/>
          <w:color w:val="auto"/>
        </w:rPr>
      </w:pPr>
      <w:r>
        <w:rPr>
          <w:rFonts w:ascii="Arial" w:cs="Arial" w:eastAsia="Arial" w:hAnsi="Arial"/>
          <w:sz w:val="15"/>
          <w:szCs w:val="15"/>
          <w:color w:val="auto"/>
        </w:rPr>
        <w:t>Increase growth portfolio NOI by $28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5530215"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530215" cy="7620"/>
                    </a:xfrm>
                    <a:prstGeom prst="rect">
                      <a:avLst/>
                    </a:prstGeom>
                    <a:noFill/>
                  </pic:spPr>
                </pic:pic>
              </a:graphicData>
            </a:graphic>
          </wp:anchor>
        </w:drawing>
      </w:r>
    </w:p>
    <w:p>
      <w:pPr>
        <w:spacing w:after="0" w:line="45" w:lineRule="exact"/>
        <w:rPr>
          <w:sz w:val="20"/>
          <w:szCs w:val="20"/>
          <w:color w:val="auto"/>
        </w:rPr>
      </w:pPr>
    </w:p>
    <w:p>
      <w:pPr>
        <w:ind w:left="5"/>
        <w:spacing w:after="0"/>
        <w:rPr>
          <w:sz w:val="20"/>
          <w:szCs w:val="20"/>
          <w:color w:val="auto"/>
        </w:rPr>
      </w:pPr>
      <w:r>
        <w:rPr>
          <w:rFonts w:ascii="Arial" w:cs="Arial" w:eastAsia="Arial" w:hAnsi="Arial"/>
          <w:sz w:val="15"/>
          <w:szCs w:val="15"/>
          <w:color w:val="auto"/>
        </w:rPr>
        <w:t>$1 billion of office property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5530215"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530215" cy="7620"/>
                    </a:xfrm>
                    <a:prstGeom prst="rect">
                      <a:avLst/>
                    </a:prstGeom>
                    <a:noFill/>
                  </pic:spPr>
                </pic:pic>
              </a:graphicData>
            </a:graphic>
          </wp:anchor>
        </w:drawing>
      </w:r>
    </w:p>
    <w:p>
      <w:pPr>
        <w:spacing w:after="0" w:line="45" w:lineRule="exact"/>
        <w:rPr>
          <w:sz w:val="20"/>
          <w:szCs w:val="20"/>
          <w:color w:val="auto"/>
        </w:rPr>
      </w:pPr>
    </w:p>
    <w:p>
      <w:pPr>
        <w:ind w:left="5"/>
        <w:spacing w:after="0"/>
        <w:rPr>
          <w:sz w:val="20"/>
          <w:szCs w:val="20"/>
          <w:color w:val="auto"/>
        </w:rPr>
      </w:pPr>
      <w:r>
        <w:rPr>
          <w:rFonts w:ascii="Arial" w:cs="Arial" w:eastAsia="Arial" w:hAnsi="Arial"/>
          <w:sz w:val="15"/>
          <w:szCs w:val="15"/>
          <w:color w:val="auto"/>
        </w:rPr>
        <w:t>$750 million of office property dispositions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5530215"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530215" cy="7620"/>
                    </a:xfrm>
                    <a:prstGeom prst="rect">
                      <a:avLst/>
                    </a:prstGeom>
                    <a:noFill/>
                  </pic:spPr>
                </pic:pic>
              </a:graphicData>
            </a:graphic>
          </wp:anchor>
        </w:drawing>
      </w:r>
    </w:p>
    <w:p>
      <w:pPr>
        <w:spacing w:after="0" w:line="45" w:lineRule="exact"/>
        <w:rPr>
          <w:sz w:val="20"/>
          <w:szCs w:val="20"/>
          <w:color w:val="auto"/>
        </w:rPr>
      </w:pPr>
    </w:p>
    <w:p>
      <w:pPr>
        <w:ind w:left="5"/>
        <w:spacing w:after="0"/>
        <w:rPr>
          <w:sz w:val="20"/>
          <w:szCs w:val="20"/>
          <w:color w:val="auto"/>
        </w:rPr>
      </w:pPr>
      <w:r>
        <w:rPr>
          <w:rFonts w:ascii="Arial" w:cs="Arial" w:eastAsia="Arial" w:hAnsi="Arial"/>
          <w:sz w:val="15"/>
          <w:szCs w:val="15"/>
          <w:color w:val="auto"/>
        </w:rPr>
        <w:t>$500 million of retail/residential property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5530215"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530215" cy="7620"/>
                    </a:xfrm>
                    <a:prstGeom prst="rect">
                      <a:avLst/>
                    </a:prstGeom>
                    <a:noFill/>
                  </pic:spPr>
                </pic:pic>
              </a:graphicData>
            </a:graphic>
          </wp:anchor>
        </w:drawing>
      </w:r>
    </w:p>
    <w:p>
      <w:pPr>
        <w:spacing w:after="0" w:line="45" w:lineRule="exact"/>
        <w:rPr>
          <w:sz w:val="20"/>
          <w:szCs w:val="20"/>
          <w:color w:val="auto"/>
        </w:rPr>
      </w:pPr>
    </w:p>
    <w:p>
      <w:pPr>
        <w:ind w:left="5"/>
        <w:spacing w:after="0"/>
        <w:rPr>
          <w:sz w:val="20"/>
          <w:szCs w:val="20"/>
          <w:color w:val="auto"/>
        </w:rPr>
      </w:pPr>
      <w:r>
        <w:rPr>
          <w:rFonts w:ascii="Arial" w:cs="Arial" w:eastAsia="Arial" w:hAnsi="Arial"/>
          <w:sz w:val="15"/>
          <w:szCs w:val="15"/>
          <w:color w:val="auto"/>
        </w:rPr>
        <w:t>$100 million of retail/residential property dispositions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553021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30215" cy="7620"/>
                    </a:xfrm>
                    <a:prstGeom prst="rect">
                      <a:avLst/>
                    </a:prstGeom>
                    <a:noFill/>
                  </pic:spPr>
                </pic:pic>
              </a:graphicData>
            </a:graphic>
          </wp:anchor>
        </w:drawing>
      </w:r>
    </w:p>
    <w:p>
      <w:pPr>
        <w:spacing w:after="0" w:line="45" w:lineRule="exact"/>
        <w:rPr>
          <w:sz w:val="20"/>
          <w:szCs w:val="20"/>
          <w:color w:val="auto"/>
        </w:rPr>
      </w:pPr>
    </w:p>
    <w:p>
      <w:pPr>
        <w:ind w:left="5"/>
        <w:spacing w:after="0"/>
        <w:rPr>
          <w:sz w:val="20"/>
          <w:szCs w:val="20"/>
          <w:color w:val="auto"/>
        </w:rPr>
      </w:pPr>
      <w:r>
        <w:rPr>
          <w:rFonts w:ascii="Arial" w:cs="Arial" w:eastAsia="Arial" w:hAnsi="Arial"/>
          <w:sz w:val="15"/>
          <w:szCs w:val="15"/>
          <w:color w:val="auto"/>
        </w:rPr>
        <w:t>$150 million increase of debt and preferred equity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553021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30215" cy="7620"/>
                    </a:xfrm>
                    <a:prstGeom prst="rect">
                      <a:avLst/>
                    </a:prstGeom>
                    <a:noFill/>
                  </pic:spPr>
                </pic:pic>
              </a:graphicData>
            </a:graphic>
          </wp:anchor>
        </w:drawing>
      </w:r>
    </w:p>
    <w:p>
      <w:pPr>
        <w:spacing w:after="0" w:line="45" w:lineRule="exact"/>
        <w:rPr>
          <w:sz w:val="20"/>
          <w:szCs w:val="20"/>
          <w:color w:val="auto"/>
        </w:rPr>
      </w:pPr>
    </w:p>
    <w:p>
      <w:pPr>
        <w:ind w:left="5"/>
        <w:spacing w:after="0"/>
        <w:rPr>
          <w:sz w:val="20"/>
          <w:szCs w:val="20"/>
          <w:color w:val="auto"/>
        </w:rPr>
      </w:pPr>
      <w:r>
        <w:rPr>
          <w:rFonts w:ascii="Arial" w:cs="Arial" w:eastAsia="Arial" w:hAnsi="Arial"/>
          <w:sz w:val="15"/>
          <w:szCs w:val="15"/>
          <w:color w:val="auto"/>
        </w:rPr>
        <w:t>$200 million of debt and preferred equity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5530215"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30215" cy="7620"/>
                    </a:xfrm>
                    <a:prstGeom prst="rect">
                      <a:avLst/>
                    </a:prstGeom>
                    <a:noFill/>
                  </pic:spPr>
                </pic:pic>
              </a:graphicData>
            </a:graphic>
          </wp:anchor>
        </w:drawing>
      </w:r>
    </w:p>
    <w:p>
      <w:pPr>
        <w:spacing w:after="0" w:line="45" w:lineRule="exact"/>
        <w:rPr>
          <w:sz w:val="20"/>
          <w:szCs w:val="20"/>
          <w:color w:val="auto"/>
        </w:rPr>
      </w:pPr>
    </w:p>
    <w:p>
      <w:pPr>
        <w:ind w:left="5"/>
        <w:spacing w:after="0"/>
        <w:rPr>
          <w:sz w:val="20"/>
          <w:szCs w:val="20"/>
          <w:color w:val="auto"/>
        </w:rPr>
      </w:pPr>
      <w:r>
        <w:rPr>
          <w:rFonts w:ascii="Arial" w:cs="Arial" w:eastAsia="Arial" w:hAnsi="Arial"/>
          <w:sz w:val="15"/>
          <w:szCs w:val="15"/>
          <w:color w:val="auto"/>
        </w:rPr>
        <w:t>$400 million of Federal Home Loan Bank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5530215"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30215" cy="7620"/>
                    </a:xfrm>
                    <a:prstGeom prst="rect">
                      <a:avLst/>
                    </a:prstGeom>
                    <a:noFill/>
                  </pic:spPr>
                </pic:pic>
              </a:graphicData>
            </a:graphic>
          </wp:anchor>
        </w:drawing>
      </w:r>
    </w:p>
    <w:p>
      <w:pPr>
        <w:spacing w:after="0" w:line="45" w:lineRule="exact"/>
        <w:rPr>
          <w:sz w:val="20"/>
          <w:szCs w:val="20"/>
          <w:color w:val="auto"/>
        </w:rPr>
      </w:pPr>
    </w:p>
    <w:p>
      <w:pPr>
        <w:ind w:left="5"/>
        <w:spacing w:after="0"/>
        <w:rPr>
          <w:sz w:val="20"/>
          <w:szCs w:val="20"/>
          <w:color w:val="auto"/>
        </w:rPr>
      </w:pPr>
      <w:r>
        <w:rPr>
          <w:rFonts w:ascii="Arial" w:cs="Arial" w:eastAsia="Arial" w:hAnsi="Arial"/>
          <w:sz w:val="15"/>
          <w:szCs w:val="15"/>
          <w:color w:val="auto"/>
        </w:rPr>
        <w:t>Create more than $500 million of incremental retail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5530215"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30215" cy="7620"/>
                    </a:xfrm>
                    <a:prstGeom prst="rect">
                      <a:avLst/>
                    </a:prstGeom>
                    <a:noFill/>
                  </pic:spPr>
                </pic:pic>
              </a:graphicData>
            </a:graphic>
          </wp:anchor>
        </w:drawing>
      </w:r>
    </w:p>
    <w:p>
      <w:pPr>
        <w:spacing w:after="0" w:line="45" w:lineRule="exact"/>
        <w:rPr>
          <w:sz w:val="20"/>
          <w:szCs w:val="20"/>
          <w:color w:val="auto"/>
        </w:rPr>
      </w:pPr>
    </w:p>
    <w:p>
      <w:pPr>
        <w:ind w:left="5"/>
        <w:spacing w:after="0"/>
        <w:rPr>
          <w:sz w:val="20"/>
          <w:szCs w:val="20"/>
          <w:color w:val="auto"/>
        </w:rPr>
      </w:pPr>
      <w:r>
        <w:rPr>
          <w:rFonts w:ascii="Arial" w:cs="Arial" w:eastAsia="Arial" w:hAnsi="Arial"/>
          <w:sz w:val="15"/>
          <w:szCs w:val="15"/>
          <w:color w:val="auto"/>
        </w:rPr>
        <w:t>Sign 200,000 square feet of leases at One Vanderbilt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5530215"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530215" cy="7620"/>
                    </a:xfrm>
                    <a:prstGeom prst="rect">
                      <a:avLst/>
                    </a:prstGeom>
                    <a:noFill/>
                  </pic:spPr>
                </pic:pic>
              </a:graphicData>
            </a:graphic>
          </wp:anchor>
        </w:drawing>
      </w:r>
    </w:p>
    <w:p>
      <w:pPr>
        <w:spacing w:after="0" w:line="45" w:lineRule="exact"/>
        <w:rPr>
          <w:sz w:val="20"/>
          <w:szCs w:val="20"/>
          <w:color w:val="auto"/>
        </w:rPr>
      </w:pPr>
    </w:p>
    <w:p>
      <w:pPr>
        <w:ind w:left="5"/>
        <w:spacing w:after="0"/>
        <w:rPr>
          <w:sz w:val="20"/>
          <w:szCs w:val="20"/>
          <w:color w:val="auto"/>
        </w:rPr>
      </w:pPr>
      <w:r>
        <w:rPr>
          <w:rFonts w:ascii="Arial" w:cs="Arial" w:eastAsia="Arial" w:hAnsi="Arial"/>
          <w:sz w:val="15"/>
          <w:szCs w:val="15"/>
          <w:color w:val="auto"/>
        </w:rPr>
        <w:t>Obtain $1 billion of construction financing for One Vanderbilt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5530215"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530215" cy="7620"/>
                    </a:xfrm>
                    <a:prstGeom prst="rect">
                      <a:avLst/>
                    </a:prstGeom>
                    <a:noFill/>
                  </pic:spPr>
                </pic:pic>
              </a:graphicData>
            </a:graphic>
          </wp:anchor>
        </w:drawing>
      </w:r>
    </w:p>
    <w:p>
      <w:pPr>
        <w:spacing w:after="0" w:line="45" w:lineRule="exact"/>
        <w:rPr>
          <w:sz w:val="20"/>
          <w:szCs w:val="20"/>
          <w:color w:val="auto"/>
        </w:rPr>
      </w:pPr>
    </w:p>
    <w:p>
      <w:pPr>
        <w:ind w:left="5"/>
        <w:spacing w:after="0"/>
        <w:rPr>
          <w:sz w:val="20"/>
          <w:szCs w:val="20"/>
          <w:color w:val="auto"/>
        </w:rPr>
      </w:pPr>
      <w:r>
        <w:rPr>
          <w:rFonts w:ascii="Arial" w:cs="Arial" w:eastAsia="Arial" w:hAnsi="Arial"/>
          <w:sz w:val="15"/>
          <w:szCs w:val="15"/>
          <w:color w:val="auto"/>
        </w:rPr>
        <w:t>Dispose of more than $100 million of suburban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5530215"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530215" cy="7620"/>
                    </a:xfrm>
                    <a:prstGeom prst="rect">
                      <a:avLst/>
                    </a:prstGeom>
                    <a:noFill/>
                  </pic:spPr>
                </pic:pic>
              </a:graphicData>
            </a:graphic>
          </wp:anchor>
        </w:drawing>
      </w:r>
    </w:p>
    <w:p>
      <w:pPr>
        <w:spacing w:after="0" w:line="45" w:lineRule="exact"/>
        <w:rPr>
          <w:sz w:val="20"/>
          <w:szCs w:val="20"/>
          <w:color w:val="auto"/>
        </w:rPr>
      </w:pPr>
    </w:p>
    <w:p>
      <w:pPr>
        <w:ind w:left="5"/>
        <w:spacing w:after="0"/>
        <w:rPr>
          <w:sz w:val="20"/>
          <w:szCs w:val="20"/>
          <w:color w:val="auto"/>
        </w:rPr>
      </w:pPr>
      <w:r>
        <w:rPr>
          <w:rFonts w:ascii="Arial" w:cs="Arial" w:eastAsia="Arial" w:hAnsi="Arial"/>
          <w:sz w:val="15"/>
          <w:szCs w:val="15"/>
          <w:color w:val="auto"/>
        </w:rPr>
        <w:t>Achieve 7.6x or better net debt to EBITDA (per Fitch)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5530215"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530215" cy="7620"/>
                    </a:xfrm>
                    <a:prstGeom prst="rect">
                      <a:avLst/>
                    </a:prstGeom>
                    <a:noFill/>
                  </pic:spPr>
                </pic:pic>
              </a:graphicData>
            </a:graphic>
          </wp:anchor>
        </w:drawing>
      </w:r>
    </w:p>
    <w:p>
      <w:pPr>
        <w:spacing w:after="0" w:line="45" w:lineRule="exact"/>
        <w:rPr>
          <w:sz w:val="20"/>
          <w:szCs w:val="20"/>
          <w:color w:val="auto"/>
        </w:rPr>
      </w:pPr>
    </w:p>
    <w:p>
      <w:pPr>
        <w:ind w:left="5"/>
        <w:spacing w:after="0"/>
        <w:rPr>
          <w:sz w:val="20"/>
          <w:szCs w:val="20"/>
          <w:color w:val="auto"/>
        </w:rPr>
      </w:pPr>
      <w:r>
        <w:rPr>
          <w:rFonts w:ascii="Arial" w:cs="Arial" w:eastAsia="Arial" w:hAnsi="Arial"/>
          <w:sz w:val="15"/>
          <w:szCs w:val="15"/>
          <w:color w:val="auto"/>
        </w:rPr>
        <w:t>Dividend increase of 12.5% or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553021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530215" cy="7620"/>
                    </a:xfrm>
                    <a:prstGeom prst="rect">
                      <a:avLst/>
                    </a:prstGeom>
                    <a:noFill/>
                  </pic:spPr>
                </pic:pic>
              </a:graphicData>
            </a:graphic>
          </wp:anchor>
        </w:drawing>
      </w:r>
    </w:p>
    <w:p>
      <w:pPr>
        <w:spacing w:after="0" w:line="45" w:lineRule="exact"/>
        <w:rPr>
          <w:sz w:val="20"/>
          <w:szCs w:val="20"/>
          <w:color w:val="auto"/>
        </w:rPr>
      </w:pPr>
    </w:p>
    <w:p>
      <w:pPr>
        <w:ind w:left="5"/>
        <w:spacing w:after="0"/>
        <w:rPr>
          <w:sz w:val="20"/>
          <w:szCs w:val="20"/>
          <w:color w:val="auto"/>
        </w:rPr>
      </w:pPr>
      <w:r>
        <w:rPr>
          <w:rFonts w:ascii="Arial" w:cs="Arial" w:eastAsia="Arial" w:hAnsi="Arial"/>
          <w:sz w:val="15"/>
          <w:szCs w:val="15"/>
          <w:color w:val="auto"/>
        </w:rPr>
        <w:t>TRS greater than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5530215"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530215" cy="7620"/>
                    </a:xfrm>
                    <a:prstGeom prst="rect">
                      <a:avLst/>
                    </a:prstGeom>
                    <a:noFill/>
                  </pic:spPr>
                </pic:pic>
              </a:graphicData>
            </a:graphic>
          </wp:anchor>
        </w:drawing>
      </w:r>
    </w:p>
    <w:p>
      <w:pPr>
        <w:spacing w:after="0" w:line="45" w:lineRule="exact"/>
        <w:rPr>
          <w:sz w:val="20"/>
          <w:szCs w:val="20"/>
          <w:color w:val="auto"/>
        </w:rPr>
      </w:pPr>
    </w:p>
    <w:p>
      <w:pPr>
        <w:ind w:left="5"/>
        <w:spacing w:after="0"/>
        <w:rPr>
          <w:sz w:val="20"/>
          <w:szCs w:val="20"/>
          <w:color w:val="auto"/>
        </w:rPr>
      </w:pPr>
      <w:r>
        <w:rPr>
          <w:rFonts w:ascii="Arial" w:cs="Arial" w:eastAsia="Arial" w:hAnsi="Arial"/>
          <w:sz w:val="15"/>
          <w:szCs w:val="15"/>
          <w:color w:val="auto"/>
        </w:rPr>
        <w:t>TRS in excess of MSCI US REIT Index by 250 basis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5530215" cy="1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530215" cy="15240"/>
                    </a:xfrm>
                    <a:prstGeom prst="rect">
                      <a:avLst/>
                    </a:prstGeom>
                    <a:noFill/>
                  </pic:spPr>
                </pic:pic>
              </a:graphicData>
            </a:graphic>
          </wp:anchor>
        </w:drawing>
      </w:r>
    </w:p>
    <w:p>
      <w:pPr>
        <w:spacing w:after="0" w:line="89" w:lineRule="exact"/>
        <w:rPr>
          <w:sz w:val="20"/>
          <w:szCs w:val="20"/>
          <w:color w:val="auto"/>
        </w:rPr>
      </w:pPr>
    </w:p>
    <w:p>
      <w:pPr>
        <w:ind w:left="305" w:hanging="305"/>
        <w:spacing w:after="0"/>
        <w:tabs>
          <w:tab w:leader="none" w:pos="305" w:val="left"/>
        </w:tabs>
        <w:numPr>
          <w:ilvl w:val="0"/>
          <w:numId w:val="37"/>
        </w:numPr>
        <w:rPr>
          <w:rFonts w:ascii="Arial" w:cs="Arial" w:eastAsia="Arial" w:hAnsi="Arial"/>
          <w:sz w:val="11"/>
          <w:szCs w:val="11"/>
          <w:color w:val="auto"/>
        </w:rPr>
      </w:pPr>
      <w:r>
        <w:rPr>
          <w:rFonts w:ascii="Arial" w:cs="Arial" w:eastAsia="Arial" w:hAnsi="Arial"/>
          <w:sz w:val="11"/>
          <w:szCs w:val="11"/>
          <w:color w:val="auto"/>
        </w:rPr>
        <w:t>Goal increased by management from 2,000,000 square feet to 2,600,000 square feet in July 2016.</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1860"/>
        <w:spacing w:after="0"/>
        <w:rPr>
          <w:sz w:val="20"/>
          <w:szCs w:val="20"/>
          <w:color w:val="auto"/>
        </w:rPr>
      </w:pPr>
      <w:r>
        <w:rPr>
          <w:rFonts w:ascii="Arial" w:cs="Arial" w:eastAsia="Arial" w:hAnsi="Arial"/>
          <w:sz w:val="12"/>
          <w:szCs w:val="12"/>
          <w:b w:val="1"/>
          <w:bCs w:val="1"/>
          <w:color w:val="325889"/>
        </w:rPr>
        <w:t>2016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wp:posOffset>
            </wp:positionV>
            <wp:extent cx="1642745"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642745" cy="15240"/>
                    </a:xfrm>
                    <a:prstGeom prst="rect">
                      <a:avLst/>
                    </a:prstGeom>
                    <a:noFill/>
                  </pic:spPr>
                </pic:pic>
              </a:graphicData>
            </a:graphic>
          </wp:anchor>
        </w:drawing>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3.2 million sq. ft.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1642745"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642745" cy="7620"/>
                    </a:xfrm>
                    <a:prstGeom prst="rect">
                      <a:avLst/>
                    </a:prstGeom>
                    <a:noFill/>
                  </pic:spPr>
                </pic:pic>
              </a:graphicData>
            </a:graphic>
          </wp:anchor>
        </w:drawing>
      </w:r>
    </w:p>
    <w:p>
      <w:pPr>
        <w:spacing w:after="0" w:line="3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1642745"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642745" cy="7620"/>
                    </a:xfrm>
                    <a:prstGeom prst="rect">
                      <a:avLst/>
                    </a:prstGeom>
                    <a:noFill/>
                  </pic:spPr>
                </pic:pic>
              </a:graphicData>
            </a:graphic>
          </wp:anchor>
        </w:drawing>
      </w:r>
    </w:p>
    <w:p>
      <w:pPr>
        <w:spacing w:after="0" w:line="3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27.6%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164274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642745" cy="7620"/>
                    </a:xfrm>
                    <a:prstGeom prst="rect">
                      <a:avLst/>
                    </a:prstGeom>
                    <a:noFill/>
                  </pic:spPr>
                </pic:pic>
              </a:graphicData>
            </a:graphic>
          </wp:anchor>
        </w:drawing>
      </w:r>
    </w:p>
    <w:p>
      <w:pPr>
        <w:spacing w:after="0" w:line="3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1642745"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642745" cy="7620"/>
                    </a:xfrm>
                    <a:prstGeom prst="rect">
                      <a:avLst/>
                    </a:prstGeom>
                    <a:noFill/>
                  </pic:spPr>
                </pic:pic>
              </a:graphicData>
            </a:graphic>
          </wp:anchor>
        </w:drawing>
      </w:r>
    </w:p>
    <w:p>
      <w:pPr>
        <w:spacing w:after="0" w:line="3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$28.7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1642745"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642745" cy="7620"/>
                    </a:xfrm>
                    <a:prstGeom prst="rect">
                      <a:avLst/>
                    </a:prstGeom>
                    <a:noFill/>
                  </pic:spPr>
                </pic:pic>
              </a:graphicData>
            </a:graphic>
          </wp:anchor>
        </w:drawing>
      </w:r>
    </w:p>
    <w:p>
      <w:pPr>
        <w:spacing w:after="0" w:line="4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1642745"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642745" cy="7620"/>
                    </a:xfrm>
                    <a:prstGeom prst="rect">
                      <a:avLst/>
                    </a:prstGeom>
                    <a:noFill/>
                  </pic:spPr>
                </pic:pic>
              </a:graphicData>
            </a:graphic>
          </wp:anchor>
        </w:drawing>
      </w:r>
    </w:p>
    <w:p>
      <w:pPr>
        <w:spacing w:after="0" w:line="4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$3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164274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642745" cy="7620"/>
                    </a:xfrm>
                    <a:prstGeom prst="rect">
                      <a:avLst/>
                    </a:prstGeom>
                    <a:noFill/>
                  </pic:spPr>
                </pic:pic>
              </a:graphicData>
            </a:graphic>
          </wp:anchor>
        </w:drawing>
      </w:r>
    </w:p>
    <w:p>
      <w:pPr>
        <w:spacing w:after="0" w:line="4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$29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1642745"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642745" cy="7620"/>
                    </a:xfrm>
                    <a:prstGeom prst="rect">
                      <a:avLst/>
                    </a:prstGeom>
                    <a:noFill/>
                  </pic:spPr>
                </pic:pic>
              </a:graphicData>
            </a:graphic>
          </wp:anchor>
        </w:drawing>
      </w:r>
    </w:p>
    <w:p>
      <w:pPr>
        <w:spacing w:after="0" w:line="4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$138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1642745"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642745" cy="7620"/>
                    </a:xfrm>
                    <a:prstGeom prst="rect">
                      <a:avLst/>
                    </a:prstGeom>
                    <a:noFill/>
                  </pic:spPr>
                </pic:pic>
              </a:graphicData>
            </a:graphic>
          </wp:anchor>
        </w:drawing>
      </w:r>
    </w:p>
    <w:p>
      <w:pPr>
        <w:spacing w:after="0" w:line="4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$180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1642745"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642745" cy="7620"/>
                    </a:xfrm>
                    <a:prstGeom prst="rect">
                      <a:avLst/>
                    </a:prstGeom>
                    <a:noFill/>
                  </pic:spPr>
                </pic:pic>
              </a:graphicData>
            </a:graphic>
          </wp:anchor>
        </w:drawing>
      </w:r>
    </w:p>
    <w:p>
      <w:pPr>
        <w:spacing w:after="0" w:line="4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$234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1642745"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642745" cy="7620"/>
                    </a:xfrm>
                    <a:prstGeom prst="rect">
                      <a:avLst/>
                    </a:prstGeom>
                    <a:noFill/>
                  </pic:spPr>
                </pic:pic>
              </a:graphicData>
            </a:graphic>
          </wp:anchor>
        </w:drawing>
      </w:r>
    </w:p>
    <w:p>
      <w:pPr>
        <w:spacing w:after="0" w:line="4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$251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1642745"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642745" cy="7620"/>
                    </a:xfrm>
                    <a:prstGeom prst="rect">
                      <a:avLst/>
                    </a:prstGeom>
                    <a:noFill/>
                  </pic:spPr>
                </pic:pic>
              </a:graphicData>
            </a:graphic>
          </wp:anchor>
        </w:drawing>
      </w:r>
    </w:p>
    <w:p>
      <w:pPr>
        <w:spacing w:after="0" w:line="4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$1.2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1642745"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642745" cy="7620"/>
                    </a:xfrm>
                    <a:prstGeom prst="rect">
                      <a:avLst/>
                    </a:prstGeom>
                    <a:noFill/>
                  </pic:spPr>
                </pic:pic>
              </a:graphicData>
            </a:graphic>
          </wp:anchor>
        </w:drawing>
      </w:r>
    </w:p>
    <w:p>
      <w:pPr>
        <w:spacing w:after="0" w:line="4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2018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1642745"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642745" cy="7620"/>
                    </a:xfrm>
                    <a:prstGeom prst="rect">
                      <a:avLst/>
                    </a:prstGeom>
                    <a:noFill/>
                  </pic:spPr>
                </pic:pic>
              </a:graphicData>
            </a:graphic>
          </wp:anchor>
        </w:drawing>
      </w:r>
    </w:p>
    <w:p>
      <w:pPr>
        <w:spacing w:after="0" w:line="4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$1.5 billion construction loan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1642745"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642745" cy="7620"/>
                    </a:xfrm>
                    <a:prstGeom prst="rect">
                      <a:avLst/>
                    </a:prstGeom>
                    <a:noFill/>
                  </pic:spPr>
                </pic:pic>
              </a:graphicData>
            </a:graphic>
          </wp:anchor>
        </w:drawing>
      </w:r>
    </w:p>
    <w:p>
      <w:pPr>
        <w:spacing w:after="0" w:line="4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$82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1642745"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642745" cy="7620"/>
                    </a:xfrm>
                    <a:prstGeom prst="rect">
                      <a:avLst/>
                    </a:prstGeom>
                    <a:noFill/>
                  </pic:spPr>
                </pic:pic>
              </a:graphicData>
            </a:graphic>
          </wp:anchor>
        </w:drawing>
      </w:r>
    </w:p>
    <w:p>
      <w:pPr>
        <w:spacing w:after="0" w:line="4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1642745"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642745" cy="7620"/>
                    </a:xfrm>
                    <a:prstGeom prst="rect">
                      <a:avLst/>
                    </a:prstGeom>
                    <a:noFill/>
                  </pic:spPr>
                </pic:pic>
              </a:graphicData>
            </a:graphic>
          </wp:anchor>
        </w:drawing>
      </w:r>
    </w:p>
    <w:p>
      <w:pPr>
        <w:spacing w:after="0" w:line="4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7.6%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1642745"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642745" cy="7620"/>
                    </a:xfrm>
                    <a:prstGeom prst="rect">
                      <a:avLst/>
                    </a:prstGeom>
                    <a:noFill/>
                  </pic:spPr>
                </pic:pic>
              </a:graphicData>
            </a:graphic>
          </wp:anchor>
        </w:drawing>
      </w:r>
    </w:p>
    <w:p>
      <w:pPr>
        <w:spacing w:after="0" w:line="4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TRS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1642745"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642745" cy="7620"/>
                    </a:xfrm>
                    <a:prstGeom prst="rect">
                      <a:avLst/>
                    </a:prstGeom>
                    <a:noFill/>
                  </pic:spPr>
                </pic:pic>
              </a:graphicData>
            </a:graphic>
          </wp:anchor>
        </w:drawing>
      </w:r>
    </w:p>
    <w:p>
      <w:pPr>
        <w:spacing w:after="0" w:line="4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-1,066 basis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1642745" cy="152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642745" cy="15240"/>
                    </a:xfrm>
                    <a:prstGeom prst="rect">
                      <a:avLst/>
                    </a:prstGeom>
                    <a:noFill/>
                  </pic:spPr>
                </pic:pic>
              </a:graphicData>
            </a:graphic>
          </wp:anchor>
        </w:drawing>
      </w:r>
    </w:p>
    <w:p>
      <w:pPr>
        <w:spacing w:after="0" w:line="432" w:lineRule="exact"/>
        <w:rPr>
          <w:sz w:val="20"/>
          <w:szCs w:val="20"/>
          <w:color w:val="auto"/>
        </w:rPr>
      </w:pPr>
    </w:p>
    <w:p>
      <w:pPr>
        <w:sectPr>
          <w:pgSz w:w="11900" w:h="16838" w:orient="portrait"/>
          <w:cols w:equalWidth="0" w:num="2">
            <w:col w:w="8125" w:space="720"/>
            <w:col w:w="2600"/>
          </w:cols>
          <w:pgMar w:left="235" w:top="528" w:right="219" w:bottom="1440" w:gutter="0" w:footer="0" w:header="0"/>
          <w:type w:val="continuous"/>
        </w:sectPr>
      </w:pPr>
    </w:p>
    <w:p>
      <w:pPr>
        <w:ind w:left="5" w:right="180"/>
        <w:spacing w:after="0" w:line="256" w:lineRule="auto"/>
        <w:rPr>
          <w:sz w:val="20"/>
          <w:szCs w:val="20"/>
          <w:color w:val="auto"/>
        </w:rPr>
      </w:pPr>
      <w:r>
        <w:rPr>
          <w:rFonts w:ascii="Arial" w:cs="Arial" w:eastAsia="Arial" w:hAnsi="Arial"/>
          <w:sz w:val="15"/>
          <w:szCs w:val="15"/>
          <w:color w:val="auto"/>
        </w:rPr>
        <w:t>The differences in compensation awarded to our named executive officers are generally a function of the executive’s position and authority, as well as the competitive landscape for executives in similar positions. The table below sets forth the annual equity bonus awards that were granted to each of Messrs. Holliday, Green and Mathias for 2015 and 2016, as approved by the Committee:</w:t>
      </w:r>
    </w:p>
    <w:p>
      <w:pPr>
        <w:spacing w:after="0" w:line="154" w:lineRule="exact"/>
        <w:rPr>
          <w:sz w:val="20"/>
          <w:szCs w:val="20"/>
          <w:color w:val="auto"/>
        </w:rPr>
      </w:pPr>
    </w:p>
    <w:tbl>
      <w:tblPr>
        <w:tblLayout w:type="fixed"/>
        <w:tblInd w:w="5" w:type="dxa"/>
        <w:tblCellMar>
          <w:top w:w="0" w:type="dxa"/>
          <w:left w:w="0" w:type="dxa"/>
          <w:bottom w:w="0" w:type="dxa"/>
          <w:right w:w="0" w:type="dxa"/>
        </w:tblCellMar>
      </w:tblPr>
      <w:tr>
        <w:trPr>
          <w:trHeight w:val="157"/>
        </w:trPr>
        <w:tc>
          <w:tcPr>
            <w:tcW w:w="8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325889"/>
              </w:rPr>
              <w:t>2015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325889"/>
              </w:rPr>
              <w:t>2016</w:t>
            </w:r>
          </w:p>
        </w:tc>
        <w:tc>
          <w:tcPr>
            <w:tcW w:w="580" w:type="dxa"/>
            <w:vAlign w:val="bottom"/>
          </w:tcPr>
          <w:p>
            <w:pPr>
              <w:spacing w:after="0"/>
              <w:rPr>
                <w:sz w:val="13"/>
                <w:szCs w:val="13"/>
                <w:color w:val="auto"/>
              </w:rPr>
            </w:pPr>
          </w:p>
        </w:tc>
      </w:tr>
      <w:tr>
        <w:trPr>
          <w:trHeight w:val="178"/>
        </w:trPr>
        <w:tc>
          <w:tcPr>
            <w:tcW w:w="8440" w:type="dxa"/>
            <w:vAlign w:val="bottom"/>
          </w:tcPr>
          <w:p>
            <w:pPr>
              <w:spacing w:after="0"/>
              <w:rPr>
                <w:sz w:val="20"/>
                <w:szCs w:val="20"/>
                <w:color w:val="auto"/>
              </w:rPr>
            </w:pPr>
            <w:r>
              <w:rPr>
                <w:rFonts w:ascii="Arial" w:cs="Arial" w:eastAsia="Arial" w:hAnsi="Arial"/>
                <w:sz w:val="12"/>
                <w:szCs w:val="12"/>
                <w:b w:val="1"/>
                <w:bCs w:val="1"/>
                <w:color w:val="auto"/>
              </w:rPr>
              <w:t>Executive</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325889"/>
              </w:rPr>
              <w:t>Equity Bonus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160"/>
              <w:spacing w:after="0" w:line="178" w:lineRule="exact"/>
              <w:rPr>
                <w:sz w:val="20"/>
                <w:szCs w:val="20"/>
                <w:color w:val="auto"/>
              </w:rPr>
            </w:pPr>
            <w:r>
              <w:rPr>
                <w:rFonts w:ascii="Arial" w:cs="Arial" w:eastAsia="Arial" w:hAnsi="Arial"/>
                <w:sz w:val="12"/>
                <w:szCs w:val="12"/>
                <w:b w:val="1"/>
                <w:bCs w:val="1"/>
                <w:color w:val="325889"/>
                <w:w w:val="92"/>
              </w:rPr>
              <w:t>Equity Bonus</w:t>
            </w:r>
            <w:r>
              <w:rPr>
                <w:rFonts w:ascii="Arial" w:cs="Arial" w:eastAsia="Arial" w:hAnsi="Arial"/>
                <w:sz w:val="19"/>
                <w:szCs w:val="19"/>
                <w:b w:val="1"/>
                <w:bCs w:val="1"/>
                <w:color w:val="325889"/>
                <w:w w:val="92"/>
                <w:vertAlign w:val="superscript"/>
              </w:rPr>
              <w:t>(1)</w:t>
            </w:r>
          </w:p>
        </w:tc>
        <w:tc>
          <w:tcPr>
            <w:tcW w:w="580" w:type="dxa"/>
            <w:vAlign w:val="bottom"/>
          </w:tcPr>
          <w:p>
            <w:pPr>
              <w:jc w:val="right"/>
              <w:spacing w:after="0"/>
              <w:rPr>
                <w:sz w:val="20"/>
                <w:szCs w:val="20"/>
                <w:color w:val="auto"/>
              </w:rPr>
            </w:pPr>
            <w:r>
              <w:rPr>
                <w:rFonts w:ascii="Arial" w:cs="Arial" w:eastAsia="Arial" w:hAnsi="Arial"/>
                <w:sz w:val="12"/>
                <w:szCs w:val="12"/>
                <w:b w:val="1"/>
                <w:bCs w:val="1"/>
                <w:color w:val="325889"/>
                <w:w w:val="96"/>
              </w:rPr>
              <w:t>% Change</w:t>
            </w:r>
          </w:p>
        </w:tc>
      </w:tr>
      <w:tr>
        <w:trPr>
          <w:trHeight w:val="24"/>
        </w:trPr>
        <w:tc>
          <w:tcPr>
            <w:tcW w:w="844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325889"/>
          </w:tcPr>
          <w:p>
            <w:pPr>
              <w:spacing w:after="0"/>
              <w:rPr>
                <w:sz w:val="2"/>
                <w:szCs w:val="2"/>
                <w:color w:val="auto"/>
              </w:rPr>
            </w:pPr>
          </w:p>
        </w:tc>
        <w:tc>
          <w:tcPr>
            <w:tcW w:w="840" w:type="dxa"/>
            <w:vAlign w:val="bottom"/>
            <w:shd w:val="clear" w:color="auto" w:fill="325889"/>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325889"/>
          </w:tcPr>
          <w:p>
            <w:pPr>
              <w:spacing w:after="0"/>
              <w:rPr>
                <w:sz w:val="2"/>
                <w:szCs w:val="2"/>
                <w:color w:val="auto"/>
              </w:rPr>
            </w:pPr>
          </w:p>
        </w:tc>
        <w:tc>
          <w:tcPr>
            <w:tcW w:w="880" w:type="dxa"/>
            <w:vAlign w:val="bottom"/>
            <w:shd w:val="clear" w:color="auto" w:fill="325889"/>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325889"/>
          </w:tcPr>
          <w:p>
            <w:pPr>
              <w:spacing w:after="0"/>
              <w:rPr>
                <w:sz w:val="2"/>
                <w:szCs w:val="2"/>
                <w:color w:val="auto"/>
              </w:rPr>
            </w:pPr>
          </w:p>
        </w:tc>
      </w:tr>
      <w:tr>
        <w:trPr>
          <w:trHeight w:val="207"/>
        </w:trPr>
        <w:tc>
          <w:tcPr>
            <w:tcW w:w="8440" w:type="dxa"/>
            <w:vAlign w:val="bottom"/>
          </w:tcPr>
          <w:p>
            <w:pPr>
              <w:spacing w:after="0"/>
              <w:rPr>
                <w:sz w:val="20"/>
                <w:szCs w:val="20"/>
                <w:color w:val="auto"/>
              </w:rPr>
            </w:pPr>
            <w:r>
              <w:rPr>
                <w:rFonts w:ascii="Arial" w:cs="Arial" w:eastAsia="Arial" w:hAnsi="Arial"/>
                <w:sz w:val="15"/>
                <w:szCs w:val="15"/>
                <w:color w:val="auto"/>
              </w:rPr>
              <w:t>Marc Holliday</w:t>
            </w:r>
          </w:p>
        </w:tc>
        <w:tc>
          <w:tcPr>
            <w:tcW w:w="14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4,204,375</w:t>
            </w:r>
          </w:p>
        </w:tc>
        <w:tc>
          <w:tcPr>
            <w:tcW w:w="6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4,276,875</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1.7%</w:t>
            </w:r>
          </w:p>
        </w:tc>
      </w:tr>
      <w:tr>
        <w:trPr>
          <w:trHeight w:val="20"/>
        </w:trPr>
        <w:tc>
          <w:tcPr>
            <w:tcW w:w="844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840" w:type="dxa"/>
            <w:vAlign w:val="bottom"/>
            <w:shd w:val="clear" w:color="auto" w:fill="98A3B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88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98A3B8"/>
          </w:tcPr>
          <w:p>
            <w:pPr>
              <w:spacing w:after="0" w:line="20" w:lineRule="exact"/>
              <w:rPr>
                <w:sz w:val="1"/>
                <w:szCs w:val="1"/>
                <w:color w:val="auto"/>
              </w:rPr>
            </w:pPr>
          </w:p>
        </w:tc>
      </w:tr>
      <w:tr>
        <w:trPr>
          <w:trHeight w:val="205"/>
        </w:trPr>
        <w:tc>
          <w:tcPr>
            <w:tcW w:w="8440" w:type="dxa"/>
            <w:vAlign w:val="bottom"/>
          </w:tcPr>
          <w:p>
            <w:pPr>
              <w:spacing w:after="0"/>
              <w:rPr>
                <w:sz w:val="20"/>
                <w:szCs w:val="20"/>
                <w:color w:val="auto"/>
              </w:rPr>
            </w:pPr>
            <w:r>
              <w:rPr>
                <w:rFonts w:ascii="Arial" w:cs="Arial" w:eastAsia="Arial" w:hAnsi="Arial"/>
                <w:sz w:val="15"/>
                <w:szCs w:val="15"/>
                <w:color w:val="auto"/>
              </w:rPr>
              <w:t>Stephen L. Green</w:t>
            </w:r>
          </w:p>
        </w:tc>
        <w:tc>
          <w:tcPr>
            <w:tcW w:w="14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2,228,907</w:t>
            </w:r>
          </w:p>
        </w:tc>
        <w:tc>
          <w:tcPr>
            <w:tcW w:w="6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788,282</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-64.6%</w:t>
            </w:r>
          </w:p>
        </w:tc>
      </w:tr>
      <w:tr>
        <w:trPr>
          <w:trHeight w:val="20"/>
        </w:trPr>
        <w:tc>
          <w:tcPr>
            <w:tcW w:w="844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840" w:type="dxa"/>
            <w:vAlign w:val="bottom"/>
            <w:shd w:val="clear" w:color="auto" w:fill="98A3B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88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98A3B8"/>
          </w:tcPr>
          <w:p>
            <w:pPr>
              <w:spacing w:after="0" w:line="20" w:lineRule="exact"/>
              <w:rPr>
                <w:sz w:val="1"/>
                <w:szCs w:val="1"/>
                <w:color w:val="auto"/>
              </w:rPr>
            </w:pPr>
          </w:p>
        </w:tc>
      </w:tr>
      <w:tr>
        <w:trPr>
          <w:trHeight w:val="205"/>
        </w:trPr>
        <w:tc>
          <w:tcPr>
            <w:tcW w:w="8440" w:type="dxa"/>
            <w:vAlign w:val="bottom"/>
          </w:tcPr>
          <w:p>
            <w:pPr>
              <w:spacing w:after="0"/>
              <w:rPr>
                <w:sz w:val="20"/>
                <w:szCs w:val="20"/>
                <w:color w:val="auto"/>
              </w:rPr>
            </w:pPr>
            <w:r>
              <w:rPr>
                <w:rFonts w:ascii="Arial" w:cs="Arial" w:eastAsia="Arial" w:hAnsi="Arial"/>
                <w:sz w:val="15"/>
                <w:szCs w:val="15"/>
                <w:color w:val="auto"/>
              </w:rPr>
              <w:t>Andrew Mathias</w:t>
            </w:r>
          </w:p>
        </w:tc>
        <w:tc>
          <w:tcPr>
            <w:tcW w:w="14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3,217,500</w:t>
            </w:r>
          </w:p>
        </w:tc>
        <w:tc>
          <w:tcPr>
            <w:tcW w:w="6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3,560,834</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10.7%</w:t>
            </w:r>
          </w:p>
        </w:tc>
      </w:tr>
      <w:tr>
        <w:trPr>
          <w:trHeight w:val="216"/>
        </w:trPr>
        <w:tc>
          <w:tcPr>
            <w:tcW w:w="8440" w:type="dxa"/>
            <w:vAlign w:val="bottom"/>
            <w:tcBorders>
              <w:top w:val="single" w:sz="8" w:color="98A3B8"/>
              <w:bottom w:val="single" w:sz="8" w:color="325889"/>
            </w:tcBorders>
          </w:tcPr>
          <w:p>
            <w:pPr>
              <w:spacing w:after="0"/>
              <w:rPr>
                <w:sz w:val="20"/>
                <w:szCs w:val="20"/>
                <w:color w:val="auto"/>
              </w:rPr>
            </w:pPr>
            <w:r>
              <w:rPr>
                <w:rFonts w:ascii="Arial" w:cs="Arial" w:eastAsia="Arial" w:hAnsi="Arial"/>
                <w:sz w:val="15"/>
                <w:szCs w:val="15"/>
                <w:b w:val="1"/>
                <w:bCs w:val="1"/>
                <w:color w:val="auto"/>
              </w:rPr>
              <w:t>Total</w:t>
            </w:r>
          </w:p>
        </w:tc>
        <w:tc>
          <w:tcPr>
            <w:tcW w:w="140" w:type="dxa"/>
            <w:vAlign w:val="bottom"/>
          </w:tcPr>
          <w:p>
            <w:pPr>
              <w:spacing w:after="0"/>
              <w:rPr>
                <w:sz w:val="18"/>
                <w:szCs w:val="18"/>
                <w:color w:val="auto"/>
              </w:rPr>
            </w:pPr>
          </w:p>
        </w:tc>
        <w:tc>
          <w:tcPr>
            <w:tcW w:w="160" w:type="dxa"/>
            <w:vAlign w:val="bottom"/>
            <w:tcBorders>
              <w:top w:val="single" w:sz="8" w:color="98A3B8"/>
              <w:bottom w:val="single" w:sz="8" w:color="325889"/>
            </w:tcBorders>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98A3B8"/>
              <w:bottom w:val="single" w:sz="8" w:color="325889"/>
            </w:tcBorders>
          </w:tcPr>
          <w:p>
            <w:pPr>
              <w:jc w:val="right"/>
              <w:spacing w:after="0"/>
              <w:rPr>
                <w:sz w:val="20"/>
                <w:szCs w:val="20"/>
                <w:color w:val="auto"/>
              </w:rPr>
            </w:pPr>
            <w:r>
              <w:rPr>
                <w:rFonts w:ascii="Arial" w:cs="Arial" w:eastAsia="Arial" w:hAnsi="Arial"/>
                <w:sz w:val="15"/>
                <w:szCs w:val="15"/>
                <w:b w:val="1"/>
                <w:bCs w:val="1"/>
                <w:color w:val="auto"/>
              </w:rPr>
              <w:t>9,650,782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98A3B8"/>
              <w:bottom w:val="single" w:sz="8" w:color="325889"/>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98A3B8"/>
              <w:bottom w:val="single" w:sz="8" w:color="325889"/>
            </w:tcBorders>
          </w:tcPr>
          <w:p>
            <w:pPr>
              <w:jc w:val="right"/>
              <w:spacing w:after="0"/>
              <w:rPr>
                <w:sz w:val="20"/>
                <w:szCs w:val="20"/>
                <w:color w:val="auto"/>
              </w:rPr>
            </w:pPr>
            <w:r>
              <w:rPr>
                <w:rFonts w:ascii="Arial" w:cs="Arial" w:eastAsia="Arial" w:hAnsi="Arial"/>
                <w:sz w:val="15"/>
                <w:szCs w:val="15"/>
                <w:b w:val="1"/>
                <w:bCs w:val="1"/>
                <w:color w:val="auto"/>
              </w:rPr>
              <w:t>8,625,991</w:t>
            </w:r>
          </w:p>
        </w:tc>
        <w:tc>
          <w:tcPr>
            <w:tcW w:w="160" w:type="dxa"/>
            <w:vAlign w:val="bottom"/>
          </w:tcPr>
          <w:p>
            <w:pPr>
              <w:spacing w:after="0"/>
              <w:rPr>
                <w:sz w:val="18"/>
                <w:szCs w:val="18"/>
                <w:color w:val="auto"/>
              </w:rPr>
            </w:pPr>
          </w:p>
        </w:tc>
        <w:tc>
          <w:tcPr>
            <w:tcW w:w="580" w:type="dxa"/>
            <w:vAlign w:val="bottom"/>
            <w:tcBorders>
              <w:top w:val="single" w:sz="8" w:color="98A3B8"/>
              <w:bottom w:val="single" w:sz="8" w:color="325889"/>
            </w:tcBorders>
          </w:tcPr>
          <w:p>
            <w:pPr>
              <w:jc w:val="right"/>
              <w:spacing w:after="0"/>
              <w:rPr>
                <w:sz w:val="20"/>
                <w:szCs w:val="20"/>
                <w:color w:val="auto"/>
              </w:rPr>
            </w:pPr>
            <w:r>
              <w:rPr>
                <w:rFonts w:ascii="Arial" w:cs="Arial" w:eastAsia="Arial" w:hAnsi="Arial"/>
                <w:sz w:val="15"/>
                <w:szCs w:val="15"/>
                <w:b w:val="1"/>
                <w:bCs w:val="1"/>
                <w:color w:val="auto"/>
              </w:rPr>
              <w:t>-10.6%</w:t>
            </w:r>
          </w:p>
        </w:tc>
      </w:tr>
    </w:tbl>
    <w:p>
      <w:pPr>
        <w:spacing w:after="0" w:line="59" w:lineRule="exact"/>
        <w:rPr>
          <w:sz w:val="20"/>
          <w:szCs w:val="20"/>
          <w:color w:val="auto"/>
        </w:rPr>
      </w:pPr>
    </w:p>
    <w:p>
      <w:pPr>
        <w:ind w:left="305" w:hanging="305"/>
        <w:spacing w:after="0"/>
        <w:tabs>
          <w:tab w:leader="none" w:pos="305" w:val="left"/>
        </w:tabs>
        <w:numPr>
          <w:ilvl w:val="0"/>
          <w:numId w:val="38"/>
        </w:numPr>
        <w:rPr>
          <w:rFonts w:ascii="Arial" w:cs="Arial" w:eastAsia="Arial" w:hAnsi="Arial"/>
          <w:sz w:val="12"/>
          <w:szCs w:val="12"/>
          <w:color w:val="auto"/>
        </w:rPr>
      </w:pPr>
      <w:r>
        <w:rPr>
          <w:rFonts w:ascii="Arial" w:cs="Arial" w:eastAsia="Arial" w:hAnsi="Arial"/>
          <w:sz w:val="12"/>
          <w:szCs w:val="12"/>
          <w:color w:val="auto"/>
        </w:rPr>
        <w:t>Excludes the value of 11,340 LTIP units granted to Mr. Mathias in June 2016, which were granted in recognition of performance since the beginning of 2014 as opposed to solely relating to 2016.</w:t>
      </w:r>
    </w:p>
    <w:p>
      <w:pPr>
        <w:spacing w:after="0" w:line="186" w:lineRule="exact"/>
        <w:rPr>
          <w:sz w:val="20"/>
          <w:szCs w:val="20"/>
          <w:color w:val="auto"/>
        </w:rPr>
      </w:pPr>
    </w:p>
    <w:p>
      <w:pPr>
        <w:ind w:left="5" w:right="100"/>
        <w:spacing w:after="0" w:line="250" w:lineRule="auto"/>
        <w:rPr>
          <w:sz w:val="20"/>
          <w:szCs w:val="20"/>
          <w:color w:val="auto"/>
        </w:rPr>
      </w:pPr>
      <w:r>
        <w:rPr>
          <w:rFonts w:ascii="Arial" w:cs="Arial" w:eastAsia="Arial" w:hAnsi="Arial"/>
          <w:sz w:val="15"/>
          <w:szCs w:val="15"/>
          <w:color w:val="auto"/>
        </w:rPr>
        <w:t>The amounts of the equity bonus awards for our executives in 2016 as compared to 2015 were primarily determined based on our strong operational achievements and, on an individual basis, the changing roles of each of our Chief Executive Officer, Executive Chairman and President, as balanced against our disappointing short-term TRS performance in 2016. In particular, reflecting our Executive Chairman’s evolving role, we significantly reduced the equity bonus award paid to our Executive Chairman. As a result, the overall equity bonus awards for our top three executives were reduced by approximately 10.6%, in the aggregate, while the individual equity bonus awards reflect each executive’s contributions to our strong business achievements in 2016. The 2016 equity bonuses paid to each of our top three named executive officers listed above were paid in early 2017 in the form of LTIP units that vested upon grant, but remain subject to a no-sell restriction until two years after their grant date. Our named executive officers received the following number of LTIP units for these equity bonuses: Mr. Holliday—40,329; Mr. Green—7,433; and Mr. Mathias—33,577.</w:t>
      </w:r>
    </w:p>
    <w:p>
      <w:pPr>
        <w:spacing w:after="0" w:line="356" w:lineRule="exact"/>
        <w:rPr>
          <w:sz w:val="20"/>
          <w:szCs w:val="20"/>
          <w:color w:val="auto"/>
        </w:rPr>
      </w:pPr>
    </w:p>
    <w:p>
      <w:pPr>
        <w:ind w:left="5" w:right="160"/>
        <w:spacing w:after="0" w:line="256" w:lineRule="auto"/>
        <w:rPr>
          <w:sz w:val="20"/>
          <w:szCs w:val="20"/>
          <w:color w:val="auto"/>
        </w:rPr>
      </w:pPr>
      <w:r>
        <w:rPr>
          <w:rFonts w:ascii="Arial" w:cs="Arial" w:eastAsia="Arial" w:hAnsi="Arial"/>
          <w:sz w:val="15"/>
          <w:szCs w:val="15"/>
          <w:color w:val="auto"/>
        </w:rPr>
        <w:t>During 2016, we also separately granted Mr. Mathias an equity bonus consisting of 11,340 LTIP units that were vested upon grant, but were subject to a no-sell restriction until two years after their grant. These LTIP units were granted as equity bonus in 2016, but were in recognition of performance since the beginning of 2014 as opposed to solely relating to 2016.</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2017 Proxy Statement </w:t>
      </w:r>
      <w:r>
        <w:rPr>
          <w:rFonts w:ascii="Arial" w:cs="Arial" w:eastAsia="Arial" w:hAnsi="Arial"/>
          <w:sz w:val="15"/>
          <w:szCs w:val="15"/>
          <w:color w:val="325889"/>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83450" cy="203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5"/>
          </w:cols>
          <w:pgMar w:left="235" w:top="528" w:right="219" w:bottom="1440" w:gutter="0" w:footer="0" w:header="0"/>
          <w:type w:val="continuous"/>
        </w:sectPr>
      </w:pPr>
    </w:p>
    <w:bookmarkStart w:id="31" w:name="page32"/>
    <w:bookmarkEnd w:id="31"/>
    <w:p>
      <w:pPr>
        <w:ind w:left="5"/>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ind w:left="5"/>
        <w:spacing w:after="0"/>
        <w:rPr>
          <w:sz w:val="20"/>
          <w:szCs w:val="20"/>
          <w:color w:val="auto"/>
        </w:rPr>
      </w:pPr>
      <w:r>
        <w:rPr>
          <w:rFonts w:ascii="Arial" w:cs="Arial" w:eastAsia="Arial" w:hAnsi="Arial"/>
          <w:sz w:val="15"/>
          <w:szCs w:val="15"/>
          <w:u w:val="single" w:color="auto"/>
          <w:color w:val="325889"/>
        </w:rPr>
        <w:t>EXECUTIVE COMPENSATION</w:t>
      </w:r>
    </w:p>
    <w:p>
      <w:pPr>
        <w:spacing w:after="0" w:line="178" w:lineRule="exact"/>
        <w:rPr>
          <w:sz w:val="20"/>
          <w:szCs w:val="20"/>
          <w:color w:val="auto"/>
        </w:rPr>
      </w:pPr>
    </w:p>
    <w:p>
      <w:pPr>
        <w:ind w:left="5"/>
        <w:spacing w:after="0"/>
        <w:rPr>
          <w:sz w:val="20"/>
          <w:szCs w:val="20"/>
          <w:color w:val="auto"/>
        </w:rPr>
      </w:pPr>
      <w:r>
        <w:rPr>
          <w:rFonts w:ascii="Arial" w:cs="Arial" w:eastAsia="Arial" w:hAnsi="Arial"/>
          <w:sz w:val="12"/>
          <w:szCs w:val="12"/>
          <w:b w:val="1"/>
          <w:bCs w:val="1"/>
          <w:color w:val="325889"/>
        </w:rPr>
        <w:t>Bonuses to Other Executives</w:t>
      </w:r>
    </w:p>
    <w:p>
      <w:pPr>
        <w:spacing w:after="0" w:line="200" w:lineRule="exact"/>
        <w:rPr>
          <w:sz w:val="20"/>
          <w:szCs w:val="20"/>
          <w:color w:val="auto"/>
        </w:rPr>
      </w:pPr>
    </w:p>
    <w:p>
      <w:pPr>
        <w:jc w:val="both"/>
        <w:ind w:left="5" w:right="220"/>
        <w:spacing w:after="0" w:line="256" w:lineRule="auto"/>
        <w:rPr>
          <w:sz w:val="20"/>
          <w:szCs w:val="20"/>
          <w:color w:val="auto"/>
        </w:rPr>
      </w:pPr>
      <w:r>
        <w:rPr>
          <w:rFonts w:ascii="Arial" w:cs="Arial" w:eastAsia="Arial" w:hAnsi="Arial"/>
          <w:sz w:val="15"/>
          <w:szCs w:val="15"/>
          <w:color w:val="auto"/>
        </w:rPr>
        <w:t>Consistent with our historical practice, annual bonuses for Messrs. DiLiberto and Levine were determined by the Committee in its discretion in substantially the same manner as the equity bonuses for our top three named executive officers. The table below sets forth the annual bonus awards that were granted to Messrs. DiLiberto and Levine for 2015 and 2016, as approved by the Committee, to the extent paid in cash or LTIP units:</w:t>
      </w:r>
    </w:p>
    <w:p>
      <w:pPr>
        <w:spacing w:after="0" w:line="190" w:lineRule="exact"/>
        <w:rPr>
          <w:sz w:val="20"/>
          <w:szCs w:val="20"/>
          <w:color w:val="auto"/>
        </w:rPr>
      </w:pPr>
    </w:p>
    <w:tbl>
      <w:tblPr>
        <w:tblLayout w:type="fixed"/>
        <w:tblInd w:w="5" w:type="dxa"/>
        <w:tblCellMar>
          <w:top w:w="0" w:type="dxa"/>
          <w:left w:w="0" w:type="dxa"/>
          <w:bottom w:w="0" w:type="dxa"/>
          <w:right w:w="0" w:type="dxa"/>
        </w:tblCellMar>
      </w:tblPr>
      <w:tr>
        <w:trPr>
          <w:trHeight w:val="155"/>
        </w:trPr>
        <w:tc>
          <w:tcPr>
            <w:tcW w:w="8580" w:type="dxa"/>
            <w:vAlign w:val="bottom"/>
            <w:gridSpan w:val="2"/>
          </w:tcPr>
          <w:p>
            <w:pPr>
              <w:spacing w:after="0"/>
              <w:rPr>
                <w:sz w:val="20"/>
                <w:szCs w:val="20"/>
                <w:color w:val="auto"/>
              </w:rPr>
            </w:pPr>
            <w:r>
              <w:rPr>
                <w:rFonts w:ascii="Arial" w:cs="Arial" w:eastAsia="Arial" w:hAnsi="Arial"/>
                <w:sz w:val="12"/>
                <w:szCs w:val="12"/>
                <w:b w:val="1"/>
                <w:bCs w:val="1"/>
                <w:color w:val="auto"/>
              </w:rPr>
              <w:t>Executive</w:t>
            </w: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b w:val="1"/>
                <w:bCs w:val="1"/>
                <w:color w:val="325889"/>
              </w:rPr>
              <w:t>2015 Bonus</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325889"/>
              </w:rPr>
              <w:t>2016 Bonus</w:t>
            </w:r>
          </w:p>
        </w:tc>
        <w:tc>
          <w:tcPr>
            <w:tcW w:w="580" w:type="dxa"/>
            <w:vAlign w:val="bottom"/>
          </w:tcPr>
          <w:p>
            <w:pPr>
              <w:jc w:val="right"/>
              <w:spacing w:after="0"/>
              <w:rPr>
                <w:sz w:val="20"/>
                <w:szCs w:val="20"/>
                <w:color w:val="auto"/>
              </w:rPr>
            </w:pPr>
            <w:r>
              <w:rPr>
                <w:rFonts w:ascii="Arial" w:cs="Arial" w:eastAsia="Arial" w:hAnsi="Arial"/>
                <w:sz w:val="12"/>
                <w:szCs w:val="12"/>
                <w:b w:val="1"/>
                <w:bCs w:val="1"/>
                <w:color w:val="325889"/>
                <w:w w:val="96"/>
              </w:rPr>
              <w:t>% Change</w:t>
            </w:r>
          </w:p>
        </w:tc>
      </w:tr>
      <w:tr>
        <w:trPr>
          <w:trHeight w:val="41"/>
        </w:trPr>
        <w:tc>
          <w:tcPr>
            <w:tcW w:w="8440" w:type="dxa"/>
            <w:vAlign w:val="bottom"/>
            <w:tcBorders>
              <w:bottom w:val="single" w:sz="8" w:color="325889"/>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325889"/>
            </w:tcBorders>
          </w:tcPr>
          <w:p>
            <w:pPr>
              <w:spacing w:after="0"/>
              <w:rPr>
                <w:sz w:val="3"/>
                <w:szCs w:val="3"/>
                <w:color w:val="auto"/>
              </w:rPr>
            </w:pPr>
          </w:p>
        </w:tc>
        <w:tc>
          <w:tcPr>
            <w:tcW w:w="800" w:type="dxa"/>
            <w:vAlign w:val="bottom"/>
            <w:tcBorders>
              <w:bottom w:val="single" w:sz="8" w:color="325889"/>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325889"/>
            </w:tcBorders>
          </w:tcPr>
          <w:p>
            <w:pPr>
              <w:spacing w:after="0"/>
              <w:rPr>
                <w:sz w:val="3"/>
                <w:szCs w:val="3"/>
                <w:color w:val="auto"/>
              </w:rPr>
            </w:pPr>
          </w:p>
        </w:tc>
        <w:tc>
          <w:tcPr>
            <w:tcW w:w="780" w:type="dxa"/>
            <w:vAlign w:val="bottom"/>
            <w:tcBorders>
              <w:bottom w:val="single" w:sz="8" w:color="325889"/>
            </w:tcBorders>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Borders>
              <w:bottom w:val="single" w:sz="8" w:color="325889"/>
            </w:tcBorders>
          </w:tcPr>
          <w:p>
            <w:pPr>
              <w:spacing w:after="0"/>
              <w:rPr>
                <w:sz w:val="3"/>
                <w:szCs w:val="3"/>
                <w:color w:val="auto"/>
              </w:rPr>
            </w:pPr>
          </w:p>
        </w:tc>
      </w:tr>
      <w:tr>
        <w:trPr>
          <w:trHeight w:val="207"/>
        </w:trPr>
        <w:tc>
          <w:tcPr>
            <w:tcW w:w="8440" w:type="dxa"/>
            <w:vAlign w:val="bottom"/>
          </w:tcPr>
          <w:p>
            <w:pPr>
              <w:spacing w:after="0"/>
              <w:rPr>
                <w:sz w:val="20"/>
                <w:szCs w:val="20"/>
                <w:color w:val="auto"/>
              </w:rPr>
            </w:pPr>
            <w:r>
              <w:rPr>
                <w:rFonts w:ascii="Arial" w:cs="Arial" w:eastAsia="Arial" w:hAnsi="Arial"/>
                <w:sz w:val="15"/>
                <w:szCs w:val="15"/>
                <w:color w:val="auto"/>
              </w:rPr>
              <w:t>Matthew J. DiLiberto</w:t>
            </w:r>
          </w:p>
        </w:tc>
        <w:tc>
          <w:tcPr>
            <w:tcW w:w="14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1,400,000</w:t>
            </w:r>
          </w:p>
        </w:tc>
        <w:tc>
          <w:tcPr>
            <w:tcW w:w="3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tcPr>
          <w:p>
            <w:pPr>
              <w:ind w:left="100"/>
              <w:spacing w:after="0"/>
              <w:rPr>
                <w:sz w:val="20"/>
                <w:szCs w:val="20"/>
                <w:color w:val="auto"/>
              </w:rPr>
            </w:pPr>
            <w:r>
              <w:rPr>
                <w:rFonts w:ascii="Arial" w:cs="Arial" w:eastAsia="Arial" w:hAnsi="Arial"/>
                <w:sz w:val="15"/>
                <w:szCs w:val="15"/>
                <w:color w:val="auto"/>
                <w:w w:val="98"/>
              </w:rPr>
              <w:t>1,700,000</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21.4%</w:t>
            </w:r>
          </w:p>
        </w:tc>
      </w:tr>
      <w:tr>
        <w:trPr>
          <w:trHeight w:val="20"/>
        </w:trPr>
        <w:tc>
          <w:tcPr>
            <w:tcW w:w="844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98A3B8"/>
          </w:tcPr>
          <w:p>
            <w:pPr>
              <w:spacing w:after="0" w:line="20" w:lineRule="exact"/>
              <w:rPr>
                <w:sz w:val="1"/>
                <w:szCs w:val="1"/>
                <w:color w:val="auto"/>
              </w:rPr>
            </w:pPr>
          </w:p>
        </w:tc>
        <w:tc>
          <w:tcPr>
            <w:tcW w:w="80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98A3B8"/>
          </w:tcPr>
          <w:p>
            <w:pPr>
              <w:spacing w:after="0" w:line="20" w:lineRule="exact"/>
              <w:rPr>
                <w:sz w:val="1"/>
                <w:szCs w:val="1"/>
                <w:color w:val="auto"/>
              </w:rPr>
            </w:pPr>
          </w:p>
        </w:tc>
      </w:tr>
      <w:tr>
        <w:trPr>
          <w:trHeight w:val="205"/>
        </w:trPr>
        <w:tc>
          <w:tcPr>
            <w:tcW w:w="8440" w:type="dxa"/>
            <w:vAlign w:val="bottom"/>
          </w:tcPr>
          <w:p>
            <w:pPr>
              <w:spacing w:after="0"/>
              <w:rPr>
                <w:sz w:val="20"/>
                <w:szCs w:val="20"/>
                <w:color w:val="auto"/>
              </w:rPr>
            </w:pPr>
            <w:r>
              <w:rPr>
                <w:rFonts w:ascii="Arial" w:cs="Arial" w:eastAsia="Arial" w:hAnsi="Arial"/>
                <w:sz w:val="15"/>
                <w:szCs w:val="15"/>
                <w:color w:val="auto"/>
              </w:rPr>
              <w:t>Andrew S. Levine</w:t>
            </w:r>
          </w:p>
        </w:tc>
        <w:tc>
          <w:tcPr>
            <w:tcW w:w="14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1,100,000</w:t>
            </w:r>
          </w:p>
        </w:tc>
        <w:tc>
          <w:tcPr>
            <w:tcW w:w="3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tcPr>
          <w:p>
            <w:pPr>
              <w:ind w:left="100"/>
              <w:spacing w:after="0"/>
              <w:rPr>
                <w:sz w:val="20"/>
                <w:szCs w:val="20"/>
                <w:color w:val="auto"/>
              </w:rPr>
            </w:pPr>
            <w:r>
              <w:rPr>
                <w:rFonts w:ascii="Arial" w:cs="Arial" w:eastAsia="Arial" w:hAnsi="Arial"/>
                <w:sz w:val="15"/>
                <w:szCs w:val="15"/>
                <w:color w:val="auto"/>
                <w:w w:val="98"/>
              </w:rPr>
              <w:t>1,350,000</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22.7%</w:t>
            </w:r>
          </w:p>
        </w:tc>
      </w:tr>
      <w:tr>
        <w:trPr>
          <w:trHeight w:val="30"/>
        </w:trPr>
        <w:tc>
          <w:tcPr>
            <w:tcW w:w="844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325889"/>
          </w:tcPr>
          <w:p>
            <w:pPr>
              <w:spacing w:after="0"/>
              <w:rPr>
                <w:sz w:val="2"/>
                <w:szCs w:val="2"/>
                <w:color w:val="auto"/>
              </w:rPr>
            </w:pPr>
          </w:p>
        </w:tc>
        <w:tc>
          <w:tcPr>
            <w:tcW w:w="80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325889"/>
          </w:tcPr>
          <w:p>
            <w:pPr>
              <w:spacing w:after="0"/>
              <w:rPr>
                <w:sz w:val="2"/>
                <w:szCs w:val="2"/>
                <w:color w:val="auto"/>
              </w:rPr>
            </w:pPr>
          </w:p>
        </w:tc>
        <w:tc>
          <w:tcPr>
            <w:tcW w:w="780" w:type="dxa"/>
            <w:vAlign w:val="bottom"/>
            <w:shd w:val="clear" w:color="auto" w:fill="325889"/>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325889"/>
          </w:tcPr>
          <w:p>
            <w:pPr>
              <w:spacing w:after="0"/>
              <w:rPr>
                <w:sz w:val="2"/>
                <w:szCs w:val="2"/>
                <w:color w:val="auto"/>
              </w:rPr>
            </w:pPr>
          </w:p>
        </w:tc>
      </w:tr>
    </w:tbl>
    <w:p>
      <w:pPr>
        <w:spacing w:after="0" w:line="193" w:lineRule="exact"/>
        <w:rPr>
          <w:sz w:val="20"/>
          <w:szCs w:val="20"/>
          <w:color w:val="auto"/>
        </w:rPr>
      </w:pPr>
    </w:p>
    <w:p>
      <w:pPr>
        <w:ind w:left="5" w:right="20"/>
        <w:spacing w:after="0" w:line="252" w:lineRule="auto"/>
        <w:rPr>
          <w:sz w:val="20"/>
          <w:szCs w:val="20"/>
          <w:color w:val="auto"/>
        </w:rPr>
      </w:pPr>
      <w:r>
        <w:rPr>
          <w:rFonts w:ascii="Arial" w:cs="Arial" w:eastAsia="Arial" w:hAnsi="Arial"/>
          <w:sz w:val="15"/>
          <w:szCs w:val="15"/>
          <w:color w:val="auto"/>
        </w:rPr>
        <w:t>Similar to the annual equity bonus awards that were granted to our top three named executive officers, these annual bonuses for Messrs. DiLiberto and Levine reflected our significant operational achievements for 2016, our continued superior long-term TRS performance and their evolving roles at our company, as balanced against our disappointing short-term TRS performance for 2016. These 2016 bonuses were paid to Messrs. DiLiberto and Levine in early 2017 in the form of cash and LTIP units that vested upon grant, but remain subject to no-sell restriction until two years after their grant date. Mr. DiLiberto received $1,400,000 in cash and 2,829 LTIP units and Mr. Levine received 12,730 LTIP units.</w:t>
      </w:r>
    </w:p>
    <w:p>
      <w:pPr>
        <w:spacing w:after="0" w:line="174" w:lineRule="exact"/>
        <w:rPr>
          <w:sz w:val="20"/>
          <w:szCs w:val="20"/>
          <w:color w:val="auto"/>
        </w:rPr>
      </w:pPr>
    </w:p>
    <w:p>
      <w:pPr>
        <w:ind w:left="5" w:right="120"/>
        <w:spacing w:after="0" w:line="253" w:lineRule="auto"/>
        <w:rPr>
          <w:sz w:val="20"/>
          <w:szCs w:val="20"/>
          <w:color w:val="auto"/>
        </w:rPr>
      </w:pPr>
      <w:r>
        <w:rPr>
          <w:rFonts w:ascii="Arial" w:cs="Arial" w:eastAsia="Arial" w:hAnsi="Arial"/>
          <w:sz w:val="15"/>
          <w:szCs w:val="15"/>
          <w:color w:val="auto"/>
        </w:rPr>
        <w:t>In addition to these bonuses paid to Messrs. DiLiberto and Levine for 2016, the Committee also determined to make bonus awards to each executive in the form of 30,000 Class O LTIP units, which are economically similar to stock options, and will only have value if our recent operational achievements translate into future returns for our stockholders. This decision reflects our commitment to our pay-for-performance compensation philosophy, and further aligns the interests of these executive officers with those of our stockholders.</w:t>
      </w:r>
    </w:p>
    <w:p>
      <w:pPr>
        <w:spacing w:after="0" w:line="157" w:lineRule="exact"/>
        <w:rPr>
          <w:sz w:val="20"/>
          <w:szCs w:val="20"/>
          <w:color w:val="auto"/>
        </w:rPr>
      </w:pPr>
    </w:p>
    <w:p>
      <w:pPr>
        <w:ind w:left="5"/>
        <w:spacing w:after="0"/>
        <w:rPr>
          <w:sz w:val="20"/>
          <w:szCs w:val="20"/>
          <w:color w:val="auto"/>
        </w:rPr>
      </w:pPr>
      <w:r>
        <w:rPr>
          <w:rFonts w:ascii="Arial" w:cs="Arial" w:eastAsia="Arial" w:hAnsi="Arial"/>
          <w:sz w:val="12"/>
          <w:szCs w:val="12"/>
          <w:b w:val="1"/>
          <w:bCs w:val="1"/>
          <w:color w:val="325889"/>
        </w:rPr>
        <w:t>Long-Term Equity Incentive Awards</w:t>
      </w:r>
    </w:p>
    <w:p>
      <w:pPr>
        <w:spacing w:after="0" w:line="200" w:lineRule="exact"/>
        <w:rPr>
          <w:sz w:val="20"/>
          <w:szCs w:val="20"/>
          <w:color w:val="auto"/>
        </w:rPr>
      </w:pPr>
    </w:p>
    <w:p>
      <w:pPr>
        <w:ind w:left="5" w:right="80"/>
        <w:spacing w:after="0" w:line="251" w:lineRule="auto"/>
        <w:rPr>
          <w:sz w:val="20"/>
          <w:szCs w:val="20"/>
          <w:color w:val="auto"/>
        </w:rPr>
      </w:pPr>
      <w:r>
        <w:rPr>
          <w:rFonts w:ascii="Arial" w:cs="Arial" w:eastAsia="Arial" w:hAnsi="Arial"/>
          <w:sz w:val="15"/>
          <w:szCs w:val="15"/>
          <w:color w:val="auto"/>
        </w:rPr>
        <w:t>Long-term equity incentives have been provided to our named executive officers through the grant of stock options, restricted stock, restricted stock units and/or LTIP units pursuant to our outperformance plans and in connection with new or extended employment agreements. The majority of these awards included performance-based vesting hurdles that must be met in order for recipients to earn them. The grant of equity awards links a named executive officer’s compensation and net worth directly to the performance of our stock price as well as the achievement of other performance-based vesting hurdles in some cases, which we believe encourages our named executive officers to make decisions with an ownership mentality and provides alignment of interest with our stockholders. The Committee has made long-term equity incentive awards a central part of our executive compensation program due to these features.</w:t>
      </w:r>
    </w:p>
    <w:p>
      <w:pPr>
        <w:spacing w:after="0" w:line="158" w:lineRule="exact"/>
        <w:rPr>
          <w:sz w:val="20"/>
          <w:szCs w:val="20"/>
          <w:color w:val="auto"/>
        </w:rPr>
      </w:pPr>
    </w:p>
    <w:p>
      <w:pPr>
        <w:ind w:left="5"/>
        <w:spacing w:after="0"/>
        <w:rPr>
          <w:sz w:val="20"/>
          <w:szCs w:val="20"/>
          <w:color w:val="auto"/>
        </w:rPr>
      </w:pPr>
      <w:r>
        <w:rPr>
          <w:rFonts w:ascii="Arial" w:cs="Arial" w:eastAsia="Arial" w:hAnsi="Arial"/>
          <w:sz w:val="12"/>
          <w:szCs w:val="12"/>
          <w:b w:val="1"/>
          <w:bCs w:val="1"/>
          <w:color w:val="325889"/>
        </w:rPr>
        <w:t>Outperformance Plans</w:t>
      </w:r>
    </w:p>
    <w:p>
      <w:pPr>
        <w:spacing w:after="0" w:line="200" w:lineRule="exact"/>
        <w:rPr>
          <w:sz w:val="20"/>
          <w:szCs w:val="20"/>
          <w:color w:val="auto"/>
        </w:rPr>
      </w:pPr>
    </w:p>
    <w:p>
      <w:pPr>
        <w:ind w:left="5" w:right="140"/>
        <w:spacing w:after="0" w:line="252" w:lineRule="auto"/>
        <w:rPr>
          <w:sz w:val="20"/>
          <w:szCs w:val="20"/>
          <w:color w:val="auto"/>
        </w:rPr>
      </w:pPr>
      <w:r>
        <w:rPr>
          <w:rFonts w:ascii="Arial" w:cs="Arial" w:eastAsia="Arial" w:hAnsi="Arial"/>
          <w:sz w:val="15"/>
          <w:szCs w:val="15"/>
          <w:color w:val="auto"/>
        </w:rPr>
        <w:t>A main component of our long-term equity incentive award program is our outperformance plans. Our outperformance plans provide equity awards to our named executive officers and other employees that are subject to performance-based hurdles based on TRS or stock price appreciation over a multi-year period, and are eligible for potential acceleration in specific, limited circumstances. In addition to the performance-based vesting hurdles, all of these equity awards have additional time-based vesting provisions of four to five years in the aggregate with principally back-end vesting, based on continued employment, which act as a retention device and provide a strong incentive to the executives to increase stockholder value during the vesting period.</w:t>
      </w:r>
    </w:p>
    <w:p>
      <w:pPr>
        <w:spacing w:after="0" w:line="174" w:lineRule="exact"/>
        <w:rPr>
          <w:sz w:val="20"/>
          <w:szCs w:val="20"/>
          <w:color w:val="auto"/>
        </w:rPr>
      </w:pPr>
    </w:p>
    <w:p>
      <w:pPr>
        <w:jc w:val="both"/>
        <w:ind w:left="5" w:right="100"/>
        <w:spacing w:after="0" w:line="256" w:lineRule="auto"/>
        <w:rPr>
          <w:sz w:val="20"/>
          <w:szCs w:val="20"/>
          <w:color w:val="auto"/>
        </w:rPr>
      </w:pPr>
      <w:r>
        <w:rPr>
          <w:rFonts w:ascii="Arial" w:cs="Arial" w:eastAsia="Arial" w:hAnsi="Arial"/>
          <w:sz w:val="15"/>
          <w:szCs w:val="15"/>
          <w:color w:val="auto"/>
        </w:rPr>
        <w:t>Our outperformance plans are designed to provide strong and direct alignment of our executive’s interests with long-term stockholder interests. As a result, historically, we provided a meaningful percentage of our executives’ total compensation in the form of equity awards under our outperformance plans. We anticipate continuing to utilize these types of plans as a significant component of our executive compensation program.</w:t>
      </w:r>
    </w:p>
    <w:p>
      <w:pPr>
        <w:spacing w:after="0" w:line="172" w:lineRule="exact"/>
        <w:rPr>
          <w:sz w:val="20"/>
          <w:szCs w:val="20"/>
          <w:color w:val="auto"/>
        </w:rPr>
      </w:pPr>
    </w:p>
    <w:p>
      <w:pPr>
        <w:ind w:left="5" w:right="160"/>
        <w:spacing w:after="0" w:line="253" w:lineRule="auto"/>
        <w:rPr>
          <w:sz w:val="20"/>
          <w:szCs w:val="20"/>
          <w:color w:val="auto"/>
        </w:rPr>
      </w:pPr>
      <w:r>
        <w:rPr>
          <w:rFonts w:ascii="Arial" w:cs="Arial" w:eastAsia="Arial" w:hAnsi="Arial"/>
          <w:sz w:val="15"/>
          <w:szCs w:val="15"/>
          <w:color w:val="auto"/>
        </w:rPr>
        <w:t>To guarantee that our long-term equity incentive awards reward only exceptional returns, our outperformance plans incorporate challenging performance hurdles. During prior periods where stockholders did not realize superior returns, such as during 2008 and 2009, our outperformance plans did not provide payouts. Due to the variable, at-risk nature of our outperformance plans, our executives must truly drive our overall performance and TRS to earn awards. This feature is illustrated by the table below showing our</w:t>
      </w:r>
    </w:p>
    <w:p>
      <w:pPr>
        <w:spacing w:after="0" w:line="174" w:lineRule="exact"/>
        <w:rPr>
          <w:sz w:val="20"/>
          <w:szCs w:val="20"/>
          <w:color w:val="auto"/>
        </w:rPr>
      </w:pPr>
    </w:p>
    <w:p>
      <w:pPr>
        <w:ind w:left="265" w:hanging="265"/>
        <w:spacing w:after="0"/>
        <w:tabs>
          <w:tab w:leader="none" w:pos="265" w:val="left"/>
        </w:tabs>
        <w:numPr>
          <w:ilvl w:val="0"/>
          <w:numId w:val="39"/>
        </w:numPr>
        <w:rPr>
          <w:rFonts w:ascii="Arial" w:cs="Arial" w:eastAsia="Arial" w:hAnsi="Arial"/>
          <w:sz w:val="15"/>
          <w:szCs w:val="15"/>
          <w:color w:val="325889"/>
        </w:rPr>
      </w:pPr>
      <w:r>
        <w:rPr>
          <w:rFonts w:ascii="Arial" w:cs="Arial" w:eastAsia="Arial" w:hAnsi="Arial"/>
          <w:sz w:val="15"/>
          <w:szCs w:val="15"/>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83450" cy="203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5"/>
          </w:cols>
          <w:pgMar w:left="235" w:top="528" w:right="219" w:bottom="1440" w:gutter="0" w:footer="0" w:header="0"/>
        </w:sectPr>
      </w:pPr>
    </w:p>
    <w:bookmarkStart w:id="32" w:name="page33"/>
    <w:bookmarkEnd w:id="32"/>
    <w:p>
      <w:pPr>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ind w:left="9280"/>
        <w:spacing w:after="0"/>
        <w:rPr>
          <w:sz w:val="20"/>
          <w:szCs w:val="20"/>
          <w:color w:val="auto"/>
        </w:rPr>
      </w:pPr>
      <w:r>
        <w:rPr>
          <w:rFonts w:ascii="Arial" w:cs="Arial" w:eastAsia="Arial" w:hAnsi="Arial"/>
          <w:sz w:val="15"/>
          <w:szCs w:val="15"/>
          <w:u w:val="single" w:color="auto"/>
          <w:color w:val="325889"/>
        </w:rPr>
        <w:t>EXECUTIVE COMPENSATION</w:t>
      </w:r>
    </w:p>
    <w:p>
      <w:pPr>
        <w:spacing w:after="0" w:line="195" w:lineRule="exact"/>
        <w:rPr>
          <w:sz w:val="20"/>
          <w:szCs w:val="20"/>
          <w:color w:val="auto"/>
        </w:rPr>
      </w:pPr>
    </w:p>
    <w:p>
      <w:pPr>
        <w:ind w:right="120"/>
        <w:spacing w:after="0" w:line="265" w:lineRule="auto"/>
        <w:rPr>
          <w:sz w:val="20"/>
          <w:szCs w:val="20"/>
          <w:color w:val="auto"/>
        </w:rPr>
      </w:pPr>
      <w:r>
        <w:rPr>
          <w:rFonts w:ascii="Arial" w:cs="Arial" w:eastAsia="Arial" w:hAnsi="Arial"/>
          <w:sz w:val="15"/>
          <w:szCs w:val="15"/>
          <w:color w:val="auto"/>
        </w:rPr>
        <w:t>strong TRS during the performance periods of our two previous outperformance plans and the awards earned by our executives pursuant to those plans, as compared to our performance through December 31, 2016 relative to the robust performance hurdles contained in our 2014 Outperformance Plan:</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325889"/>
              </w:rPr>
              <w:t>2010 Notional</w:t>
            </w: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131"/>
        </w:trPr>
        <w:tc>
          <w:tcPr>
            <w:tcW w:w="5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gridSpan w:val="2"/>
          </w:tcPr>
          <w:p>
            <w:pPr>
              <w:jc w:val="right"/>
              <w:ind w:right="140"/>
              <w:spacing w:after="0" w:line="131" w:lineRule="exact"/>
              <w:rPr>
                <w:sz w:val="20"/>
                <w:szCs w:val="20"/>
                <w:color w:val="auto"/>
              </w:rPr>
            </w:pPr>
            <w:r>
              <w:rPr>
                <w:rFonts w:ascii="Arial" w:cs="Arial" w:eastAsia="Arial" w:hAnsi="Arial"/>
                <w:sz w:val="12"/>
                <w:szCs w:val="12"/>
                <w:b w:val="1"/>
                <w:bCs w:val="1"/>
                <w:color w:val="325889"/>
              </w:rPr>
              <w:t>Unit Long-Term</w:t>
            </w:r>
          </w:p>
        </w:tc>
        <w:tc>
          <w:tcPr>
            <w:tcW w:w="1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60" w:type="dxa"/>
            <w:vAlign w:val="bottom"/>
          </w:tcPr>
          <w:p>
            <w:pPr>
              <w:spacing w:after="0"/>
              <w:rPr>
                <w:sz w:val="11"/>
                <w:szCs w:val="11"/>
                <w:color w:val="auto"/>
              </w:rPr>
            </w:pPr>
          </w:p>
        </w:tc>
      </w:tr>
      <w:tr>
        <w:trPr>
          <w:trHeight w:val="162"/>
        </w:trPr>
        <w:tc>
          <w:tcPr>
            <w:tcW w:w="5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325889"/>
              </w:rPr>
              <w:t>Compensation Plan</w:t>
            </w:r>
          </w:p>
        </w:tc>
        <w:tc>
          <w:tcPr>
            <w:tcW w:w="178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325889"/>
              </w:rPr>
              <w:t>2011 Outperformance Plan</w:t>
            </w:r>
          </w:p>
        </w:tc>
        <w:tc>
          <w:tcPr>
            <w:tcW w:w="2160" w:type="dxa"/>
            <w:vAlign w:val="bottom"/>
          </w:tcPr>
          <w:p>
            <w:pPr>
              <w:jc w:val="right"/>
              <w:spacing w:after="0"/>
              <w:rPr>
                <w:sz w:val="20"/>
                <w:szCs w:val="20"/>
                <w:color w:val="auto"/>
              </w:rPr>
            </w:pPr>
            <w:r>
              <w:rPr>
                <w:rFonts w:ascii="Arial" w:cs="Arial" w:eastAsia="Arial" w:hAnsi="Arial"/>
                <w:sz w:val="12"/>
                <w:szCs w:val="12"/>
                <w:b w:val="1"/>
                <w:bCs w:val="1"/>
                <w:color w:val="325889"/>
              </w:rPr>
              <w:t>2014 Outperformance Plan</w:t>
            </w:r>
          </w:p>
        </w:tc>
      </w:tr>
      <w:tr>
        <w:trPr>
          <w:trHeight w:val="30"/>
        </w:trPr>
        <w:tc>
          <w:tcPr>
            <w:tcW w:w="564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shd w:val="clear" w:color="auto" w:fill="325889"/>
          </w:tcPr>
          <w:p>
            <w:pPr>
              <w:spacing w:after="0"/>
              <w:rPr>
                <w:sz w:val="2"/>
                <w:szCs w:val="2"/>
                <w:color w:val="auto"/>
              </w:rPr>
            </w:pPr>
          </w:p>
        </w:tc>
      </w:tr>
      <w:tr>
        <w:trPr>
          <w:trHeight w:val="207"/>
        </w:trPr>
        <w:tc>
          <w:tcPr>
            <w:tcW w:w="5640" w:type="dxa"/>
            <w:vAlign w:val="bottom"/>
          </w:tcPr>
          <w:p>
            <w:pPr>
              <w:spacing w:after="0"/>
              <w:rPr>
                <w:sz w:val="20"/>
                <w:szCs w:val="20"/>
                <w:color w:val="auto"/>
              </w:rPr>
            </w:pPr>
            <w:r>
              <w:rPr>
                <w:rFonts w:ascii="Arial" w:cs="Arial" w:eastAsia="Arial" w:hAnsi="Arial"/>
                <w:sz w:val="15"/>
                <w:szCs w:val="15"/>
                <w:color w:val="auto"/>
              </w:rPr>
              <w:t>Performance Period</w:t>
            </w:r>
          </w:p>
        </w:tc>
        <w:tc>
          <w:tcPr>
            <w:tcW w:w="140" w:type="dxa"/>
            <w:vAlign w:val="bottom"/>
          </w:tcPr>
          <w:p>
            <w:pPr>
              <w:spacing w:after="0"/>
              <w:rPr>
                <w:sz w:val="17"/>
                <w:szCs w:val="17"/>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5"/>
                <w:szCs w:val="15"/>
                <w:color w:val="auto"/>
              </w:rPr>
              <w:t>Dec. 2009 – Nov. 2012</w:t>
            </w:r>
          </w:p>
        </w:tc>
        <w:tc>
          <w:tcPr>
            <w:tcW w:w="1780" w:type="dxa"/>
            <w:vAlign w:val="bottom"/>
            <w:gridSpan w:val="2"/>
          </w:tcPr>
          <w:p>
            <w:pPr>
              <w:jc w:val="right"/>
              <w:ind w:right="140"/>
              <w:spacing w:after="0"/>
              <w:rPr>
                <w:sz w:val="20"/>
                <w:szCs w:val="20"/>
                <w:color w:val="auto"/>
              </w:rPr>
            </w:pPr>
            <w:r>
              <w:rPr>
                <w:rFonts w:ascii="Arial" w:cs="Arial" w:eastAsia="Arial" w:hAnsi="Arial"/>
                <w:sz w:val="15"/>
                <w:szCs w:val="15"/>
                <w:color w:val="auto"/>
              </w:rPr>
              <w:t>Sept. 2011 – Aug. 2014</w:t>
            </w:r>
          </w:p>
        </w:tc>
        <w:tc>
          <w:tcPr>
            <w:tcW w:w="2160" w:type="dxa"/>
            <w:vAlign w:val="bottom"/>
          </w:tcPr>
          <w:p>
            <w:pPr>
              <w:jc w:val="right"/>
              <w:spacing w:after="0"/>
              <w:rPr>
                <w:sz w:val="20"/>
                <w:szCs w:val="20"/>
                <w:color w:val="auto"/>
              </w:rPr>
            </w:pPr>
            <w:r>
              <w:rPr>
                <w:rFonts w:ascii="Arial" w:cs="Arial" w:eastAsia="Arial" w:hAnsi="Arial"/>
                <w:sz w:val="15"/>
                <w:szCs w:val="15"/>
                <w:color w:val="auto"/>
              </w:rPr>
              <w:t>Sept. 2014 – Aug. 2017</w:t>
            </w:r>
          </w:p>
        </w:tc>
      </w:tr>
      <w:tr>
        <w:trPr>
          <w:trHeight w:val="20"/>
        </w:trPr>
        <w:tc>
          <w:tcPr>
            <w:tcW w:w="564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shd w:val="clear" w:color="auto" w:fill="98A3B8"/>
          </w:tcPr>
          <w:p>
            <w:pPr>
              <w:spacing w:after="0" w:line="20" w:lineRule="exact"/>
              <w:rPr>
                <w:sz w:val="1"/>
                <w:szCs w:val="1"/>
                <w:color w:val="auto"/>
              </w:rPr>
            </w:pPr>
          </w:p>
        </w:tc>
      </w:tr>
      <w:tr>
        <w:trPr>
          <w:trHeight w:val="205"/>
        </w:trPr>
        <w:tc>
          <w:tcPr>
            <w:tcW w:w="5640" w:type="dxa"/>
            <w:vAlign w:val="bottom"/>
          </w:tcPr>
          <w:p>
            <w:pPr>
              <w:spacing w:after="0"/>
              <w:rPr>
                <w:sz w:val="20"/>
                <w:szCs w:val="20"/>
                <w:color w:val="auto"/>
              </w:rPr>
            </w:pPr>
            <w:r>
              <w:rPr>
                <w:rFonts w:ascii="Arial" w:cs="Arial" w:eastAsia="Arial" w:hAnsi="Arial"/>
                <w:sz w:val="15"/>
                <w:szCs w:val="15"/>
                <w:color w:val="auto"/>
              </w:rPr>
              <w:t>Initial Stock Price</w:t>
            </w:r>
          </w:p>
        </w:tc>
        <w:tc>
          <w:tcPr>
            <w:tcW w:w="140" w:type="dxa"/>
            <w:vAlign w:val="bottom"/>
          </w:tcPr>
          <w:p>
            <w:pPr>
              <w:spacing w:after="0"/>
              <w:rPr>
                <w:sz w:val="17"/>
                <w:szCs w:val="17"/>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5"/>
                <w:szCs w:val="15"/>
                <w:color w:val="auto"/>
              </w:rPr>
              <w:t>$42.37</w:t>
            </w:r>
          </w:p>
        </w:tc>
        <w:tc>
          <w:tcPr>
            <w:tcW w:w="1640" w:type="dxa"/>
            <w:vAlign w:val="bottom"/>
          </w:tcPr>
          <w:p>
            <w:pPr>
              <w:jc w:val="right"/>
              <w:spacing w:after="0"/>
              <w:rPr>
                <w:sz w:val="20"/>
                <w:szCs w:val="20"/>
                <w:color w:val="auto"/>
              </w:rPr>
            </w:pPr>
            <w:r>
              <w:rPr>
                <w:rFonts w:ascii="Arial" w:cs="Arial" w:eastAsia="Arial" w:hAnsi="Arial"/>
                <w:sz w:val="15"/>
                <w:szCs w:val="15"/>
                <w:color w:val="auto"/>
              </w:rPr>
              <w:t>$73.38</w:t>
            </w:r>
          </w:p>
        </w:tc>
        <w:tc>
          <w:tcPr>
            <w:tcW w:w="14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Arial" w:cs="Arial" w:eastAsia="Arial" w:hAnsi="Arial"/>
                <w:sz w:val="15"/>
                <w:szCs w:val="15"/>
                <w:color w:val="auto"/>
              </w:rPr>
              <w:t>$109.36</w:t>
            </w:r>
          </w:p>
        </w:tc>
      </w:tr>
      <w:tr>
        <w:trPr>
          <w:trHeight w:val="20"/>
        </w:trPr>
        <w:tc>
          <w:tcPr>
            <w:tcW w:w="564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shd w:val="clear" w:color="auto" w:fill="98A3B8"/>
          </w:tcPr>
          <w:p>
            <w:pPr>
              <w:spacing w:after="0" w:line="20" w:lineRule="exact"/>
              <w:rPr>
                <w:sz w:val="1"/>
                <w:szCs w:val="1"/>
                <w:color w:val="auto"/>
              </w:rPr>
            </w:pPr>
          </w:p>
        </w:tc>
      </w:tr>
      <w:tr>
        <w:trPr>
          <w:trHeight w:val="205"/>
        </w:trPr>
        <w:tc>
          <w:tcPr>
            <w:tcW w:w="5640" w:type="dxa"/>
            <w:vAlign w:val="bottom"/>
          </w:tcPr>
          <w:p>
            <w:pPr>
              <w:spacing w:after="0"/>
              <w:rPr>
                <w:sz w:val="20"/>
                <w:szCs w:val="20"/>
                <w:color w:val="auto"/>
              </w:rPr>
            </w:pPr>
            <w:r>
              <w:rPr>
                <w:rFonts w:ascii="Arial" w:cs="Arial" w:eastAsia="Arial" w:hAnsi="Arial"/>
                <w:sz w:val="15"/>
                <w:szCs w:val="15"/>
                <w:color w:val="auto"/>
              </w:rPr>
              <w:t>Maximum Plan Award</w:t>
            </w:r>
          </w:p>
        </w:tc>
        <w:tc>
          <w:tcPr>
            <w:tcW w:w="140" w:type="dxa"/>
            <w:vAlign w:val="bottom"/>
          </w:tcPr>
          <w:p>
            <w:pPr>
              <w:spacing w:after="0"/>
              <w:rPr>
                <w:sz w:val="17"/>
                <w:szCs w:val="17"/>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5"/>
                <w:szCs w:val="15"/>
                <w:color w:val="auto"/>
              </w:rPr>
              <w:t>$75.0 million</w:t>
            </w:r>
          </w:p>
        </w:tc>
        <w:tc>
          <w:tcPr>
            <w:tcW w:w="1780" w:type="dxa"/>
            <w:vAlign w:val="bottom"/>
            <w:gridSpan w:val="2"/>
          </w:tcPr>
          <w:p>
            <w:pPr>
              <w:jc w:val="right"/>
              <w:ind w:right="140"/>
              <w:spacing w:after="0"/>
              <w:rPr>
                <w:sz w:val="20"/>
                <w:szCs w:val="20"/>
                <w:color w:val="auto"/>
              </w:rPr>
            </w:pPr>
            <w:r>
              <w:rPr>
                <w:rFonts w:ascii="Arial" w:cs="Arial" w:eastAsia="Arial" w:hAnsi="Arial"/>
                <w:sz w:val="15"/>
                <w:szCs w:val="15"/>
                <w:color w:val="auto"/>
              </w:rPr>
              <w:t>$85.0 million</w:t>
            </w:r>
          </w:p>
        </w:tc>
        <w:tc>
          <w:tcPr>
            <w:tcW w:w="2160" w:type="dxa"/>
            <w:vAlign w:val="bottom"/>
          </w:tcPr>
          <w:p>
            <w:pPr>
              <w:jc w:val="right"/>
              <w:spacing w:after="0"/>
              <w:rPr>
                <w:sz w:val="20"/>
                <w:szCs w:val="20"/>
                <w:color w:val="auto"/>
              </w:rPr>
            </w:pPr>
            <w:r>
              <w:rPr>
                <w:rFonts w:ascii="Arial" w:cs="Arial" w:eastAsia="Arial" w:hAnsi="Arial"/>
                <w:sz w:val="15"/>
                <w:szCs w:val="15"/>
                <w:color w:val="auto"/>
              </w:rPr>
              <w:t>610,000 LTIP units</w:t>
            </w:r>
          </w:p>
        </w:tc>
      </w:tr>
      <w:tr>
        <w:trPr>
          <w:trHeight w:val="20"/>
        </w:trPr>
        <w:tc>
          <w:tcPr>
            <w:tcW w:w="564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shd w:val="clear" w:color="auto" w:fill="98A3B8"/>
          </w:tcPr>
          <w:p>
            <w:pPr>
              <w:spacing w:after="0" w:line="20" w:lineRule="exact"/>
              <w:rPr>
                <w:sz w:val="1"/>
                <w:szCs w:val="1"/>
                <w:color w:val="auto"/>
              </w:rPr>
            </w:pPr>
          </w:p>
        </w:tc>
      </w:tr>
      <w:tr>
        <w:trPr>
          <w:trHeight w:val="199"/>
        </w:trPr>
        <w:tc>
          <w:tcPr>
            <w:tcW w:w="5640" w:type="dxa"/>
            <w:vAlign w:val="bottom"/>
          </w:tcPr>
          <w:p>
            <w:pPr>
              <w:spacing w:after="0"/>
              <w:rPr>
                <w:sz w:val="20"/>
                <w:szCs w:val="20"/>
                <w:color w:val="auto"/>
              </w:rPr>
            </w:pPr>
            <w:r>
              <w:rPr>
                <w:rFonts w:ascii="Arial" w:cs="Arial" w:eastAsia="Arial" w:hAnsi="Arial"/>
                <w:sz w:val="15"/>
                <w:szCs w:val="15"/>
                <w:color w:val="auto"/>
              </w:rPr>
              <w:t>Cumulative Absolute</w:t>
            </w:r>
          </w:p>
        </w:tc>
        <w:tc>
          <w:tcPr>
            <w:tcW w:w="140" w:type="dxa"/>
            <w:vAlign w:val="bottom"/>
          </w:tcPr>
          <w:p>
            <w:pPr>
              <w:spacing w:after="0"/>
              <w:rPr>
                <w:sz w:val="17"/>
                <w:szCs w:val="17"/>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5"/>
                <w:szCs w:val="15"/>
                <w:color w:val="auto"/>
              </w:rPr>
              <w:t>25% - 50%</w:t>
            </w:r>
          </w:p>
        </w:tc>
        <w:tc>
          <w:tcPr>
            <w:tcW w:w="1640" w:type="dxa"/>
            <w:vAlign w:val="bottom"/>
          </w:tcPr>
          <w:p>
            <w:pPr>
              <w:jc w:val="right"/>
              <w:spacing w:after="0"/>
              <w:rPr>
                <w:sz w:val="20"/>
                <w:szCs w:val="20"/>
                <w:color w:val="auto"/>
              </w:rPr>
            </w:pPr>
            <w:r>
              <w:rPr>
                <w:rFonts w:ascii="Arial" w:cs="Arial" w:eastAsia="Arial" w:hAnsi="Arial"/>
                <w:sz w:val="15"/>
                <w:szCs w:val="15"/>
                <w:color w:val="auto"/>
              </w:rPr>
              <w:t>25% - 38%</w:t>
            </w:r>
          </w:p>
        </w:tc>
        <w:tc>
          <w:tcPr>
            <w:tcW w:w="14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Arial" w:cs="Arial" w:eastAsia="Arial" w:hAnsi="Arial"/>
                <w:sz w:val="15"/>
                <w:szCs w:val="15"/>
                <w:color w:val="auto"/>
              </w:rPr>
              <w:t>25% - 50%</w:t>
            </w:r>
          </w:p>
        </w:tc>
      </w:tr>
      <w:tr>
        <w:trPr>
          <w:trHeight w:val="220"/>
        </w:trPr>
        <w:tc>
          <w:tcPr>
            <w:tcW w:w="564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Hurdle Range</w:t>
            </w:r>
          </w:p>
        </w:tc>
        <w:tc>
          <w:tcPr>
            <w:tcW w:w="140" w:type="dxa"/>
            <w:vAlign w:val="bottom"/>
          </w:tcPr>
          <w:p>
            <w:pPr>
              <w:spacing w:after="0"/>
              <w:rPr>
                <w:sz w:val="19"/>
                <w:szCs w:val="19"/>
                <w:color w:val="auto"/>
              </w:rPr>
            </w:pPr>
          </w:p>
        </w:tc>
        <w:tc>
          <w:tcPr>
            <w:tcW w:w="1580" w:type="dxa"/>
            <w:vAlign w:val="bottom"/>
            <w:tcBorders>
              <w:bottom w:val="single" w:sz="8" w:color="98A3B8"/>
            </w:tcBorders>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Borders>
              <w:bottom w:val="single" w:sz="8" w:color="98A3B8"/>
            </w:tcBorders>
          </w:tcPr>
          <w:p>
            <w:pPr>
              <w:spacing w:after="0"/>
              <w:rPr>
                <w:sz w:val="19"/>
                <w:szCs w:val="19"/>
                <w:color w:val="auto"/>
              </w:rPr>
            </w:pPr>
          </w:p>
        </w:tc>
        <w:tc>
          <w:tcPr>
            <w:tcW w:w="140" w:type="dxa"/>
            <w:vAlign w:val="bottom"/>
          </w:tcPr>
          <w:p>
            <w:pPr>
              <w:spacing w:after="0"/>
              <w:rPr>
                <w:sz w:val="19"/>
                <w:szCs w:val="19"/>
                <w:color w:val="auto"/>
              </w:rPr>
            </w:pPr>
          </w:p>
        </w:tc>
        <w:tc>
          <w:tcPr>
            <w:tcW w:w="2160" w:type="dxa"/>
            <w:vAlign w:val="bottom"/>
            <w:tcBorders>
              <w:bottom w:val="single" w:sz="8" w:color="98A3B8"/>
            </w:tcBorders>
          </w:tcPr>
          <w:p>
            <w:pPr>
              <w:spacing w:after="0"/>
              <w:rPr>
                <w:sz w:val="19"/>
                <w:szCs w:val="19"/>
                <w:color w:val="auto"/>
              </w:rPr>
            </w:pPr>
          </w:p>
        </w:tc>
      </w:tr>
      <w:tr>
        <w:trPr>
          <w:trHeight w:val="199"/>
        </w:trPr>
        <w:tc>
          <w:tcPr>
            <w:tcW w:w="5780" w:type="dxa"/>
            <w:vAlign w:val="bottom"/>
            <w:gridSpan w:val="2"/>
          </w:tcPr>
          <w:p>
            <w:pPr>
              <w:spacing w:after="0"/>
              <w:rPr>
                <w:sz w:val="20"/>
                <w:szCs w:val="20"/>
                <w:color w:val="auto"/>
              </w:rPr>
            </w:pPr>
            <w:r>
              <w:rPr>
                <w:rFonts w:ascii="Arial" w:cs="Arial" w:eastAsia="Arial" w:hAnsi="Arial"/>
                <w:sz w:val="15"/>
                <w:szCs w:val="15"/>
                <w:color w:val="auto"/>
              </w:rPr>
              <w:t>Absolute Hurdle Achieved?</w:t>
            </w:r>
          </w:p>
        </w:tc>
        <w:tc>
          <w:tcPr>
            <w:tcW w:w="1720" w:type="dxa"/>
            <w:vAlign w:val="bottom"/>
            <w:gridSpan w:val="2"/>
          </w:tcPr>
          <w:p>
            <w:pPr>
              <w:jc w:val="right"/>
              <w:ind w:right="140"/>
              <w:spacing w:after="0"/>
              <w:rPr>
                <w:sz w:val="20"/>
                <w:szCs w:val="20"/>
                <w:color w:val="auto"/>
              </w:rPr>
            </w:pPr>
            <w:r>
              <w:rPr>
                <w:rFonts w:ascii="Arial" w:cs="Arial" w:eastAsia="Arial" w:hAnsi="Arial"/>
                <w:sz w:val="15"/>
                <w:szCs w:val="15"/>
                <w:color w:val="auto"/>
              </w:rPr>
              <w:t>YES – 85% TRS</w:t>
            </w:r>
          </w:p>
        </w:tc>
        <w:tc>
          <w:tcPr>
            <w:tcW w:w="1780" w:type="dxa"/>
            <w:vAlign w:val="bottom"/>
            <w:gridSpan w:val="2"/>
          </w:tcPr>
          <w:p>
            <w:pPr>
              <w:jc w:val="right"/>
              <w:ind w:right="140"/>
              <w:spacing w:after="0"/>
              <w:rPr>
                <w:sz w:val="20"/>
                <w:szCs w:val="20"/>
                <w:color w:val="auto"/>
              </w:rPr>
            </w:pPr>
            <w:r>
              <w:rPr>
                <w:rFonts w:ascii="Arial" w:cs="Arial" w:eastAsia="Arial" w:hAnsi="Arial"/>
                <w:sz w:val="15"/>
                <w:szCs w:val="15"/>
                <w:color w:val="auto"/>
              </w:rPr>
              <w:t>YES – 54% TRS</w:t>
            </w:r>
          </w:p>
        </w:tc>
        <w:tc>
          <w:tcPr>
            <w:tcW w:w="2160" w:type="dxa"/>
            <w:vAlign w:val="bottom"/>
          </w:tcPr>
          <w:p>
            <w:pPr>
              <w:jc w:val="right"/>
              <w:spacing w:after="0"/>
              <w:rPr>
                <w:sz w:val="20"/>
                <w:szCs w:val="20"/>
                <w:color w:val="auto"/>
              </w:rPr>
            </w:pPr>
            <w:r>
              <w:rPr>
                <w:rFonts w:ascii="Arial" w:cs="Arial" w:eastAsia="Arial" w:hAnsi="Arial"/>
                <w:sz w:val="15"/>
                <w:szCs w:val="15"/>
                <w:color w:val="auto"/>
              </w:rPr>
              <w:t>NOT YET – 4.5% TRS for the</w:t>
            </w:r>
          </w:p>
        </w:tc>
      </w:tr>
      <w:tr>
        <w:trPr>
          <w:trHeight w:val="214"/>
        </w:trPr>
        <w:tc>
          <w:tcPr>
            <w:tcW w:w="5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($76.42 + $1.80</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($109.36 + $3.92</w:t>
            </w:r>
          </w:p>
        </w:tc>
        <w:tc>
          <w:tcPr>
            <w:tcW w:w="14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5"/>
                <w:szCs w:val="15"/>
                <w:color w:val="auto"/>
              </w:rPr>
              <w:t>28 months ended 12/31/16</w:t>
            </w:r>
          </w:p>
        </w:tc>
      </w:tr>
      <w:tr>
        <w:trPr>
          <w:trHeight w:val="220"/>
        </w:trPr>
        <w:tc>
          <w:tcPr>
            <w:tcW w:w="5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5"/>
                <w:szCs w:val="15"/>
                <w:color w:val="auto"/>
              </w:rPr>
              <w:t>dividends)</w:t>
            </w:r>
          </w:p>
        </w:tc>
        <w:tc>
          <w:tcPr>
            <w:tcW w:w="1780" w:type="dxa"/>
            <w:vAlign w:val="bottom"/>
            <w:gridSpan w:val="2"/>
          </w:tcPr>
          <w:p>
            <w:pPr>
              <w:jc w:val="right"/>
              <w:ind w:right="140"/>
              <w:spacing w:after="0"/>
              <w:rPr>
                <w:sz w:val="20"/>
                <w:szCs w:val="20"/>
                <w:color w:val="auto"/>
              </w:rPr>
            </w:pPr>
            <w:r>
              <w:rPr>
                <w:rFonts w:ascii="Arial" w:cs="Arial" w:eastAsia="Arial" w:hAnsi="Arial"/>
                <w:sz w:val="15"/>
                <w:szCs w:val="15"/>
                <w:color w:val="auto"/>
              </w:rPr>
              <w:t>dividends)</w:t>
            </w:r>
          </w:p>
        </w:tc>
        <w:tc>
          <w:tcPr>
            <w:tcW w:w="2160" w:type="dxa"/>
            <w:vAlign w:val="bottom"/>
          </w:tcPr>
          <w:p>
            <w:pPr>
              <w:jc w:val="right"/>
              <w:spacing w:after="0"/>
              <w:rPr>
                <w:sz w:val="20"/>
                <w:szCs w:val="20"/>
                <w:color w:val="auto"/>
              </w:rPr>
            </w:pPr>
            <w:r>
              <w:rPr>
                <w:rFonts w:ascii="Arial" w:cs="Arial" w:eastAsia="Arial" w:hAnsi="Arial"/>
                <w:sz w:val="15"/>
                <w:szCs w:val="15"/>
                <w:color w:val="auto"/>
              </w:rPr>
              <w:t>($107.55 + $6.56 dividends)</w:t>
            </w:r>
          </w:p>
        </w:tc>
      </w:tr>
      <w:tr>
        <w:trPr>
          <w:trHeight w:val="20"/>
        </w:trPr>
        <w:tc>
          <w:tcPr>
            <w:tcW w:w="564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shd w:val="clear" w:color="auto" w:fill="98A3B8"/>
          </w:tcPr>
          <w:p>
            <w:pPr>
              <w:spacing w:after="0" w:line="20" w:lineRule="exact"/>
              <w:rPr>
                <w:sz w:val="1"/>
                <w:szCs w:val="1"/>
                <w:color w:val="auto"/>
              </w:rPr>
            </w:pPr>
          </w:p>
        </w:tc>
      </w:tr>
      <w:tr>
        <w:trPr>
          <w:trHeight w:val="271"/>
        </w:trPr>
        <w:tc>
          <w:tcPr>
            <w:tcW w:w="5640" w:type="dxa"/>
            <w:vAlign w:val="bottom"/>
          </w:tcPr>
          <w:p>
            <w:pPr>
              <w:spacing w:after="0"/>
              <w:rPr>
                <w:sz w:val="20"/>
                <w:szCs w:val="20"/>
                <w:color w:val="auto"/>
              </w:rPr>
            </w:pPr>
            <w:r>
              <w:rPr>
                <w:rFonts w:ascii="Arial" w:cs="Arial" w:eastAsia="Arial" w:hAnsi="Arial"/>
                <w:sz w:val="15"/>
                <w:szCs w:val="15"/>
                <w:color w:val="auto"/>
              </w:rPr>
              <w:t>Cumulative Relative Hurdle Range</w:t>
            </w:r>
          </w:p>
        </w:tc>
        <w:tc>
          <w:tcPr>
            <w:tcW w:w="140" w:type="dxa"/>
            <w:vAlign w:val="bottom"/>
          </w:tcPr>
          <w:p>
            <w:pPr>
              <w:spacing w:after="0"/>
              <w:rPr>
                <w:sz w:val="23"/>
                <w:szCs w:val="23"/>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5"/>
                <w:szCs w:val="15"/>
                <w:color w:val="auto"/>
              </w:rPr>
              <w:t>N/A</w:t>
            </w:r>
          </w:p>
        </w:tc>
        <w:tc>
          <w:tcPr>
            <w:tcW w:w="1780" w:type="dxa"/>
            <w:vAlign w:val="bottom"/>
            <w:gridSpan w:val="2"/>
          </w:tcPr>
          <w:p>
            <w:pPr>
              <w:jc w:val="right"/>
              <w:ind w:right="140"/>
              <w:spacing w:after="0"/>
              <w:rPr>
                <w:sz w:val="20"/>
                <w:szCs w:val="20"/>
                <w:color w:val="auto"/>
              </w:rPr>
            </w:pPr>
            <w:r>
              <w:rPr>
                <w:rFonts w:ascii="Arial" w:cs="Arial" w:eastAsia="Arial" w:hAnsi="Arial"/>
                <w:sz w:val="15"/>
                <w:szCs w:val="15"/>
                <w:color w:val="auto"/>
              </w:rPr>
              <w:t>N/A</w:t>
            </w:r>
          </w:p>
        </w:tc>
        <w:tc>
          <w:tcPr>
            <w:tcW w:w="2160" w:type="dxa"/>
            <w:vAlign w:val="bottom"/>
          </w:tcPr>
          <w:p>
            <w:pPr>
              <w:jc w:val="right"/>
              <w:spacing w:after="0" w:line="271" w:lineRule="exact"/>
              <w:rPr>
                <w:sz w:val="20"/>
                <w:szCs w:val="20"/>
                <w:color w:val="auto"/>
              </w:rPr>
            </w:pPr>
            <w:r>
              <w:rPr>
                <w:rFonts w:ascii="Arial" w:cs="Arial" w:eastAsia="Arial" w:hAnsi="Arial"/>
                <w:sz w:val="15"/>
                <w:szCs w:val="15"/>
                <w:color w:val="auto"/>
                <w:w w:val="98"/>
              </w:rPr>
              <w:t>50</w:t>
            </w:r>
            <w:r>
              <w:rPr>
                <w:rFonts w:ascii="Arial" w:cs="Arial" w:eastAsia="Arial" w:hAnsi="Arial"/>
                <w:sz w:val="25"/>
                <w:szCs w:val="25"/>
                <w:color w:val="auto"/>
                <w:w w:val="98"/>
                <w:vertAlign w:val="superscript"/>
              </w:rPr>
              <w:t>th</w:t>
            </w:r>
            <w:r>
              <w:rPr>
                <w:rFonts w:ascii="Arial" w:cs="Arial" w:eastAsia="Arial" w:hAnsi="Arial"/>
                <w:sz w:val="15"/>
                <w:szCs w:val="15"/>
                <w:color w:val="auto"/>
                <w:w w:val="98"/>
              </w:rPr>
              <w:t xml:space="preserve"> percentile – 75</w:t>
            </w:r>
            <w:r>
              <w:rPr>
                <w:rFonts w:ascii="Arial" w:cs="Arial" w:eastAsia="Arial" w:hAnsi="Arial"/>
                <w:sz w:val="25"/>
                <w:szCs w:val="25"/>
                <w:color w:val="auto"/>
                <w:w w:val="98"/>
                <w:vertAlign w:val="superscript"/>
              </w:rPr>
              <w:t>th</w:t>
            </w:r>
            <w:r>
              <w:rPr>
                <w:rFonts w:ascii="Arial" w:cs="Arial" w:eastAsia="Arial" w:hAnsi="Arial"/>
                <w:sz w:val="15"/>
                <w:szCs w:val="15"/>
                <w:color w:val="auto"/>
                <w:w w:val="98"/>
              </w:rPr>
              <w:t xml:space="preserve"> percentile</w:t>
            </w:r>
          </w:p>
        </w:tc>
      </w:tr>
      <w:tr>
        <w:trPr>
          <w:trHeight w:val="20"/>
        </w:trPr>
        <w:tc>
          <w:tcPr>
            <w:tcW w:w="564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shd w:val="clear" w:color="auto" w:fill="98A3B8"/>
          </w:tcPr>
          <w:p>
            <w:pPr>
              <w:spacing w:after="0" w:line="20" w:lineRule="exact"/>
              <w:rPr>
                <w:sz w:val="1"/>
                <w:szCs w:val="1"/>
                <w:color w:val="auto"/>
              </w:rPr>
            </w:pPr>
          </w:p>
        </w:tc>
      </w:tr>
      <w:tr>
        <w:trPr>
          <w:trHeight w:val="279"/>
        </w:trPr>
        <w:tc>
          <w:tcPr>
            <w:tcW w:w="5640" w:type="dxa"/>
            <w:vAlign w:val="bottom"/>
          </w:tcPr>
          <w:p>
            <w:pPr>
              <w:spacing w:after="0"/>
              <w:rPr>
                <w:sz w:val="20"/>
                <w:szCs w:val="20"/>
                <w:color w:val="auto"/>
              </w:rPr>
            </w:pPr>
            <w:r>
              <w:rPr>
                <w:rFonts w:ascii="Arial" w:cs="Arial" w:eastAsia="Arial" w:hAnsi="Arial"/>
                <w:sz w:val="15"/>
                <w:szCs w:val="15"/>
                <w:color w:val="auto"/>
              </w:rPr>
              <w:t>Relative Hurdle Achieved?</w:t>
            </w:r>
          </w:p>
        </w:tc>
        <w:tc>
          <w:tcPr>
            <w:tcW w:w="140" w:type="dxa"/>
            <w:vAlign w:val="bottom"/>
          </w:tcPr>
          <w:p>
            <w:pPr>
              <w:spacing w:after="0"/>
              <w:rPr>
                <w:sz w:val="24"/>
                <w:szCs w:val="24"/>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5"/>
                <w:szCs w:val="15"/>
                <w:color w:val="auto"/>
              </w:rPr>
              <w:t>N/A</w:t>
            </w:r>
          </w:p>
        </w:tc>
        <w:tc>
          <w:tcPr>
            <w:tcW w:w="1780" w:type="dxa"/>
            <w:vAlign w:val="bottom"/>
            <w:gridSpan w:val="2"/>
          </w:tcPr>
          <w:p>
            <w:pPr>
              <w:jc w:val="right"/>
              <w:ind w:right="140"/>
              <w:spacing w:after="0"/>
              <w:rPr>
                <w:sz w:val="20"/>
                <w:szCs w:val="20"/>
                <w:color w:val="auto"/>
              </w:rPr>
            </w:pPr>
            <w:r>
              <w:rPr>
                <w:rFonts w:ascii="Arial" w:cs="Arial" w:eastAsia="Arial" w:hAnsi="Arial"/>
                <w:sz w:val="15"/>
                <w:szCs w:val="15"/>
                <w:color w:val="auto"/>
              </w:rPr>
              <w:t>N/A</w:t>
            </w:r>
          </w:p>
        </w:tc>
        <w:tc>
          <w:tcPr>
            <w:tcW w:w="2160" w:type="dxa"/>
            <w:vAlign w:val="bottom"/>
          </w:tcPr>
          <w:p>
            <w:pPr>
              <w:jc w:val="right"/>
              <w:spacing w:after="0" w:line="280" w:lineRule="exact"/>
              <w:rPr>
                <w:sz w:val="20"/>
                <w:szCs w:val="20"/>
                <w:color w:val="auto"/>
              </w:rPr>
            </w:pPr>
            <w:r>
              <w:rPr>
                <w:rFonts w:ascii="Arial" w:cs="Arial" w:eastAsia="Arial" w:hAnsi="Arial"/>
                <w:sz w:val="15"/>
                <w:szCs w:val="15"/>
                <w:color w:val="auto"/>
              </w:rPr>
              <w:t>NOT YET – 24</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percentile for</w:t>
            </w:r>
          </w:p>
        </w:tc>
      </w:tr>
      <w:tr>
        <w:trPr>
          <w:trHeight w:val="203"/>
        </w:trPr>
        <w:tc>
          <w:tcPr>
            <w:tcW w:w="5640" w:type="dxa"/>
            <w:vAlign w:val="bottom"/>
            <w:tcBorders>
              <w:bottom w:val="single" w:sz="8" w:color="325889"/>
            </w:tcBorders>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Borders>
              <w:bottom w:val="single" w:sz="8" w:color="325889"/>
            </w:tcBorders>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Borders>
              <w:bottom w:val="single" w:sz="8" w:color="325889"/>
            </w:tcBorders>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Borders>
              <w:bottom w:val="single" w:sz="8" w:color="325889"/>
            </w:tcBorders>
          </w:tcPr>
          <w:p>
            <w:pPr>
              <w:jc w:val="right"/>
              <w:spacing w:after="0"/>
              <w:rPr>
                <w:sz w:val="20"/>
                <w:szCs w:val="20"/>
                <w:color w:val="auto"/>
              </w:rPr>
            </w:pPr>
            <w:r>
              <w:rPr>
                <w:rFonts w:ascii="Arial" w:cs="Arial" w:eastAsia="Arial" w:hAnsi="Arial"/>
                <w:sz w:val="15"/>
                <w:szCs w:val="15"/>
                <w:color w:val="auto"/>
              </w:rPr>
              <w:t>the 28 months ended 12/31/16</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325889"/>
        </w:rPr>
        <w:t>2014 Outperformance Plan</w:t>
      </w:r>
    </w:p>
    <w:p>
      <w:pPr>
        <w:spacing w:after="0" w:line="200" w:lineRule="exact"/>
        <w:rPr>
          <w:sz w:val="20"/>
          <w:szCs w:val="20"/>
          <w:color w:val="auto"/>
        </w:rPr>
      </w:pPr>
    </w:p>
    <w:p>
      <w:pPr>
        <w:ind w:right="60"/>
        <w:spacing w:after="0" w:line="253" w:lineRule="auto"/>
        <w:rPr>
          <w:sz w:val="20"/>
          <w:szCs w:val="20"/>
          <w:color w:val="auto"/>
        </w:rPr>
      </w:pPr>
      <w:r>
        <w:rPr>
          <w:rFonts w:ascii="Arial" w:cs="Arial" w:eastAsia="Arial" w:hAnsi="Arial"/>
          <w:sz w:val="15"/>
          <w:szCs w:val="15"/>
          <w:color w:val="auto"/>
        </w:rPr>
        <w:t>In August 2014, the Committee approved the general terms of our 2014 Outperformance Plan. Under our 2014 Outperformance Plan, participants may earn awards based on our TRS on an absolute basis as well as on a relative basis compared to the constituents of the MSCI US REIT Index, or Index Companies, over a three-year performance period beginning on September 1, 2014 and continuing through August 31, 2017. Awards earned based on absolute TRS will be determined independently of awards earned based on relative TRS.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109220</wp:posOffset>
            </wp:positionV>
            <wp:extent cx="7263130" cy="3162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3130" cy="316230"/>
                    </a:xfrm>
                    <a:prstGeom prst="rect">
                      <a:avLst/>
                    </a:prstGeom>
                    <a:noFill/>
                  </pic:spPr>
                </pic:pic>
              </a:graphicData>
            </a:graphic>
          </wp:anchor>
        </w:drawing>
      </w:r>
    </w:p>
    <w:p>
      <w:pPr>
        <w:spacing w:after="0" w:line="208" w:lineRule="exact"/>
        <w:rPr>
          <w:sz w:val="20"/>
          <w:szCs w:val="20"/>
          <w:color w:val="auto"/>
        </w:rPr>
      </w:pPr>
    </w:p>
    <w:p>
      <w:pPr>
        <w:ind w:left="80" w:right="140"/>
        <w:spacing w:after="0" w:line="290" w:lineRule="auto"/>
        <w:rPr>
          <w:sz w:val="20"/>
          <w:szCs w:val="20"/>
          <w:color w:val="auto"/>
        </w:rPr>
      </w:pPr>
      <w:r>
        <w:rPr>
          <w:rFonts w:ascii="Arial" w:cs="Arial" w:eastAsia="Arial" w:hAnsi="Arial"/>
          <w:sz w:val="15"/>
          <w:szCs w:val="15"/>
          <w:color w:val="auto"/>
        </w:rPr>
        <w:t xml:space="preserve">In order for participants to earn the full award under our 2014 Outperformance Plan, our TRS during the performance period must equal or exceed </w:t>
      </w:r>
      <w:r>
        <w:rPr>
          <w:rFonts w:ascii="Arial" w:cs="Arial" w:eastAsia="Arial" w:hAnsi="Arial"/>
          <w:sz w:val="15"/>
          <w:szCs w:val="15"/>
          <w:b w:val="1"/>
          <w:bCs w:val="1"/>
          <w:color w:val="auto"/>
        </w:rPr>
        <w:t>50%</w:t>
      </w:r>
      <w:r>
        <w:rPr>
          <w:rFonts w:ascii="Arial" w:cs="Arial" w:eastAsia="Arial" w:hAnsi="Arial"/>
          <w:sz w:val="15"/>
          <w:szCs w:val="15"/>
          <w:color w:val="auto"/>
        </w:rPr>
        <w:t xml:space="preserve">, which would represent total returns to stockholders in excess of </w:t>
      </w:r>
      <w:r>
        <w:rPr>
          <w:rFonts w:ascii="Arial" w:cs="Arial" w:eastAsia="Arial" w:hAnsi="Arial"/>
          <w:sz w:val="15"/>
          <w:szCs w:val="15"/>
          <w:b w:val="1"/>
          <w:bCs w:val="1"/>
          <w:color w:val="auto"/>
        </w:rPr>
        <w:t>$5 billion</w:t>
      </w:r>
      <w:r>
        <w:rPr>
          <w:rFonts w:ascii="Arial" w:cs="Arial" w:eastAsia="Arial" w:hAnsi="Arial"/>
          <w:sz w:val="15"/>
          <w:szCs w:val="15"/>
          <w:color w:val="auto"/>
        </w:rPr>
        <w:t xml:space="preserve">, and be in the </w:t>
      </w:r>
      <w:r>
        <w:rPr>
          <w:rFonts w:ascii="Arial" w:cs="Arial" w:eastAsia="Arial" w:hAnsi="Arial"/>
          <w:sz w:val="15"/>
          <w:szCs w:val="15"/>
          <w:b w:val="1"/>
          <w:bCs w:val="1"/>
          <w:color w:val="auto"/>
        </w:rPr>
        <w:t>top 25%</w:t>
      </w:r>
      <w:r>
        <w:rPr>
          <w:rFonts w:ascii="Arial" w:cs="Arial" w:eastAsia="Arial" w:hAnsi="Arial"/>
          <w:sz w:val="15"/>
          <w:szCs w:val="15"/>
          <w:color w:val="auto"/>
        </w:rPr>
        <w:t xml:space="preserve"> of Index Companies.</w:t>
      </w:r>
    </w:p>
    <w:p>
      <w:pPr>
        <w:spacing w:after="0" w:line="218" w:lineRule="exact"/>
        <w:rPr>
          <w:sz w:val="20"/>
          <w:szCs w:val="20"/>
          <w:color w:val="auto"/>
        </w:rPr>
      </w:pPr>
    </w:p>
    <w:p>
      <w:pPr>
        <w:jc w:val="both"/>
        <w:ind w:right="80"/>
        <w:spacing w:after="0" w:line="256" w:lineRule="auto"/>
        <w:rPr>
          <w:sz w:val="20"/>
          <w:szCs w:val="20"/>
          <w:color w:val="auto"/>
        </w:rPr>
      </w:pPr>
      <w:r>
        <w:rPr>
          <w:rFonts w:ascii="Arial" w:cs="Arial" w:eastAsia="Arial" w:hAnsi="Arial"/>
          <w:sz w:val="15"/>
          <w:szCs w:val="15"/>
          <w:color w:val="auto"/>
        </w:rPr>
        <w:t>Our 2014 Outperformance Plan was designed to be complementary to the SL Green Realty Corp. 2011 Long-Term Outperformance Plan, or our 2011 Outperformance Plan, as the baseline stock price for measuring performance under our 2014 Outperformance Plan exceeds the stock price at which maximum stock price appreciation would be achieved under our 2011 Outperformance Plan.</w:t>
      </w:r>
    </w:p>
    <w:p>
      <w:pPr>
        <w:spacing w:after="0" w:line="172" w:lineRule="exact"/>
        <w:rPr>
          <w:sz w:val="20"/>
          <w:szCs w:val="20"/>
          <w:color w:val="auto"/>
        </w:rPr>
      </w:pPr>
    </w:p>
    <w:p>
      <w:pPr>
        <w:ind w:right="80"/>
        <w:spacing w:after="0" w:line="256" w:lineRule="auto"/>
        <w:rPr>
          <w:sz w:val="20"/>
          <w:szCs w:val="20"/>
          <w:color w:val="auto"/>
        </w:rPr>
      </w:pPr>
      <w:r>
        <w:rPr>
          <w:rFonts w:ascii="Arial" w:cs="Arial" w:eastAsia="Arial" w:hAnsi="Arial"/>
          <w:sz w:val="15"/>
          <w:szCs w:val="15"/>
          <w:color w:val="auto"/>
        </w:rPr>
        <w:t>Awards that are earned under our 2014 Outperformance Plan will also be subject to vesting based on continued employment through August 31, 2018, with 50% of the awards earned vesting on August 31, 2017 and the remaining 50% vesting on August 31, 2018. The maximum number of LTIP units that may be earned under our 2014 Outperformance Plan will be 610,000 LTIP units.</w:t>
      </w:r>
    </w:p>
    <w:p>
      <w:pPr>
        <w:spacing w:after="0" w:line="172" w:lineRule="exact"/>
        <w:rPr>
          <w:sz w:val="20"/>
          <w:szCs w:val="20"/>
          <w:color w:val="auto"/>
        </w:rPr>
      </w:pPr>
    </w:p>
    <w:p>
      <w:pPr>
        <w:ind w:right="120"/>
        <w:spacing w:after="0" w:line="262" w:lineRule="auto"/>
        <w:rPr>
          <w:sz w:val="20"/>
          <w:szCs w:val="20"/>
          <w:color w:val="auto"/>
        </w:rPr>
      </w:pPr>
      <w:r>
        <w:rPr>
          <w:rFonts w:ascii="Arial" w:cs="Arial" w:eastAsia="Arial" w:hAnsi="Arial"/>
          <w:sz w:val="15"/>
          <w:szCs w:val="15"/>
          <w:color w:val="auto"/>
        </w:rPr>
        <w:t>Under the 2014 Outperformance Plan, two-thirds of the LTIP units may be earned based on our absolute TRS and one-third of the LTIP units may be earned based on our relative TRS compared to Index Companies. The table below reflects the minimum and maximum thresholds for both the absolute TRS and relative TRS components: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00" w:type="dxa"/>
            <w:vAlign w:val="bottom"/>
            <w:tcBorders>
              <w:right w:val="single" w:sz="8" w:color="98A3B8"/>
            </w:tcBorders>
            <w:gridSpan w:val="2"/>
          </w:tcPr>
          <w:p>
            <w:pPr>
              <w:jc w:val="right"/>
              <w:ind w:right="160"/>
              <w:spacing w:after="0"/>
              <w:rPr>
                <w:sz w:val="20"/>
                <w:szCs w:val="20"/>
                <w:color w:val="auto"/>
              </w:rPr>
            </w:pPr>
            <w:r>
              <w:rPr>
                <w:rFonts w:ascii="Arial" w:cs="Arial" w:eastAsia="Arial" w:hAnsi="Arial"/>
                <w:sz w:val="12"/>
                <w:szCs w:val="12"/>
                <w:b w:val="1"/>
                <w:bCs w:val="1"/>
                <w:color w:val="325889"/>
              </w:rPr>
              <w:t>Percentage of Absolute TRS</w:t>
            </w:r>
          </w:p>
        </w:tc>
        <w:tc>
          <w:tcPr>
            <w:tcW w:w="1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60" w:type="dxa"/>
            <w:vAlign w:val="bottom"/>
          </w:tcPr>
          <w:p>
            <w:pPr>
              <w:jc w:val="right"/>
              <w:spacing w:after="0"/>
              <w:rPr>
                <w:sz w:val="20"/>
                <w:szCs w:val="20"/>
                <w:color w:val="auto"/>
              </w:rPr>
            </w:pPr>
            <w:r>
              <w:rPr>
                <w:rFonts w:ascii="Arial" w:cs="Arial" w:eastAsia="Arial" w:hAnsi="Arial"/>
                <w:sz w:val="12"/>
                <w:szCs w:val="12"/>
                <w:b w:val="1"/>
                <w:bCs w:val="1"/>
                <w:color w:val="325889"/>
              </w:rPr>
              <w:t>Percentage of Relative TRS</w:t>
            </w:r>
          </w:p>
        </w:tc>
      </w:tr>
      <w:tr>
        <w:trPr>
          <w:trHeight w:val="131"/>
        </w:trPr>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00" w:type="dxa"/>
            <w:vAlign w:val="bottom"/>
            <w:tcBorders>
              <w:right w:val="single" w:sz="8" w:color="98A3B8"/>
            </w:tcBorders>
            <w:gridSpan w:val="2"/>
          </w:tcPr>
          <w:p>
            <w:pPr>
              <w:jc w:val="right"/>
              <w:ind w:right="160"/>
              <w:spacing w:after="0" w:line="131" w:lineRule="exact"/>
              <w:rPr>
                <w:sz w:val="20"/>
                <w:szCs w:val="20"/>
                <w:color w:val="auto"/>
              </w:rPr>
            </w:pPr>
            <w:r>
              <w:rPr>
                <w:rFonts w:ascii="Arial" w:cs="Arial" w:eastAsia="Arial" w:hAnsi="Arial"/>
                <w:sz w:val="12"/>
                <w:szCs w:val="12"/>
                <w:b w:val="1"/>
                <w:bCs w:val="1"/>
                <w:color w:val="325889"/>
              </w:rPr>
              <w:t>LTIP Units Earned</w:t>
            </w:r>
          </w:p>
        </w:tc>
        <w:tc>
          <w:tcPr>
            <w:tcW w:w="14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760" w:type="dxa"/>
            <w:vAlign w:val="bottom"/>
          </w:tcPr>
          <w:p>
            <w:pPr>
              <w:jc w:val="right"/>
              <w:spacing w:after="0" w:line="131" w:lineRule="exact"/>
              <w:rPr>
                <w:sz w:val="20"/>
                <w:szCs w:val="20"/>
                <w:color w:val="auto"/>
              </w:rPr>
            </w:pPr>
            <w:r>
              <w:rPr>
                <w:rFonts w:ascii="Arial" w:cs="Arial" w:eastAsia="Arial" w:hAnsi="Arial"/>
                <w:sz w:val="12"/>
                <w:szCs w:val="12"/>
                <w:b w:val="1"/>
                <w:bCs w:val="1"/>
                <w:color w:val="325889"/>
              </w:rPr>
              <w:t>LTIP Units Earned</w:t>
            </w:r>
          </w:p>
        </w:tc>
      </w:tr>
      <w:tr>
        <w:trPr>
          <w:trHeight w:val="173"/>
        </w:trPr>
        <w:tc>
          <w:tcPr>
            <w:tcW w:w="2620" w:type="dxa"/>
            <w:vAlign w:val="bottom"/>
          </w:tcPr>
          <w:p>
            <w:pPr>
              <w:jc w:val="right"/>
              <w:spacing w:after="0"/>
              <w:rPr>
                <w:sz w:val="20"/>
                <w:szCs w:val="20"/>
                <w:color w:val="auto"/>
              </w:rPr>
            </w:pPr>
            <w:r>
              <w:rPr>
                <w:rFonts w:ascii="Arial" w:cs="Arial" w:eastAsia="Arial" w:hAnsi="Arial"/>
                <w:sz w:val="12"/>
                <w:szCs w:val="12"/>
                <w:b w:val="1"/>
                <w:bCs w:val="1"/>
                <w:color w:val="325889"/>
              </w:rPr>
              <w:t>Absolute TRS</w:t>
            </w:r>
          </w:p>
        </w:tc>
        <w:tc>
          <w:tcPr>
            <w:tcW w:w="140" w:type="dxa"/>
            <w:vAlign w:val="bottom"/>
          </w:tcPr>
          <w:p>
            <w:pPr>
              <w:spacing w:after="0"/>
              <w:rPr>
                <w:sz w:val="15"/>
                <w:szCs w:val="15"/>
                <w:color w:val="auto"/>
              </w:rPr>
            </w:pPr>
          </w:p>
        </w:tc>
        <w:tc>
          <w:tcPr>
            <w:tcW w:w="2900" w:type="dxa"/>
            <w:vAlign w:val="bottom"/>
            <w:tcBorders>
              <w:right w:val="single" w:sz="8" w:color="98A3B8"/>
            </w:tcBorders>
            <w:gridSpan w:val="2"/>
          </w:tcPr>
          <w:p>
            <w:pPr>
              <w:jc w:val="right"/>
              <w:ind w:right="160"/>
              <w:spacing w:after="0"/>
              <w:rPr>
                <w:sz w:val="20"/>
                <w:szCs w:val="20"/>
                <w:color w:val="auto"/>
              </w:rPr>
            </w:pPr>
            <w:r>
              <w:rPr>
                <w:rFonts w:ascii="Arial" w:cs="Arial" w:eastAsia="Arial" w:hAnsi="Arial"/>
                <w:sz w:val="12"/>
                <w:szCs w:val="12"/>
                <w:b w:val="1"/>
                <w:bCs w:val="1"/>
                <w:color w:val="325889"/>
              </w:rPr>
              <w:t>(two-thirds of total)</w:t>
            </w:r>
          </w:p>
        </w:tc>
        <w:tc>
          <w:tcPr>
            <w:tcW w:w="140" w:type="dxa"/>
            <w:vAlign w:val="bottom"/>
          </w:tcPr>
          <w:p>
            <w:pPr>
              <w:spacing w:after="0"/>
              <w:rPr>
                <w:sz w:val="15"/>
                <w:szCs w:val="15"/>
                <w:color w:val="auto"/>
              </w:rPr>
            </w:pPr>
          </w:p>
        </w:tc>
        <w:tc>
          <w:tcPr>
            <w:tcW w:w="288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325889"/>
              </w:rPr>
              <w:t>Relative TRS</w:t>
            </w:r>
          </w:p>
        </w:tc>
        <w:tc>
          <w:tcPr>
            <w:tcW w:w="2760" w:type="dxa"/>
            <w:vAlign w:val="bottom"/>
          </w:tcPr>
          <w:p>
            <w:pPr>
              <w:jc w:val="right"/>
              <w:spacing w:after="0"/>
              <w:rPr>
                <w:sz w:val="20"/>
                <w:szCs w:val="20"/>
                <w:color w:val="auto"/>
              </w:rPr>
            </w:pPr>
            <w:r>
              <w:rPr>
                <w:rFonts w:ascii="Arial" w:cs="Arial" w:eastAsia="Arial" w:hAnsi="Arial"/>
                <w:sz w:val="12"/>
                <w:szCs w:val="12"/>
                <w:b w:val="1"/>
                <w:bCs w:val="1"/>
                <w:color w:val="325889"/>
              </w:rPr>
              <w:t>(one-third of total)</w:t>
            </w:r>
          </w:p>
        </w:tc>
      </w:tr>
      <w:tr>
        <w:trPr>
          <w:trHeight w:val="273"/>
        </w:trPr>
        <w:tc>
          <w:tcPr>
            <w:tcW w:w="2620" w:type="dxa"/>
            <w:vAlign w:val="bottom"/>
            <w:tcBorders>
              <w:top w:val="single" w:sz="8" w:color="325889"/>
              <w:bottom w:val="single" w:sz="8" w:color="98A3B8"/>
            </w:tcBorders>
          </w:tcPr>
          <w:p>
            <w:pPr>
              <w:jc w:val="right"/>
              <w:spacing w:after="0"/>
              <w:rPr>
                <w:sz w:val="20"/>
                <w:szCs w:val="20"/>
                <w:color w:val="auto"/>
              </w:rPr>
            </w:pPr>
            <w:r>
              <w:rPr>
                <w:rFonts w:ascii="Arial" w:cs="Arial" w:eastAsia="Arial" w:hAnsi="Arial"/>
                <w:sz w:val="15"/>
                <w:szCs w:val="15"/>
                <w:color w:val="auto"/>
              </w:rPr>
              <w:t>Less than 25%</w:t>
            </w:r>
          </w:p>
        </w:tc>
        <w:tc>
          <w:tcPr>
            <w:tcW w:w="140" w:type="dxa"/>
            <w:vAlign w:val="bottom"/>
          </w:tcPr>
          <w:p>
            <w:pPr>
              <w:spacing w:after="0"/>
              <w:rPr>
                <w:sz w:val="23"/>
                <w:szCs w:val="23"/>
                <w:color w:val="auto"/>
              </w:rPr>
            </w:pPr>
          </w:p>
        </w:tc>
        <w:tc>
          <w:tcPr>
            <w:tcW w:w="2740" w:type="dxa"/>
            <w:vAlign w:val="bottom"/>
            <w:tcBorders>
              <w:top w:val="single" w:sz="8" w:color="325889"/>
              <w:bottom w:val="single" w:sz="8" w:color="98A3B8"/>
            </w:tcBorders>
          </w:tcPr>
          <w:p>
            <w:pPr>
              <w:jc w:val="right"/>
              <w:spacing w:after="0"/>
              <w:rPr>
                <w:sz w:val="20"/>
                <w:szCs w:val="20"/>
                <w:color w:val="auto"/>
              </w:rPr>
            </w:pPr>
            <w:r>
              <w:rPr>
                <w:rFonts w:ascii="Arial" w:cs="Arial" w:eastAsia="Arial" w:hAnsi="Arial"/>
                <w:sz w:val="15"/>
                <w:szCs w:val="15"/>
                <w:color w:val="auto"/>
              </w:rPr>
              <w:t>0%</w:t>
            </w:r>
          </w:p>
        </w:tc>
        <w:tc>
          <w:tcPr>
            <w:tcW w:w="160" w:type="dxa"/>
            <w:vAlign w:val="bottom"/>
            <w:tcBorders>
              <w:right w:val="single" w:sz="8" w:color="98A3B8"/>
            </w:tcBorders>
          </w:tcPr>
          <w:p>
            <w:pPr>
              <w:spacing w:after="0"/>
              <w:rPr>
                <w:sz w:val="23"/>
                <w:szCs w:val="23"/>
                <w:color w:val="auto"/>
              </w:rPr>
            </w:pPr>
          </w:p>
        </w:tc>
        <w:tc>
          <w:tcPr>
            <w:tcW w:w="140" w:type="dxa"/>
            <w:vAlign w:val="bottom"/>
          </w:tcPr>
          <w:p>
            <w:pPr>
              <w:spacing w:after="0"/>
              <w:rPr>
                <w:sz w:val="23"/>
                <w:szCs w:val="23"/>
                <w:color w:val="auto"/>
              </w:rPr>
            </w:pPr>
          </w:p>
        </w:tc>
        <w:tc>
          <w:tcPr>
            <w:tcW w:w="2740" w:type="dxa"/>
            <w:vAlign w:val="bottom"/>
            <w:tcBorders>
              <w:top w:val="single" w:sz="8" w:color="325889"/>
              <w:bottom w:val="single" w:sz="8" w:color="98A3B8"/>
            </w:tcBorders>
          </w:tcPr>
          <w:p>
            <w:pPr>
              <w:jc w:val="right"/>
              <w:spacing w:after="0" w:line="272" w:lineRule="exact"/>
              <w:rPr>
                <w:sz w:val="20"/>
                <w:szCs w:val="20"/>
                <w:color w:val="auto"/>
              </w:rPr>
            </w:pPr>
            <w:r>
              <w:rPr>
                <w:rFonts w:ascii="Arial" w:cs="Arial" w:eastAsia="Arial" w:hAnsi="Arial"/>
                <w:sz w:val="15"/>
                <w:szCs w:val="15"/>
                <w:color w:val="auto"/>
              </w:rPr>
              <w:t>Below 50</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percentile</w:t>
            </w:r>
          </w:p>
        </w:tc>
        <w:tc>
          <w:tcPr>
            <w:tcW w:w="140" w:type="dxa"/>
            <w:vAlign w:val="bottom"/>
          </w:tcPr>
          <w:p>
            <w:pPr>
              <w:spacing w:after="0"/>
              <w:rPr>
                <w:sz w:val="23"/>
                <w:szCs w:val="23"/>
                <w:color w:val="auto"/>
              </w:rPr>
            </w:pPr>
          </w:p>
        </w:tc>
        <w:tc>
          <w:tcPr>
            <w:tcW w:w="2760" w:type="dxa"/>
            <w:vAlign w:val="bottom"/>
            <w:tcBorders>
              <w:top w:val="single" w:sz="8" w:color="325889"/>
              <w:bottom w:val="single" w:sz="8" w:color="98A3B8"/>
            </w:tcBorders>
          </w:tcPr>
          <w:p>
            <w:pPr>
              <w:jc w:val="right"/>
              <w:spacing w:after="0"/>
              <w:rPr>
                <w:sz w:val="20"/>
                <w:szCs w:val="20"/>
                <w:color w:val="auto"/>
              </w:rPr>
            </w:pPr>
            <w:r>
              <w:rPr>
                <w:rFonts w:ascii="Arial" w:cs="Arial" w:eastAsia="Arial" w:hAnsi="Arial"/>
                <w:sz w:val="15"/>
                <w:szCs w:val="15"/>
                <w:color w:val="auto"/>
              </w:rPr>
              <w:t>0%</w:t>
            </w:r>
          </w:p>
        </w:tc>
      </w:tr>
      <w:tr>
        <w:trPr>
          <w:trHeight w:val="265"/>
        </w:trPr>
        <w:tc>
          <w:tcPr>
            <w:tcW w:w="26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25%</w:t>
            </w:r>
          </w:p>
        </w:tc>
        <w:tc>
          <w:tcPr>
            <w:tcW w:w="140" w:type="dxa"/>
            <w:vAlign w:val="bottom"/>
          </w:tcPr>
          <w:p>
            <w:pPr>
              <w:spacing w:after="0"/>
              <w:rPr>
                <w:sz w:val="23"/>
                <w:szCs w:val="23"/>
                <w:color w:val="auto"/>
              </w:rPr>
            </w:pPr>
          </w:p>
        </w:tc>
        <w:tc>
          <w:tcPr>
            <w:tcW w:w="274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37.5%</w:t>
            </w:r>
          </w:p>
        </w:tc>
        <w:tc>
          <w:tcPr>
            <w:tcW w:w="160" w:type="dxa"/>
            <w:vAlign w:val="bottom"/>
            <w:tcBorders>
              <w:right w:val="single" w:sz="8" w:color="98A3B8"/>
            </w:tcBorders>
          </w:tcPr>
          <w:p>
            <w:pPr>
              <w:spacing w:after="0"/>
              <w:rPr>
                <w:sz w:val="23"/>
                <w:szCs w:val="23"/>
                <w:color w:val="auto"/>
              </w:rPr>
            </w:pPr>
          </w:p>
        </w:tc>
        <w:tc>
          <w:tcPr>
            <w:tcW w:w="140" w:type="dxa"/>
            <w:vAlign w:val="bottom"/>
          </w:tcPr>
          <w:p>
            <w:pPr>
              <w:spacing w:after="0"/>
              <w:rPr>
                <w:sz w:val="23"/>
                <w:szCs w:val="23"/>
                <w:color w:val="auto"/>
              </w:rPr>
            </w:pPr>
          </w:p>
        </w:tc>
        <w:tc>
          <w:tcPr>
            <w:tcW w:w="2740" w:type="dxa"/>
            <w:vAlign w:val="bottom"/>
            <w:tcBorders>
              <w:bottom w:val="single" w:sz="8" w:color="98A3B8"/>
            </w:tcBorders>
          </w:tcPr>
          <w:p>
            <w:pPr>
              <w:jc w:val="right"/>
              <w:spacing w:after="0" w:line="265" w:lineRule="exact"/>
              <w:rPr>
                <w:sz w:val="20"/>
                <w:szCs w:val="20"/>
                <w:color w:val="auto"/>
              </w:rPr>
            </w:pPr>
            <w:r>
              <w:rPr>
                <w:rFonts w:ascii="Arial" w:cs="Arial" w:eastAsia="Arial" w:hAnsi="Arial"/>
                <w:sz w:val="15"/>
                <w:szCs w:val="15"/>
                <w:color w:val="auto"/>
              </w:rPr>
              <w:t>50</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percentile</w:t>
            </w:r>
          </w:p>
        </w:tc>
        <w:tc>
          <w:tcPr>
            <w:tcW w:w="140" w:type="dxa"/>
            <w:vAlign w:val="bottom"/>
          </w:tcPr>
          <w:p>
            <w:pPr>
              <w:spacing w:after="0"/>
              <w:rPr>
                <w:sz w:val="23"/>
                <w:szCs w:val="23"/>
                <w:color w:val="auto"/>
              </w:rPr>
            </w:pPr>
          </w:p>
        </w:tc>
        <w:tc>
          <w:tcPr>
            <w:tcW w:w="276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37.5%</w:t>
            </w:r>
          </w:p>
        </w:tc>
      </w:tr>
      <w:tr>
        <w:trPr>
          <w:trHeight w:val="265"/>
        </w:trPr>
        <w:tc>
          <w:tcPr>
            <w:tcW w:w="2620" w:type="dxa"/>
            <w:vAlign w:val="bottom"/>
          </w:tcPr>
          <w:p>
            <w:pPr>
              <w:jc w:val="right"/>
              <w:spacing w:after="0"/>
              <w:rPr>
                <w:sz w:val="20"/>
                <w:szCs w:val="20"/>
                <w:color w:val="auto"/>
              </w:rPr>
            </w:pPr>
            <w:r>
              <w:rPr>
                <w:rFonts w:ascii="Arial" w:cs="Arial" w:eastAsia="Arial" w:hAnsi="Arial"/>
                <w:sz w:val="15"/>
                <w:szCs w:val="15"/>
                <w:color w:val="auto"/>
              </w:rPr>
              <w:t>50% or higher</w:t>
            </w:r>
          </w:p>
        </w:tc>
        <w:tc>
          <w:tcPr>
            <w:tcW w:w="140" w:type="dxa"/>
            <w:vAlign w:val="bottom"/>
          </w:tcPr>
          <w:p>
            <w:pPr>
              <w:spacing w:after="0"/>
              <w:rPr>
                <w:sz w:val="23"/>
                <w:szCs w:val="23"/>
                <w:color w:val="auto"/>
              </w:rPr>
            </w:pPr>
          </w:p>
        </w:tc>
        <w:tc>
          <w:tcPr>
            <w:tcW w:w="2900" w:type="dxa"/>
            <w:vAlign w:val="bottom"/>
            <w:tcBorders>
              <w:right w:val="single" w:sz="8" w:color="98A3B8"/>
            </w:tcBorders>
            <w:gridSpan w:val="2"/>
          </w:tcPr>
          <w:p>
            <w:pPr>
              <w:jc w:val="right"/>
              <w:ind w:right="160"/>
              <w:spacing w:after="0"/>
              <w:rPr>
                <w:sz w:val="20"/>
                <w:szCs w:val="20"/>
                <w:color w:val="auto"/>
              </w:rPr>
            </w:pPr>
            <w:r>
              <w:rPr>
                <w:rFonts w:ascii="Arial" w:cs="Arial" w:eastAsia="Arial" w:hAnsi="Arial"/>
                <w:sz w:val="15"/>
                <w:szCs w:val="15"/>
                <w:color w:val="auto"/>
              </w:rPr>
              <w:t>100%</w:t>
            </w:r>
          </w:p>
        </w:tc>
        <w:tc>
          <w:tcPr>
            <w:tcW w:w="140" w:type="dxa"/>
            <w:vAlign w:val="bottom"/>
          </w:tcPr>
          <w:p>
            <w:pPr>
              <w:spacing w:after="0"/>
              <w:rPr>
                <w:sz w:val="23"/>
                <w:szCs w:val="23"/>
                <w:color w:val="auto"/>
              </w:rPr>
            </w:pPr>
          </w:p>
        </w:tc>
        <w:tc>
          <w:tcPr>
            <w:tcW w:w="2880" w:type="dxa"/>
            <w:vAlign w:val="bottom"/>
            <w:gridSpan w:val="2"/>
          </w:tcPr>
          <w:p>
            <w:pPr>
              <w:jc w:val="right"/>
              <w:ind w:right="140"/>
              <w:spacing w:after="0" w:line="265" w:lineRule="exact"/>
              <w:rPr>
                <w:sz w:val="20"/>
                <w:szCs w:val="20"/>
                <w:color w:val="auto"/>
              </w:rPr>
            </w:pPr>
            <w:r>
              <w:rPr>
                <w:rFonts w:ascii="Arial" w:cs="Arial" w:eastAsia="Arial" w:hAnsi="Arial"/>
                <w:sz w:val="15"/>
                <w:szCs w:val="15"/>
                <w:color w:val="auto"/>
              </w:rPr>
              <w:t>75</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percentile or greater</w:t>
            </w:r>
          </w:p>
        </w:tc>
        <w:tc>
          <w:tcPr>
            <w:tcW w:w="2760" w:type="dxa"/>
            <w:vAlign w:val="bottom"/>
          </w:tcPr>
          <w:p>
            <w:pPr>
              <w:jc w:val="right"/>
              <w:spacing w:after="0"/>
              <w:rPr>
                <w:sz w:val="20"/>
                <w:szCs w:val="20"/>
                <w:color w:val="auto"/>
              </w:rPr>
            </w:pPr>
            <w:r>
              <w:rPr>
                <w:rFonts w:ascii="Arial" w:cs="Arial" w:eastAsia="Arial" w:hAnsi="Arial"/>
                <w:sz w:val="15"/>
                <w:szCs w:val="15"/>
                <w:color w:val="auto"/>
              </w:rPr>
              <w:t>100%</w:t>
            </w:r>
          </w:p>
        </w:tc>
      </w:tr>
      <w:tr>
        <w:trPr>
          <w:trHeight w:val="24"/>
        </w:trPr>
        <w:tc>
          <w:tcPr>
            <w:tcW w:w="262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2740" w:type="dxa"/>
            <w:vAlign w:val="bottom"/>
            <w:shd w:val="clear" w:color="auto" w:fill="325889"/>
          </w:tcPr>
          <w:p>
            <w:pPr>
              <w:spacing w:after="0"/>
              <w:rPr>
                <w:sz w:val="2"/>
                <w:szCs w:val="2"/>
                <w:color w:val="auto"/>
              </w:rPr>
            </w:pPr>
          </w:p>
        </w:tc>
        <w:tc>
          <w:tcPr>
            <w:tcW w:w="160" w:type="dxa"/>
            <w:vAlign w:val="bottom"/>
            <w:tcBorders>
              <w:right w:val="single" w:sz="8" w:color="98A3B8"/>
            </w:tcBorders>
          </w:tcPr>
          <w:p>
            <w:pPr>
              <w:spacing w:after="0"/>
              <w:rPr>
                <w:sz w:val="2"/>
                <w:szCs w:val="2"/>
                <w:color w:val="auto"/>
              </w:rPr>
            </w:pPr>
          </w:p>
        </w:tc>
        <w:tc>
          <w:tcPr>
            <w:tcW w:w="140" w:type="dxa"/>
            <w:vAlign w:val="bottom"/>
          </w:tcPr>
          <w:p>
            <w:pPr>
              <w:spacing w:after="0"/>
              <w:rPr>
                <w:sz w:val="2"/>
                <w:szCs w:val="2"/>
                <w:color w:val="auto"/>
              </w:rPr>
            </w:pPr>
          </w:p>
        </w:tc>
        <w:tc>
          <w:tcPr>
            <w:tcW w:w="274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2760" w:type="dxa"/>
            <w:vAlign w:val="bottom"/>
            <w:shd w:val="clear" w:color="auto" w:fill="325889"/>
          </w:tcPr>
          <w:p>
            <w:pPr>
              <w:spacing w:after="0"/>
              <w:rPr>
                <w:sz w:val="2"/>
                <w:szCs w:val="2"/>
                <w:color w:val="auto"/>
              </w:rPr>
            </w:pPr>
          </w:p>
        </w:tc>
      </w:tr>
    </w:tbl>
    <w:p>
      <w:pPr>
        <w:spacing w:after="0" w:line="193" w:lineRule="exact"/>
        <w:rPr>
          <w:sz w:val="20"/>
          <w:szCs w:val="20"/>
          <w:color w:val="auto"/>
        </w:rPr>
      </w:pPr>
    </w:p>
    <w:p>
      <w:pPr>
        <w:ind w:right="620"/>
        <w:spacing w:after="0" w:line="265" w:lineRule="auto"/>
        <w:rPr>
          <w:sz w:val="20"/>
          <w:szCs w:val="20"/>
          <w:color w:val="auto"/>
        </w:rPr>
      </w:pPr>
      <w:r>
        <w:rPr>
          <w:rFonts w:ascii="Arial" w:cs="Arial" w:eastAsia="Arial" w:hAnsi="Arial"/>
          <w:sz w:val="15"/>
          <w:szCs w:val="15"/>
          <w:color w:val="auto"/>
        </w:rPr>
        <w:t>The number of LTIP units that are earned if performance is above the minimum thresholds, but below the maximum hurdles, will be determined based on linear interpolation between the percentages earned at the minimum and maximum thresholds.</w:t>
      </w:r>
    </w:p>
    <w:p>
      <w:pPr>
        <w:spacing w:after="0" w:line="165" w:lineRule="exact"/>
        <w:rPr>
          <w:sz w:val="20"/>
          <w:szCs w:val="20"/>
          <w:color w:val="auto"/>
        </w:rPr>
      </w:pPr>
    </w:p>
    <w:p>
      <w:pPr>
        <w:ind w:right="80"/>
        <w:spacing w:after="0" w:line="251" w:lineRule="auto"/>
        <w:rPr>
          <w:sz w:val="20"/>
          <w:szCs w:val="20"/>
          <w:color w:val="auto"/>
        </w:rPr>
      </w:pPr>
      <w:r>
        <w:rPr>
          <w:rFonts w:ascii="Arial" w:cs="Arial" w:eastAsia="Arial" w:hAnsi="Arial"/>
          <w:sz w:val="15"/>
          <w:szCs w:val="15"/>
          <w:color w:val="auto"/>
        </w:rPr>
        <w:t>In the event our performance reaches the maximum absolute TRS or relative TRS hurdle before the end of the three-year performance period, a pro-rata portion of the maximum award may be earned. For each component, if our performance reaches the maximum threshold during the second half of the performance period, participants will earn one-third of the maximum award. If our performance reaches the maximum threshold during the third year of the performance period for a component, participants will earn up to two-thirds of the maximum award that may be earned for that component. Except in the event of a change in control, no awards may be earned during the first half of the performance period and, with respect to the last one-third of the maximum award, no awards may be earned prior to the end of the performance period.</w:t>
      </w:r>
    </w:p>
    <w:p>
      <w:pPr>
        <w:spacing w:after="0" w:line="356" w:lineRule="exact"/>
        <w:rPr>
          <w:sz w:val="20"/>
          <w:szCs w:val="20"/>
          <w:color w:val="auto"/>
        </w:rPr>
      </w:pPr>
    </w:p>
    <w:p>
      <w:pPr>
        <w:ind w:left="9640"/>
        <w:spacing w:after="0"/>
        <w:rPr>
          <w:sz w:val="20"/>
          <w:szCs w:val="20"/>
          <w:color w:val="auto"/>
        </w:rPr>
      </w:pPr>
      <w:r>
        <w:rPr>
          <w:rFonts w:ascii="Arial" w:cs="Arial" w:eastAsia="Arial" w:hAnsi="Arial"/>
          <w:sz w:val="15"/>
          <w:szCs w:val="15"/>
          <w:color w:val="auto"/>
        </w:rPr>
        <w:t xml:space="preserve">2017 Proxy Statement </w:t>
      </w:r>
      <w:r>
        <w:rPr>
          <w:rFonts w:ascii="Arial" w:cs="Arial" w:eastAsia="Arial" w:hAnsi="Arial"/>
          <w:sz w:val="15"/>
          <w:szCs w:val="15"/>
          <w:color w:val="325889"/>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83450" cy="203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0"/>
          </w:cols>
          <w:pgMar w:left="240" w:top="528" w:right="219" w:bottom="1440" w:gutter="0" w:footer="0" w:header="0"/>
        </w:sectPr>
      </w:pPr>
    </w:p>
    <w:bookmarkStart w:id="33" w:name="page34"/>
    <w:bookmarkEnd w:id="33"/>
    <w:p>
      <w:pPr>
        <w:ind w:left="5"/>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ind w:left="5"/>
        <w:spacing w:after="0"/>
        <w:rPr>
          <w:sz w:val="20"/>
          <w:szCs w:val="20"/>
          <w:color w:val="auto"/>
        </w:rPr>
      </w:pPr>
      <w:r>
        <w:rPr>
          <w:rFonts w:ascii="Arial" w:cs="Arial" w:eastAsia="Arial" w:hAnsi="Arial"/>
          <w:sz w:val="15"/>
          <w:szCs w:val="15"/>
          <w:u w:val="single" w:color="auto"/>
          <w:color w:val="325889"/>
        </w:rPr>
        <w:t>EXECUTIVE COMPENSATION</w:t>
      </w:r>
    </w:p>
    <w:p>
      <w:pPr>
        <w:spacing w:after="0" w:line="195" w:lineRule="exact"/>
        <w:rPr>
          <w:sz w:val="20"/>
          <w:szCs w:val="20"/>
          <w:color w:val="auto"/>
        </w:rPr>
      </w:pPr>
    </w:p>
    <w:p>
      <w:pPr>
        <w:ind w:left="5" w:right="60"/>
        <w:spacing w:after="0" w:line="251" w:lineRule="auto"/>
        <w:rPr>
          <w:sz w:val="20"/>
          <w:szCs w:val="20"/>
          <w:color w:val="auto"/>
        </w:rPr>
      </w:pPr>
      <w:r>
        <w:rPr>
          <w:rFonts w:ascii="Arial" w:cs="Arial" w:eastAsia="Arial" w:hAnsi="Arial"/>
          <w:sz w:val="15"/>
          <w:szCs w:val="15"/>
          <w:color w:val="auto"/>
        </w:rPr>
        <w:t>Awards may be earned upon a change in control as follows, but any such awards remain subject to vesting based on continued employment, as set forth above, with acceleration only occurring for a named executive officer in the event of a termination of the executive’s employment by us without cause or by the executive for good reason. In the event of a change in control during the first year of the performance period, participants will earn, for each component, the greater of (i) a prorated award based on the attainment of prorated performance hurdles or (ii) a non-prorated award based on attainment of the full, non-prorated performance hurdles, in each case, using the change in control as the end of the performance period. In the event a change in control occurs after the first year of the performance period, awards will be earned for each component based upon the attainment of prorated performance hurdles using the change in control as the end of the performance period.</w:t>
      </w:r>
    </w:p>
    <w:p>
      <w:pPr>
        <w:spacing w:after="0" w:line="175" w:lineRule="exact"/>
        <w:rPr>
          <w:sz w:val="20"/>
          <w:szCs w:val="20"/>
          <w:color w:val="auto"/>
        </w:rPr>
      </w:pPr>
    </w:p>
    <w:p>
      <w:pPr>
        <w:ind w:left="5" w:right="120"/>
        <w:spacing w:after="0" w:line="252" w:lineRule="auto"/>
        <w:rPr>
          <w:sz w:val="20"/>
          <w:szCs w:val="20"/>
          <w:color w:val="auto"/>
        </w:rPr>
      </w:pPr>
      <w:r>
        <w:rPr>
          <w:rFonts w:ascii="Arial" w:cs="Arial" w:eastAsia="Arial" w:hAnsi="Arial"/>
          <w:sz w:val="15"/>
          <w:szCs w:val="15"/>
          <w:color w:val="auto"/>
        </w:rPr>
        <w:t>The awards made to our named executive officers under our 2014 Outperformance Plan also provide that if that executive’s employment is terminated by us without cause or by the executive officer for good reason, then the executive officer is treated under our 2014 Outperformance Plan as if he had remained employed by us for 12 months after the date of his termination. If the executive officer’s employment terminates due to death or disability, then such termination will be treated in the same manner, for that award recipient, as if a change in control occurred on the date of such termination; provided that any LTIP units earned in connection with death or disability will vest in full as of the date on which they are earned.</w:t>
      </w:r>
    </w:p>
    <w:p>
      <w:pPr>
        <w:spacing w:after="0" w:line="174" w:lineRule="exact"/>
        <w:rPr>
          <w:sz w:val="20"/>
          <w:szCs w:val="20"/>
          <w:color w:val="auto"/>
        </w:rPr>
      </w:pPr>
    </w:p>
    <w:p>
      <w:pPr>
        <w:ind w:left="5" w:right="240"/>
        <w:spacing w:after="0" w:line="253" w:lineRule="auto"/>
        <w:rPr>
          <w:sz w:val="20"/>
          <w:szCs w:val="20"/>
          <w:color w:val="auto"/>
        </w:rPr>
      </w:pPr>
      <w:r>
        <w:rPr>
          <w:rFonts w:ascii="Arial" w:cs="Arial" w:eastAsia="Arial" w:hAnsi="Arial"/>
          <w:sz w:val="15"/>
          <w:szCs w:val="15"/>
          <w:color w:val="auto"/>
        </w:rPr>
        <w:t>Distributions are not payable unless and until awards are earned. If awards are earned under our 2014 Outperformance Plan, each participant will then be entitled to the distributions that would have been paid had the number of earned LTIP units been earned at the beginning of the performance period. Those distributions will be paid in cash or additional LTIP units as determined by the Committee. Thereafter, distributions will be paid currently with respect to all earned LTIP units, whether vested or unvested.</w:t>
      </w:r>
    </w:p>
    <w:p>
      <w:pPr>
        <w:spacing w:after="0" w:line="174" w:lineRule="exact"/>
        <w:rPr>
          <w:sz w:val="20"/>
          <w:szCs w:val="20"/>
          <w:color w:val="auto"/>
        </w:rPr>
      </w:pPr>
    </w:p>
    <w:p>
      <w:pPr>
        <w:ind w:left="5"/>
        <w:spacing w:after="0"/>
        <w:rPr>
          <w:sz w:val="20"/>
          <w:szCs w:val="20"/>
          <w:color w:val="auto"/>
        </w:rPr>
      </w:pPr>
      <w:r>
        <w:rPr>
          <w:rFonts w:ascii="Arial" w:cs="Arial" w:eastAsia="Arial" w:hAnsi="Arial"/>
          <w:sz w:val="15"/>
          <w:szCs w:val="15"/>
          <w:color w:val="auto"/>
        </w:rPr>
        <w:t>The following awards under our 2014 Outperformance Plan have been made pursuant to which our named executive officers have the opportunity to earn the following</w:t>
      </w:r>
    </w:p>
    <w:p>
      <w:pPr>
        <w:spacing w:after="0" w:line="5" w:lineRule="exact"/>
        <w:rPr>
          <w:sz w:val="20"/>
          <w:szCs w:val="20"/>
          <w:color w:val="auto"/>
        </w:rPr>
      </w:pPr>
    </w:p>
    <w:p>
      <w:pPr>
        <w:ind w:left="5"/>
        <w:spacing w:after="0"/>
        <w:rPr>
          <w:sz w:val="20"/>
          <w:szCs w:val="20"/>
          <w:color w:val="auto"/>
        </w:rPr>
      </w:pPr>
      <w:r>
        <w:rPr>
          <w:rFonts w:ascii="Arial" w:cs="Arial" w:eastAsia="Arial" w:hAnsi="Arial"/>
          <w:sz w:val="15"/>
          <w:szCs w:val="15"/>
          <w:color w:val="auto"/>
        </w:rPr>
        <w:t>LTIP units:</w:t>
      </w:r>
    </w:p>
    <w:p>
      <w:pPr>
        <w:spacing w:after="0" w:line="164" w:lineRule="exact"/>
        <w:rPr>
          <w:sz w:val="20"/>
          <w:szCs w:val="20"/>
          <w:color w:val="auto"/>
        </w:rPr>
      </w:pPr>
    </w:p>
    <w:tbl>
      <w:tblPr>
        <w:tblLayout w:type="fixed"/>
        <w:tblInd w:w="5" w:type="dxa"/>
        <w:tblCellMar>
          <w:top w:w="0" w:type="dxa"/>
          <w:left w:w="0" w:type="dxa"/>
          <w:bottom w:w="0" w:type="dxa"/>
          <w:right w:w="0" w:type="dxa"/>
        </w:tblCellMar>
      </w:tblPr>
      <w:tr>
        <w:trPr>
          <w:trHeight w:val="222"/>
        </w:trPr>
        <w:tc>
          <w:tcPr>
            <w:tcW w:w="8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80" w:type="dxa"/>
            <w:vAlign w:val="bottom"/>
            <w:tcBorders>
              <w:bottom w:val="single" w:sz="8" w:color="325889"/>
            </w:tcBorders>
            <w:gridSpan w:val="5"/>
          </w:tcPr>
          <w:p>
            <w:pPr>
              <w:jc w:val="right"/>
              <w:ind w:right="351"/>
              <w:spacing w:after="0"/>
              <w:rPr>
                <w:sz w:val="20"/>
                <w:szCs w:val="20"/>
                <w:color w:val="auto"/>
              </w:rPr>
            </w:pPr>
            <w:r>
              <w:rPr>
                <w:rFonts w:ascii="Arial" w:cs="Arial" w:eastAsia="Arial" w:hAnsi="Arial"/>
                <w:sz w:val="12"/>
                <w:szCs w:val="12"/>
                <w:b w:val="1"/>
                <w:bCs w:val="1"/>
                <w:color w:val="325889"/>
              </w:rPr>
              <w:t>Award Opportunity (# of LTIP Units)</w:t>
            </w:r>
            <w:r>
              <w:rPr>
                <w:rFonts w:ascii="Arial" w:cs="Arial" w:eastAsia="Arial" w:hAnsi="Arial"/>
                <w:sz w:val="19"/>
                <w:szCs w:val="19"/>
                <w:b w:val="1"/>
                <w:bCs w:val="1"/>
                <w:color w:val="325889"/>
                <w:vertAlign w:val="superscript"/>
              </w:rPr>
              <w:t>(1)</w:t>
            </w:r>
          </w:p>
        </w:tc>
      </w:tr>
      <w:tr>
        <w:trPr>
          <w:trHeight w:val="140"/>
        </w:trPr>
        <w:tc>
          <w:tcPr>
            <w:tcW w:w="8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b w:val="1"/>
                <w:bCs w:val="1"/>
                <w:color w:val="325889"/>
                <w:w w:val="99"/>
              </w:rPr>
              <w:t>Hypothetical Earning</w:t>
            </w:r>
          </w:p>
        </w:tc>
      </w:tr>
      <w:tr>
        <w:trPr>
          <w:trHeight w:val="131"/>
        </w:trPr>
        <w:tc>
          <w:tcPr>
            <w:tcW w:w="8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right"/>
              <w:spacing w:after="0" w:line="131" w:lineRule="exact"/>
              <w:rPr>
                <w:sz w:val="20"/>
                <w:szCs w:val="20"/>
                <w:color w:val="auto"/>
              </w:rPr>
            </w:pPr>
            <w:r>
              <w:rPr>
                <w:rFonts w:ascii="Arial" w:cs="Arial" w:eastAsia="Arial" w:hAnsi="Arial"/>
                <w:sz w:val="12"/>
                <w:szCs w:val="12"/>
                <w:b w:val="1"/>
                <w:bCs w:val="1"/>
                <w:color w:val="325889"/>
                <w:w w:val="98"/>
              </w:rPr>
              <w:t>Based on Annualized</w:t>
            </w:r>
          </w:p>
        </w:tc>
      </w:tr>
      <w:tr>
        <w:trPr>
          <w:trHeight w:val="139"/>
        </w:trPr>
        <w:tc>
          <w:tcPr>
            <w:tcW w:w="8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b w:val="1"/>
                <w:bCs w:val="1"/>
                <w:color w:val="325889"/>
              </w:rPr>
              <w:t>Results through</w:t>
            </w:r>
          </w:p>
        </w:tc>
      </w:tr>
      <w:tr>
        <w:trPr>
          <w:trHeight w:val="200"/>
        </w:trPr>
        <w:tc>
          <w:tcPr>
            <w:tcW w:w="8320" w:type="dxa"/>
            <w:vAlign w:val="bottom"/>
          </w:tcPr>
          <w:p>
            <w:pPr>
              <w:spacing w:after="0"/>
              <w:rPr>
                <w:sz w:val="20"/>
                <w:szCs w:val="20"/>
                <w:color w:val="auto"/>
              </w:rPr>
            </w:pPr>
            <w:r>
              <w:rPr>
                <w:rFonts w:ascii="Arial" w:cs="Arial" w:eastAsia="Arial" w:hAnsi="Arial"/>
                <w:sz w:val="12"/>
                <w:szCs w:val="12"/>
                <w:b w:val="1"/>
                <w:bCs w:val="1"/>
                <w:color w:val="auto"/>
              </w:rPr>
              <w:t>Executive</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325889"/>
              </w:rPr>
              <w:t>Threshold</w:t>
            </w:r>
          </w:p>
        </w:tc>
        <w:tc>
          <w:tcPr>
            <w:tcW w:w="140" w:type="dxa"/>
            <w:vAlign w:val="bottom"/>
          </w:tcPr>
          <w:p>
            <w:pPr>
              <w:spacing w:after="0"/>
              <w:rPr>
                <w:sz w:val="17"/>
                <w:szCs w:val="17"/>
                <w:color w:val="auto"/>
              </w:rPr>
            </w:pPr>
          </w:p>
        </w:tc>
        <w:tc>
          <w:tcPr>
            <w:tcW w:w="920" w:type="dxa"/>
            <w:vAlign w:val="bottom"/>
            <w:gridSpan w:val="2"/>
          </w:tcPr>
          <w:p>
            <w:pPr>
              <w:ind w:left="240"/>
              <w:spacing w:after="0"/>
              <w:rPr>
                <w:sz w:val="20"/>
                <w:szCs w:val="20"/>
                <w:color w:val="auto"/>
              </w:rPr>
            </w:pPr>
            <w:r>
              <w:rPr>
                <w:rFonts w:ascii="Arial" w:cs="Arial" w:eastAsia="Arial" w:hAnsi="Arial"/>
                <w:sz w:val="12"/>
                <w:szCs w:val="12"/>
                <w:b w:val="1"/>
                <w:bCs w:val="1"/>
                <w:color w:val="325889"/>
              </w:rPr>
              <w:t>Maximum</w:t>
            </w:r>
          </w:p>
        </w:tc>
        <w:tc>
          <w:tcPr>
            <w:tcW w:w="1220" w:type="dxa"/>
            <w:vAlign w:val="bottom"/>
          </w:tcPr>
          <w:p>
            <w:pPr>
              <w:jc w:val="right"/>
              <w:spacing w:after="0" w:line="196" w:lineRule="exact"/>
              <w:rPr>
                <w:sz w:val="20"/>
                <w:szCs w:val="20"/>
                <w:color w:val="auto"/>
              </w:rPr>
            </w:pPr>
            <w:r>
              <w:rPr>
                <w:rFonts w:ascii="Arial" w:cs="Arial" w:eastAsia="Arial" w:hAnsi="Arial"/>
                <w:sz w:val="12"/>
                <w:szCs w:val="12"/>
                <w:b w:val="1"/>
                <w:bCs w:val="1"/>
                <w:color w:val="325889"/>
              </w:rPr>
              <w:t>12/31/2016</w:t>
            </w:r>
            <w:r>
              <w:rPr>
                <w:rFonts w:ascii="Arial" w:cs="Arial" w:eastAsia="Arial" w:hAnsi="Arial"/>
                <w:sz w:val="19"/>
                <w:szCs w:val="19"/>
                <w:b w:val="1"/>
                <w:bCs w:val="1"/>
                <w:color w:val="325889"/>
                <w:vertAlign w:val="superscript"/>
              </w:rPr>
              <w:t>(2)</w:t>
            </w:r>
          </w:p>
        </w:tc>
      </w:tr>
      <w:tr>
        <w:trPr>
          <w:trHeight w:val="207"/>
        </w:trPr>
        <w:tc>
          <w:tcPr>
            <w:tcW w:w="8320" w:type="dxa"/>
            <w:vAlign w:val="bottom"/>
            <w:tcBorders>
              <w:top w:val="single" w:sz="8" w:color="325889"/>
              <w:bottom w:val="single" w:sz="8" w:color="98A3B8"/>
            </w:tcBorders>
          </w:tcPr>
          <w:p>
            <w:pPr>
              <w:spacing w:after="0"/>
              <w:rPr>
                <w:sz w:val="20"/>
                <w:szCs w:val="20"/>
                <w:color w:val="auto"/>
              </w:rPr>
            </w:pPr>
            <w:r>
              <w:rPr>
                <w:rFonts w:ascii="Arial" w:cs="Arial" w:eastAsia="Arial" w:hAnsi="Arial"/>
                <w:sz w:val="15"/>
                <w:szCs w:val="15"/>
                <w:color w:val="auto"/>
              </w:rPr>
              <w:t>Marc Holliday</w:t>
            </w:r>
          </w:p>
        </w:tc>
        <w:tc>
          <w:tcPr>
            <w:tcW w:w="140" w:type="dxa"/>
            <w:vAlign w:val="bottom"/>
          </w:tcPr>
          <w:p>
            <w:pPr>
              <w:spacing w:after="0"/>
              <w:rPr>
                <w:sz w:val="17"/>
                <w:szCs w:val="17"/>
                <w:color w:val="auto"/>
              </w:rPr>
            </w:pPr>
          </w:p>
        </w:tc>
        <w:tc>
          <w:tcPr>
            <w:tcW w:w="700" w:type="dxa"/>
            <w:vAlign w:val="bottom"/>
            <w:tcBorders>
              <w:top w:val="single" w:sz="8" w:color="325889"/>
              <w:bottom w:val="single" w:sz="8" w:color="98A3B8"/>
            </w:tcBorders>
          </w:tcPr>
          <w:p>
            <w:pPr>
              <w:jc w:val="right"/>
              <w:spacing w:after="0"/>
              <w:rPr>
                <w:sz w:val="20"/>
                <w:szCs w:val="20"/>
                <w:color w:val="auto"/>
              </w:rPr>
            </w:pPr>
            <w:r>
              <w:rPr>
                <w:rFonts w:ascii="Arial" w:cs="Arial" w:eastAsia="Arial" w:hAnsi="Arial"/>
                <w:sz w:val="15"/>
                <w:szCs w:val="15"/>
                <w:color w:val="auto"/>
              </w:rPr>
              <w:t>43,208</w:t>
            </w:r>
          </w:p>
        </w:tc>
        <w:tc>
          <w:tcPr>
            <w:tcW w:w="140" w:type="dxa"/>
            <w:vAlign w:val="bottom"/>
          </w:tcPr>
          <w:p>
            <w:pPr>
              <w:spacing w:after="0"/>
              <w:rPr>
                <w:sz w:val="17"/>
                <w:szCs w:val="17"/>
                <w:color w:val="auto"/>
              </w:rPr>
            </w:pPr>
          </w:p>
        </w:tc>
        <w:tc>
          <w:tcPr>
            <w:tcW w:w="780" w:type="dxa"/>
            <w:vAlign w:val="bottom"/>
            <w:tcBorders>
              <w:top w:val="single" w:sz="8" w:color="325889"/>
              <w:bottom w:val="single" w:sz="8" w:color="98A3B8"/>
            </w:tcBorders>
          </w:tcPr>
          <w:p>
            <w:pPr>
              <w:jc w:val="right"/>
              <w:spacing w:after="0"/>
              <w:rPr>
                <w:sz w:val="20"/>
                <w:szCs w:val="20"/>
                <w:color w:val="auto"/>
              </w:rPr>
            </w:pPr>
            <w:r>
              <w:rPr>
                <w:rFonts w:ascii="Arial" w:cs="Arial" w:eastAsia="Arial" w:hAnsi="Arial"/>
                <w:sz w:val="15"/>
                <w:szCs w:val="15"/>
                <w:color w:val="auto"/>
              </w:rPr>
              <w:t>115,222</w:t>
            </w:r>
          </w:p>
        </w:tc>
        <w:tc>
          <w:tcPr>
            <w:tcW w:w="140" w:type="dxa"/>
            <w:vAlign w:val="bottom"/>
          </w:tcPr>
          <w:p>
            <w:pPr>
              <w:spacing w:after="0"/>
              <w:rPr>
                <w:sz w:val="17"/>
                <w:szCs w:val="17"/>
                <w:color w:val="auto"/>
              </w:rPr>
            </w:pPr>
          </w:p>
        </w:tc>
        <w:tc>
          <w:tcPr>
            <w:tcW w:w="1220" w:type="dxa"/>
            <w:vAlign w:val="bottom"/>
            <w:tcBorders>
              <w:top w:val="single" w:sz="8" w:color="325889"/>
              <w:bottom w:val="single" w:sz="8" w:color="98A3B8"/>
            </w:tcBorders>
          </w:tcPr>
          <w:p>
            <w:pPr>
              <w:jc w:val="right"/>
              <w:spacing w:after="0"/>
              <w:rPr>
                <w:sz w:val="20"/>
                <w:szCs w:val="20"/>
                <w:color w:val="auto"/>
              </w:rPr>
            </w:pPr>
            <w:r>
              <w:rPr>
                <w:rFonts w:ascii="Arial" w:cs="Arial" w:eastAsia="Arial" w:hAnsi="Arial"/>
                <w:sz w:val="15"/>
                <w:szCs w:val="15"/>
                <w:color w:val="auto"/>
              </w:rPr>
              <w:t>0</w:t>
            </w:r>
          </w:p>
        </w:tc>
      </w:tr>
      <w:tr>
        <w:trPr>
          <w:trHeight w:val="205"/>
        </w:trPr>
        <w:tc>
          <w:tcPr>
            <w:tcW w:w="832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Stephen L. Green</w:t>
            </w:r>
          </w:p>
        </w:tc>
        <w:tc>
          <w:tcPr>
            <w:tcW w:w="140" w:type="dxa"/>
            <w:vAlign w:val="bottom"/>
          </w:tcPr>
          <w:p>
            <w:pPr>
              <w:spacing w:after="0"/>
              <w:rPr>
                <w:sz w:val="17"/>
                <w:szCs w:val="17"/>
                <w:color w:val="auto"/>
              </w:rPr>
            </w:pPr>
          </w:p>
        </w:tc>
        <w:tc>
          <w:tcPr>
            <w:tcW w:w="7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14,045</w:t>
            </w:r>
          </w:p>
        </w:tc>
        <w:tc>
          <w:tcPr>
            <w:tcW w:w="140" w:type="dxa"/>
            <w:vAlign w:val="bottom"/>
          </w:tcPr>
          <w:p>
            <w:pPr>
              <w:spacing w:after="0"/>
              <w:rPr>
                <w:sz w:val="17"/>
                <w:szCs w:val="17"/>
                <w:color w:val="auto"/>
              </w:rPr>
            </w:pPr>
          </w:p>
        </w:tc>
        <w:tc>
          <w:tcPr>
            <w:tcW w:w="78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37,455</w:t>
            </w:r>
          </w:p>
        </w:tc>
        <w:tc>
          <w:tcPr>
            <w:tcW w:w="140" w:type="dxa"/>
            <w:vAlign w:val="bottom"/>
          </w:tcPr>
          <w:p>
            <w:pPr>
              <w:spacing w:after="0"/>
              <w:rPr>
                <w:sz w:val="17"/>
                <w:szCs w:val="17"/>
                <w:color w:val="auto"/>
              </w:rPr>
            </w:pPr>
          </w:p>
        </w:tc>
        <w:tc>
          <w:tcPr>
            <w:tcW w:w="12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0</w:t>
            </w:r>
          </w:p>
        </w:tc>
      </w:tr>
      <w:tr>
        <w:trPr>
          <w:trHeight w:val="205"/>
        </w:trPr>
        <w:tc>
          <w:tcPr>
            <w:tcW w:w="832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Andrew Mathias</w:t>
            </w:r>
          </w:p>
        </w:tc>
        <w:tc>
          <w:tcPr>
            <w:tcW w:w="140" w:type="dxa"/>
            <w:vAlign w:val="bottom"/>
          </w:tcPr>
          <w:p>
            <w:pPr>
              <w:spacing w:after="0"/>
              <w:rPr>
                <w:sz w:val="17"/>
                <w:szCs w:val="17"/>
                <w:color w:val="auto"/>
              </w:rPr>
            </w:pPr>
          </w:p>
        </w:tc>
        <w:tc>
          <w:tcPr>
            <w:tcW w:w="7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30,500</w:t>
            </w:r>
          </w:p>
        </w:tc>
        <w:tc>
          <w:tcPr>
            <w:tcW w:w="140" w:type="dxa"/>
            <w:vAlign w:val="bottom"/>
          </w:tcPr>
          <w:p>
            <w:pPr>
              <w:spacing w:after="0"/>
              <w:rPr>
                <w:sz w:val="17"/>
                <w:szCs w:val="17"/>
                <w:color w:val="auto"/>
              </w:rPr>
            </w:pPr>
          </w:p>
        </w:tc>
        <w:tc>
          <w:tcPr>
            <w:tcW w:w="78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81,333</w:t>
            </w:r>
          </w:p>
        </w:tc>
        <w:tc>
          <w:tcPr>
            <w:tcW w:w="140" w:type="dxa"/>
            <w:vAlign w:val="bottom"/>
          </w:tcPr>
          <w:p>
            <w:pPr>
              <w:spacing w:after="0"/>
              <w:rPr>
                <w:sz w:val="17"/>
                <w:szCs w:val="17"/>
                <w:color w:val="auto"/>
              </w:rPr>
            </w:pPr>
          </w:p>
        </w:tc>
        <w:tc>
          <w:tcPr>
            <w:tcW w:w="12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0</w:t>
            </w:r>
          </w:p>
        </w:tc>
      </w:tr>
      <w:tr>
        <w:trPr>
          <w:trHeight w:val="205"/>
        </w:trPr>
        <w:tc>
          <w:tcPr>
            <w:tcW w:w="832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Matthew J. DiLiberto</w:t>
            </w:r>
          </w:p>
        </w:tc>
        <w:tc>
          <w:tcPr>
            <w:tcW w:w="140" w:type="dxa"/>
            <w:vAlign w:val="bottom"/>
          </w:tcPr>
          <w:p>
            <w:pPr>
              <w:spacing w:after="0"/>
              <w:rPr>
                <w:sz w:val="17"/>
                <w:szCs w:val="17"/>
                <w:color w:val="auto"/>
              </w:rPr>
            </w:pPr>
          </w:p>
        </w:tc>
        <w:tc>
          <w:tcPr>
            <w:tcW w:w="7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6,621</w:t>
            </w:r>
          </w:p>
        </w:tc>
        <w:tc>
          <w:tcPr>
            <w:tcW w:w="140" w:type="dxa"/>
            <w:vAlign w:val="bottom"/>
          </w:tcPr>
          <w:p>
            <w:pPr>
              <w:spacing w:after="0"/>
              <w:rPr>
                <w:sz w:val="17"/>
                <w:szCs w:val="17"/>
                <w:color w:val="auto"/>
              </w:rPr>
            </w:pPr>
          </w:p>
        </w:tc>
        <w:tc>
          <w:tcPr>
            <w:tcW w:w="78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17,657</w:t>
            </w:r>
          </w:p>
        </w:tc>
        <w:tc>
          <w:tcPr>
            <w:tcW w:w="140" w:type="dxa"/>
            <w:vAlign w:val="bottom"/>
          </w:tcPr>
          <w:p>
            <w:pPr>
              <w:spacing w:after="0"/>
              <w:rPr>
                <w:sz w:val="17"/>
                <w:szCs w:val="17"/>
                <w:color w:val="auto"/>
              </w:rPr>
            </w:pPr>
          </w:p>
        </w:tc>
        <w:tc>
          <w:tcPr>
            <w:tcW w:w="12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0</w:t>
            </w:r>
          </w:p>
        </w:tc>
      </w:tr>
      <w:tr>
        <w:trPr>
          <w:trHeight w:val="216"/>
        </w:trPr>
        <w:tc>
          <w:tcPr>
            <w:tcW w:w="8320" w:type="dxa"/>
            <w:vAlign w:val="bottom"/>
            <w:tcBorders>
              <w:bottom w:val="single" w:sz="8" w:color="325889"/>
            </w:tcBorders>
          </w:tcPr>
          <w:p>
            <w:pPr>
              <w:spacing w:after="0"/>
              <w:rPr>
                <w:sz w:val="20"/>
                <w:szCs w:val="20"/>
                <w:color w:val="auto"/>
              </w:rPr>
            </w:pPr>
            <w:r>
              <w:rPr>
                <w:rFonts w:ascii="Arial" w:cs="Arial" w:eastAsia="Arial" w:hAnsi="Arial"/>
                <w:sz w:val="15"/>
                <w:szCs w:val="15"/>
                <w:color w:val="auto"/>
              </w:rPr>
              <w:t>Andrew S. Levine</w:t>
            </w:r>
          </w:p>
        </w:tc>
        <w:tc>
          <w:tcPr>
            <w:tcW w:w="140" w:type="dxa"/>
            <w:vAlign w:val="bottom"/>
          </w:tcPr>
          <w:p>
            <w:pPr>
              <w:spacing w:after="0"/>
              <w:rPr>
                <w:sz w:val="18"/>
                <w:szCs w:val="18"/>
                <w:color w:val="auto"/>
              </w:rPr>
            </w:pPr>
          </w:p>
        </w:tc>
        <w:tc>
          <w:tcPr>
            <w:tcW w:w="700" w:type="dxa"/>
            <w:vAlign w:val="bottom"/>
            <w:tcBorders>
              <w:bottom w:val="single" w:sz="8" w:color="325889"/>
            </w:tcBorders>
          </w:tcPr>
          <w:p>
            <w:pPr>
              <w:jc w:val="right"/>
              <w:spacing w:after="0"/>
              <w:rPr>
                <w:sz w:val="20"/>
                <w:szCs w:val="20"/>
                <w:color w:val="auto"/>
              </w:rPr>
            </w:pPr>
            <w:r>
              <w:rPr>
                <w:rFonts w:ascii="Arial" w:cs="Arial" w:eastAsia="Arial" w:hAnsi="Arial"/>
                <w:sz w:val="15"/>
                <w:szCs w:val="15"/>
                <w:color w:val="auto"/>
              </w:rPr>
              <w:t>7,725</w:t>
            </w:r>
          </w:p>
        </w:tc>
        <w:tc>
          <w:tcPr>
            <w:tcW w:w="140" w:type="dxa"/>
            <w:vAlign w:val="bottom"/>
          </w:tcPr>
          <w:p>
            <w:pPr>
              <w:spacing w:after="0"/>
              <w:rPr>
                <w:sz w:val="18"/>
                <w:szCs w:val="18"/>
                <w:color w:val="auto"/>
              </w:rPr>
            </w:pPr>
          </w:p>
        </w:tc>
        <w:tc>
          <w:tcPr>
            <w:tcW w:w="780" w:type="dxa"/>
            <w:vAlign w:val="bottom"/>
            <w:tcBorders>
              <w:bottom w:val="single" w:sz="8" w:color="325889"/>
            </w:tcBorders>
          </w:tcPr>
          <w:p>
            <w:pPr>
              <w:jc w:val="right"/>
              <w:spacing w:after="0"/>
              <w:rPr>
                <w:sz w:val="20"/>
                <w:szCs w:val="20"/>
                <w:color w:val="auto"/>
              </w:rPr>
            </w:pPr>
            <w:r>
              <w:rPr>
                <w:rFonts w:ascii="Arial" w:cs="Arial" w:eastAsia="Arial" w:hAnsi="Arial"/>
                <w:sz w:val="15"/>
                <w:szCs w:val="15"/>
                <w:color w:val="auto"/>
              </w:rPr>
              <w:t>20,600</w:t>
            </w:r>
          </w:p>
        </w:tc>
        <w:tc>
          <w:tcPr>
            <w:tcW w:w="140" w:type="dxa"/>
            <w:vAlign w:val="bottom"/>
          </w:tcPr>
          <w:p>
            <w:pPr>
              <w:spacing w:after="0"/>
              <w:rPr>
                <w:sz w:val="18"/>
                <w:szCs w:val="18"/>
                <w:color w:val="auto"/>
              </w:rPr>
            </w:pPr>
          </w:p>
        </w:tc>
        <w:tc>
          <w:tcPr>
            <w:tcW w:w="1220" w:type="dxa"/>
            <w:vAlign w:val="bottom"/>
            <w:tcBorders>
              <w:bottom w:val="single" w:sz="8" w:color="325889"/>
            </w:tcBorders>
          </w:tcPr>
          <w:p>
            <w:pPr>
              <w:jc w:val="right"/>
              <w:spacing w:after="0"/>
              <w:rPr>
                <w:sz w:val="20"/>
                <w:szCs w:val="20"/>
                <w:color w:val="auto"/>
              </w:rPr>
            </w:pPr>
            <w:r>
              <w:rPr>
                <w:rFonts w:ascii="Arial" w:cs="Arial" w:eastAsia="Arial" w:hAnsi="Arial"/>
                <w:sz w:val="15"/>
                <w:szCs w:val="15"/>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7263130" cy="3162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3130" cy="316230"/>
                    </a:xfrm>
                    <a:prstGeom prst="rect">
                      <a:avLst/>
                    </a:prstGeom>
                    <a:noFill/>
                  </pic:spPr>
                </pic:pic>
              </a:graphicData>
            </a:graphic>
          </wp:anchor>
        </w:drawing>
      </w:r>
    </w:p>
    <w:p>
      <w:pPr>
        <w:spacing w:after="0" w:line="250" w:lineRule="exact"/>
        <w:rPr>
          <w:sz w:val="20"/>
          <w:szCs w:val="20"/>
          <w:color w:val="auto"/>
        </w:rPr>
      </w:pPr>
    </w:p>
    <w:p>
      <w:pPr>
        <w:ind w:left="85" w:right="240"/>
        <w:spacing w:after="0" w:line="290" w:lineRule="auto"/>
        <w:rPr>
          <w:sz w:val="20"/>
          <w:szCs w:val="20"/>
          <w:color w:val="auto"/>
        </w:rPr>
      </w:pPr>
      <w:r>
        <w:rPr>
          <w:rFonts w:ascii="Arial" w:cs="Arial" w:eastAsia="Arial" w:hAnsi="Arial"/>
          <w:sz w:val="15"/>
          <w:szCs w:val="15"/>
          <w:color w:val="auto"/>
        </w:rPr>
        <w:t xml:space="preserve">Robust hurdles demonstrate strong pay for performance alignment. We would need to achieve TRS of </w:t>
      </w:r>
      <w:r>
        <w:rPr>
          <w:rFonts w:ascii="Arial" w:cs="Arial" w:eastAsia="Arial" w:hAnsi="Arial"/>
          <w:sz w:val="15"/>
          <w:szCs w:val="15"/>
          <w:b w:val="1"/>
          <w:bCs w:val="1"/>
          <w:color w:val="auto"/>
        </w:rPr>
        <w:t>10.5</w:t>
      </w:r>
      <w:r>
        <w:rPr>
          <w:rFonts w:ascii="Arial" w:cs="Arial" w:eastAsia="Arial" w:hAnsi="Arial"/>
          <w:sz w:val="15"/>
          <w:szCs w:val="15"/>
          <w:color w:val="auto"/>
        </w:rPr>
        <w:t xml:space="preserve">% and </w:t>
      </w:r>
      <w:r>
        <w:rPr>
          <w:rFonts w:ascii="Arial" w:cs="Arial" w:eastAsia="Arial" w:hAnsi="Arial"/>
          <w:sz w:val="15"/>
          <w:szCs w:val="15"/>
          <w:b w:val="1"/>
          <w:bCs w:val="1"/>
          <w:color w:val="auto"/>
        </w:rPr>
        <w:t>35.5</w:t>
      </w:r>
      <w:r>
        <w:rPr>
          <w:rFonts w:ascii="Arial" w:cs="Arial" w:eastAsia="Arial" w:hAnsi="Arial"/>
          <w:sz w:val="15"/>
          <w:szCs w:val="15"/>
          <w:color w:val="auto"/>
        </w:rPr>
        <w:t>% from February 1, 2017 through August 31, 2017 in order for executives to earn the threshold and maximum absolute TRS amounts, respectively, under our 2014 Outperformance Plan.</w:t>
      </w:r>
    </w:p>
    <w:p>
      <w:pPr>
        <w:spacing w:after="0" w:line="84" w:lineRule="exact"/>
        <w:rPr>
          <w:sz w:val="20"/>
          <w:szCs w:val="20"/>
          <w:color w:val="auto"/>
        </w:rPr>
      </w:pPr>
    </w:p>
    <w:p>
      <w:pPr>
        <w:jc w:val="both"/>
        <w:ind w:left="305" w:right="40" w:hanging="305"/>
        <w:spacing w:after="0" w:line="233" w:lineRule="auto"/>
        <w:tabs>
          <w:tab w:leader="none" w:pos="305" w:val="left"/>
        </w:tabs>
        <w:numPr>
          <w:ilvl w:val="0"/>
          <w:numId w:val="40"/>
        </w:numPr>
        <w:rPr>
          <w:rFonts w:ascii="Arial" w:cs="Arial" w:eastAsia="Arial" w:hAnsi="Arial"/>
          <w:sz w:val="12"/>
          <w:szCs w:val="12"/>
          <w:color w:val="auto"/>
        </w:rPr>
      </w:pPr>
      <w:r>
        <w:rPr>
          <w:rFonts w:ascii="Arial" w:cs="Arial" w:eastAsia="Arial" w:hAnsi="Arial"/>
          <w:sz w:val="12"/>
          <w:szCs w:val="12"/>
          <w:color w:val="auto"/>
        </w:rPr>
        <w:t>Based on awards granted to date, for Messrs. Holliday, Green, Mathias and Levine, approximately 83.3% of the LTIP units may be earned based on our absolute TRS performance and approximately 16.7% of the LTIP units may be earned based on our relative TRS performance. For Mr. DiLiberto, approximately 66.7% of the LTIP units may be earned based on our absolute TRS performance and approximately 33.3% may be earned based on our relative TRS performance.</w:t>
      </w:r>
    </w:p>
    <w:p>
      <w:pPr>
        <w:spacing w:after="0" w:line="48" w:lineRule="exact"/>
        <w:rPr>
          <w:rFonts w:ascii="Arial" w:cs="Arial" w:eastAsia="Arial" w:hAnsi="Arial"/>
          <w:sz w:val="12"/>
          <w:szCs w:val="12"/>
          <w:color w:val="auto"/>
        </w:rPr>
      </w:pPr>
    </w:p>
    <w:p>
      <w:pPr>
        <w:ind w:left="305" w:hanging="305"/>
        <w:spacing w:after="0"/>
        <w:tabs>
          <w:tab w:leader="none" w:pos="305" w:val="left"/>
        </w:tabs>
        <w:numPr>
          <w:ilvl w:val="0"/>
          <w:numId w:val="40"/>
        </w:numPr>
        <w:rPr>
          <w:rFonts w:ascii="Arial" w:cs="Arial" w:eastAsia="Arial" w:hAnsi="Arial"/>
          <w:sz w:val="12"/>
          <w:szCs w:val="12"/>
          <w:color w:val="auto"/>
        </w:rPr>
      </w:pPr>
      <w:r>
        <w:rPr>
          <w:rFonts w:ascii="Arial" w:cs="Arial" w:eastAsia="Arial" w:hAnsi="Arial"/>
          <w:sz w:val="12"/>
          <w:szCs w:val="12"/>
          <w:color w:val="auto"/>
        </w:rPr>
        <w:t>Represents LTIP units that would have been earned based on our performance from the start of the performance period through December 31, 2016.</w:t>
      </w:r>
    </w:p>
    <w:p>
      <w:pPr>
        <w:spacing w:after="0" w:line="186" w:lineRule="exact"/>
        <w:rPr>
          <w:sz w:val="20"/>
          <w:szCs w:val="20"/>
          <w:color w:val="auto"/>
        </w:rPr>
      </w:pPr>
    </w:p>
    <w:p>
      <w:pPr>
        <w:ind w:left="5" w:right="80"/>
        <w:spacing w:after="0" w:line="253" w:lineRule="auto"/>
        <w:rPr>
          <w:sz w:val="20"/>
          <w:szCs w:val="20"/>
          <w:color w:val="auto"/>
        </w:rPr>
      </w:pPr>
      <w:r>
        <w:rPr>
          <w:rFonts w:ascii="Arial" w:cs="Arial" w:eastAsia="Arial" w:hAnsi="Arial"/>
          <w:sz w:val="15"/>
          <w:szCs w:val="15"/>
          <w:color w:val="auto"/>
        </w:rPr>
        <w:t>Pursuant to our employment agreements with Messrs. Holliday and Mathias, we agreed to allocate at least 22.67% and 16.00%, respectively, of the total awards under our 2014 Outperformance Plan to these executives. To date, we have allocated 18.9% and 13.3% to Messrs. Holliday and Mathias, respectively, of the total awards under our 2014 Outperformance Plan to which they are entitled, representing the full allocation of LTIP units that each may earn based on our absolute TRS performance and one-half of the allocation of LTIP units that each may earn based on our relative TRS performance.</w:t>
      </w:r>
    </w:p>
    <w:p>
      <w:pPr>
        <w:spacing w:after="0" w:line="157" w:lineRule="exact"/>
        <w:rPr>
          <w:sz w:val="20"/>
          <w:szCs w:val="20"/>
          <w:color w:val="auto"/>
        </w:rPr>
      </w:pPr>
    </w:p>
    <w:p>
      <w:pPr>
        <w:ind w:left="5"/>
        <w:spacing w:after="0"/>
        <w:rPr>
          <w:sz w:val="20"/>
          <w:szCs w:val="20"/>
          <w:color w:val="auto"/>
        </w:rPr>
      </w:pPr>
      <w:r>
        <w:rPr>
          <w:rFonts w:ascii="Arial" w:cs="Arial" w:eastAsia="Arial" w:hAnsi="Arial"/>
          <w:sz w:val="12"/>
          <w:szCs w:val="12"/>
          <w:b w:val="1"/>
          <w:bCs w:val="1"/>
          <w:color w:val="325889"/>
        </w:rPr>
        <w:t>Employment Agreement Awards</w:t>
      </w:r>
    </w:p>
    <w:p>
      <w:pPr>
        <w:spacing w:after="0" w:line="200" w:lineRule="exact"/>
        <w:rPr>
          <w:sz w:val="20"/>
          <w:szCs w:val="20"/>
          <w:color w:val="auto"/>
        </w:rPr>
      </w:pPr>
    </w:p>
    <w:p>
      <w:pPr>
        <w:ind w:left="5" w:right="20"/>
        <w:spacing w:after="0" w:line="252" w:lineRule="auto"/>
        <w:rPr>
          <w:sz w:val="20"/>
          <w:szCs w:val="20"/>
          <w:color w:val="auto"/>
        </w:rPr>
      </w:pPr>
      <w:r>
        <w:rPr>
          <w:rFonts w:ascii="Arial" w:cs="Arial" w:eastAsia="Arial" w:hAnsi="Arial"/>
          <w:sz w:val="15"/>
          <w:szCs w:val="15"/>
          <w:color w:val="auto"/>
        </w:rPr>
        <w:t>The second main component of our long-term equity incentive award program is equity awards granted for retention purposes or in connection with new or extended employment agreements. We typically enter into employment agreements with each of our named executive officers, other than Mr. Green, that have terms of three or four years. In connection with these agreements, we typically grant one or more types of equity awards to our named executive officers that have vesting periods aligned with the terms of these agreements. Vesting of these awards has been based on continued employment and, for a majority of these awards, the achievement of performance hurdles.</w:t>
      </w:r>
    </w:p>
    <w:p>
      <w:pPr>
        <w:spacing w:after="0" w:line="174" w:lineRule="exact"/>
        <w:rPr>
          <w:sz w:val="20"/>
          <w:szCs w:val="20"/>
          <w:color w:val="auto"/>
        </w:rPr>
      </w:pPr>
    </w:p>
    <w:p>
      <w:pPr>
        <w:jc w:val="both"/>
        <w:ind w:left="5" w:right="80"/>
        <w:spacing w:after="0" w:line="253" w:lineRule="auto"/>
        <w:rPr>
          <w:sz w:val="20"/>
          <w:szCs w:val="20"/>
          <w:color w:val="auto"/>
        </w:rPr>
      </w:pPr>
      <w:r>
        <w:rPr>
          <w:rFonts w:ascii="Arial" w:cs="Arial" w:eastAsia="Arial" w:hAnsi="Arial"/>
          <w:sz w:val="15"/>
          <w:szCs w:val="15"/>
          <w:color w:val="auto"/>
        </w:rPr>
        <w:t>In connection with our employment agreements with our named executive officers, we granted equity awards to Messrs. Mathias, DiLiberto and Levine on the effective date of each such agreement. In addition, our employment agreements with Messrs. Holliday and Mathias provided for the granting of the stock options and LTIP units noted in the table below, which, collectively for each of Mr. Holliday and Mr. Mathias, are scheduled to vest over the three-year term of the agreement. These long-term equity incentive</w:t>
      </w:r>
    </w:p>
    <w:p>
      <w:pPr>
        <w:spacing w:after="0" w:line="174" w:lineRule="exact"/>
        <w:rPr>
          <w:sz w:val="20"/>
          <w:szCs w:val="20"/>
          <w:color w:val="auto"/>
        </w:rPr>
      </w:pPr>
    </w:p>
    <w:p>
      <w:pPr>
        <w:ind w:left="265" w:hanging="265"/>
        <w:spacing w:after="0"/>
        <w:tabs>
          <w:tab w:leader="none" w:pos="265" w:val="left"/>
        </w:tabs>
        <w:numPr>
          <w:ilvl w:val="0"/>
          <w:numId w:val="41"/>
        </w:numPr>
        <w:rPr>
          <w:rFonts w:ascii="Arial" w:cs="Arial" w:eastAsia="Arial" w:hAnsi="Arial"/>
          <w:sz w:val="15"/>
          <w:szCs w:val="15"/>
          <w:color w:val="325889"/>
        </w:rPr>
      </w:pPr>
      <w:r>
        <w:rPr>
          <w:rFonts w:ascii="Arial" w:cs="Arial" w:eastAsia="Arial" w:hAnsi="Arial"/>
          <w:sz w:val="15"/>
          <w:szCs w:val="15"/>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83450" cy="203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5"/>
          </w:cols>
          <w:pgMar w:left="235" w:top="528" w:right="219" w:bottom="1440" w:gutter="0" w:footer="0" w:header="0"/>
        </w:sectPr>
      </w:pPr>
    </w:p>
    <w:bookmarkStart w:id="34" w:name="page35"/>
    <w:bookmarkEnd w:id="34"/>
    <w:p>
      <w:pPr>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ind w:left="9280"/>
        <w:spacing w:after="0"/>
        <w:rPr>
          <w:sz w:val="20"/>
          <w:szCs w:val="20"/>
          <w:color w:val="auto"/>
        </w:rPr>
      </w:pPr>
      <w:r>
        <w:rPr>
          <w:rFonts w:ascii="Arial" w:cs="Arial" w:eastAsia="Arial" w:hAnsi="Arial"/>
          <w:sz w:val="15"/>
          <w:szCs w:val="15"/>
          <w:u w:val="single" w:color="auto"/>
          <w:color w:val="325889"/>
        </w:rPr>
        <w:t>EXECUTIVE COMPENSATION</w:t>
      </w:r>
    </w:p>
    <w:p>
      <w:pPr>
        <w:spacing w:after="0" w:line="195" w:lineRule="exact"/>
        <w:rPr>
          <w:sz w:val="20"/>
          <w:szCs w:val="20"/>
          <w:color w:val="auto"/>
        </w:rPr>
      </w:pPr>
    </w:p>
    <w:p>
      <w:pPr>
        <w:ind w:right="20"/>
        <w:spacing w:after="0" w:line="251" w:lineRule="auto"/>
        <w:rPr>
          <w:sz w:val="20"/>
          <w:szCs w:val="20"/>
          <w:color w:val="auto"/>
        </w:rPr>
      </w:pPr>
      <w:r>
        <w:rPr>
          <w:rFonts w:ascii="Arial" w:cs="Arial" w:eastAsia="Arial" w:hAnsi="Arial"/>
          <w:sz w:val="15"/>
          <w:szCs w:val="15"/>
          <w:color w:val="auto"/>
        </w:rPr>
        <w:t>awards were not granted at the time these agreements were entered into. Instead, these agreements provided that the executives would be entitled to terminate their employment with us and receive severance payments and benefits if we did not make these grants on or before their scheduled vesting dates. These provisions were included instead of making long-term grants at the time the agreement was entered into, in part, to avoid the distortion in measuring annual compensation that otherwise might have occurred if these grants were all made in the year in which we entered into the agreements. Regardless of the ultimate grant dates, for purposes of evaluating our executive compensation, we believe these awards should be viewed collectively as long-term equity awards vesting over the three-year terms of these agreements (as opposed to three separate awards subject to short-term vesting), which is consistent with how the Committee viewed, and approved of, these awards.</w:t>
      </w:r>
    </w:p>
    <w:p>
      <w:pPr>
        <w:spacing w:after="0" w:line="175" w:lineRule="exact"/>
        <w:rPr>
          <w:sz w:val="20"/>
          <w:szCs w:val="20"/>
          <w:color w:val="auto"/>
        </w:rPr>
      </w:pPr>
    </w:p>
    <w:p>
      <w:pPr>
        <w:ind w:right="80"/>
        <w:spacing w:after="0" w:line="256" w:lineRule="auto"/>
        <w:rPr>
          <w:sz w:val="20"/>
          <w:szCs w:val="20"/>
          <w:color w:val="auto"/>
        </w:rPr>
      </w:pPr>
      <w:r>
        <w:rPr>
          <w:rFonts w:ascii="Arial" w:cs="Arial" w:eastAsia="Arial" w:hAnsi="Arial"/>
          <w:sz w:val="15"/>
          <w:szCs w:val="15"/>
          <w:color w:val="auto"/>
        </w:rPr>
        <w:t>The table below indicates the terms of the employments agreements with Messrs. Holliday, Mathias, DiLiberto and Levine that were in effect as of January 1, 2016 and summarizes the terms and grant dates of the long-term equity incentive awards made, or to be made, to our named executive officers pursuant to these employment agreements.</w:t>
      </w:r>
    </w:p>
    <w:p>
      <w:pPr>
        <w:spacing w:after="0" w:line="172" w:lineRule="exact"/>
        <w:rPr>
          <w:sz w:val="20"/>
          <w:szCs w:val="20"/>
          <w:color w:val="auto"/>
        </w:rPr>
      </w:pPr>
    </w:p>
    <w:p>
      <w:pPr>
        <w:jc w:val="both"/>
        <w:ind w:right="340"/>
        <w:spacing w:after="0" w:line="256" w:lineRule="auto"/>
        <w:rPr>
          <w:sz w:val="20"/>
          <w:szCs w:val="20"/>
          <w:color w:val="auto"/>
        </w:rPr>
      </w:pPr>
      <w:r>
        <w:rPr>
          <w:rFonts w:ascii="Arial" w:cs="Arial" w:eastAsia="Arial" w:hAnsi="Arial"/>
          <w:sz w:val="15"/>
          <w:szCs w:val="15"/>
          <w:color w:val="auto"/>
        </w:rPr>
        <w:t>Messrs. Holliday and Mathias had amended their employment agreements in 2014 such that 100% of the future LTIP unit awards granted under these employment agreements were subject to performance-based vesting hurdles, with restructured hurdles that are more difficult to achieve than those originally established, as set forth in the table below.</w:t>
      </w:r>
    </w:p>
    <w:p>
      <w:pPr>
        <w:spacing w:after="0" w:line="178" w:lineRule="exact"/>
        <w:rPr>
          <w:sz w:val="20"/>
          <w:szCs w:val="20"/>
          <w:color w:val="auto"/>
        </w:rPr>
      </w:pPr>
    </w:p>
    <w:p>
      <w:pPr>
        <w:ind w:left="900"/>
        <w:spacing w:after="0"/>
        <w:rPr>
          <w:sz w:val="20"/>
          <w:szCs w:val="20"/>
          <w:color w:val="auto"/>
        </w:rPr>
      </w:pPr>
      <w:r>
        <w:rPr>
          <w:rFonts w:ascii="Arial" w:cs="Arial" w:eastAsia="Arial" w:hAnsi="Arial"/>
          <w:sz w:val="15"/>
          <w:szCs w:val="15"/>
          <w:b w:val="1"/>
          <w:bCs w:val="1"/>
          <w:color w:val="325889"/>
        </w:rPr>
        <w:t>MARC HOLLIDAY (JANUARY 18, 2013 – JANUARY 17,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27940</wp:posOffset>
            </wp:positionV>
            <wp:extent cx="6690360" cy="152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690360" cy="15240"/>
                    </a:xfrm>
                    <a:prstGeom prst="rect">
                      <a:avLst/>
                    </a:prstGeom>
                    <a:noFill/>
                  </pic:spPr>
                </pic:pic>
              </a:graphicData>
            </a:graphic>
          </wp:anchor>
        </w:drawing>
      </w:r>
    </w:p>
    <w:p>
      <w:pPr>
        <w:spacing w:after="0" w:line="50" w:lineRule="exact"/>
        <w:rPr>
          <w:sz w:val="20"/>
          <w:szCs w:val="20"/>
          <w:color w:val="auto"/>
        </w:rPr>
      </w:pPr>
    </w:p>
    <w:tbl>
      <w:tblPr>
        <w:tblLayout w:type="fixed"/>
        <w:tblInd w:w="900" w:type="dxa"/>
        <w:tblCellMar>
          <w:top w:w="0" w:type="dxa"/>
          <w:left w:w="0" w:type="dxa"/>
          <w:bottom w:w="0" w:type="dxa"/>
          <w:right w:w="0" w:type="dxa"/>
        </w:tblCellMar>
      </w:tblPr>
      <w:tr>
        <w:trPr>
          <w:trHeight w:val="138"/>
        </w:trPr>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325889"/>
              </w:rPr>
              <w:t># of Shares/</w:t>
            </w:r>
          </w:p>
        </w:tc>
        <w:tc>
          <w:tcPr>
            <w:tcW w:w="68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325889"/>
              </w:rPr>
              <w:t>Grant</w:t>
            </w:r>
          </w:p>
        </w:tc>
        <w:tc>
          <w:tcPr>
            <w:tcW w:w="7020" w:type="dxa"/>
            <w:vAlign w:val="bottom"/>
            <w:vMerge w:val="restart"/>
          </w:tcPr>
          <w:p>
            <w:pPr>
              <w:spacing w:after="0"/>
              <w:rPr>
                <w:sz w:val="20"/>
                <w:szCs w:val="20"/>
                <w:color w:val="auto"/>
              </w:rPr>
            </w:pPr>
            <w:r>
              <w:rPr>
                <w:rFonts w:ascii="Arial" w:cs="Arial" w:eastAsia="Arial" w:hAnsi="Arial"/>
                <w:sz w:val="12"/>
                <w:szCs w:val="12"/>
                <w:b w:val="1"/>
                <w:bCs w:val="1"/>
                <w:color w:val="325889"/>
              </w:rPr>
              <w:t>Description</w:t>
            </w:r>
            <w:r>
              <w:rPr>
                <w:rFonts w:ascii="Arial" w:cs="Arial" w:eastAsia="Arial" w:hAnsi="Arial"/>
                <w:sz w:val="19"/>
                <w:szCs w:val="19"/>
                <w:color w:val="325889"/>
                <w:vertAlign w:val="superscript"/>
              </w:rPr>
              <w:t>(1)</w:t>
            </w:r>
          </w:p>
        </w:tc>
        <w:tc>
          <w:tcPr>
            <w:tcW w:w="0" w:type="dxa"/>
            <w:vAlign w:val="bottom"/>
          </w:tcPr>
          <w:p>
            <w:pPr>
              <w:spacing w:after="0"/>
              <w:rPr>
                <w:sz w:val="1"/>
                <w:szCs w:val="1"/>
                <w:color w:val="auto"/>
              </w:rPr>
            </w:pPr>
          </w:p>
        </w:tc>
      </w:tr>
      <w:tr>
        <w:trPr>
          <w:trHeight w:val="169"/>
        </w:trPr>
        <w:tc>
          <w:tcPr>
            <w:tcW w:w="1700" w:type="dxa"/>
            <w:vAlign w:val="bottom"/>
          </w:tcPr>
          <w:p>
            <w:pPr>
              <w:spacing w:after="0"/>
              <w:rPr>
                <w:sz w:val="20"/>
                <w:szCs w:val="20"/>
                <w:color w:val="auto"/>
              </w:rPr>
            </w:pPr>
            <w:r>
              <w:rPr>
                <w:rFonts w:ascii="Arial" w:cs="Arial" w:eastAsia="Arial" w:hAnsi="Arial"/>
                <w:sz w:val="12"/>
                <w:szCs w:val="12"/>
                <w:b w:val="1"/>
                <w:bCs w:val="1"/>
                <w:color w:val="auto"/>
              </w:rPr>
              <w:t>Equity Award</w:t>
            </w:r>
          </w:p>
        </w:tc>
        <w:tc>
          <w:tcPr>
            <w:tcW w:w="14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325889"/>
              </w:rPr>
              <w:t>Units</w:t>
            </w:r>
          </w:p>
        </w:tc>
        <w:tc>
          <w:tcPr>
            <w:tcW w:w="68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325889"/>
              </w:rPr>
              <w:t>Date</w:t>
            </w:r>
          </w:p>
        </w:tc>
        <w:tc>
          <w:tcPr>
            <w:tcW w:w="7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170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7020" w:type="dxa"/>
            <w:vAlign w:val="bottom"/>
            <w:shd w:val="clear" w:color="auto" w:fill="325889"/>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sectPr>
          <w:pgSz w:w="11900" w:h="16838" w:orient="portrait"/>
          <w:cols w:equalWidth="0" w:num="1">
            <w:col w:w="11440"/>
          </w:cols>
          <w:pgMar w:left="240" w:top="528"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line="256" w:lineRule="auto"/>
        <w:rPr>
          <w:sz w:val="20"/>
          <w:szCs w:val="20"/>
          <w:color w:val="auto"/>
        </w:rPr>
      </w:pPr>
      <w:r>
        <w:rPr>
          <w:rFonts w:ascii="Arial" w:cs="Arial" w:eastAsia="Arial" w:hAnsi="Arial"/>
          <w:sz w:val="15"/>
          <w:szCs w:val="15"/>
          <w:color w:val="auto"/>
        </w:rPr>
        <w:t>Three-Year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-660400</wp:posOffset>
            </wp:positionV>
            <wp:extent cx="158115" cy="9645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58115" cy="9645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840" w:type="dxa"/>
            <w:vAlign w:val="bottom"/>
            <w:gridSpan w:val="2"/>
          </w:tcPr>
          <w:p>
            <w:pPr>
              <w:spacing w:after="0"/>
              <w:rPr>
                <w:sz w:val="20"/>
                <w:szCs w:val="20"/>
                <w:color w:val="auto"/>
              </w:rPr>
            </w:pPr>
            <w:r>
              <w:rPr>
                <w:rFonts w:ascii="Arial" w:cs="Arial" w:eastAsia="Arial" w:hAnsi="Arial"/>
                <w:sz w:val="15"/>
                <w:szCs w:val="15"/>
                <w:color w:val="auto"/>
              </w:rPr>
              <w:t>Stock options</w:t>
            </w:r>
          </w:p>
        </w:tc>
        <w:tc>
          <w:tcPr>
            <w:tcW w:w="1020" w:type="dxa"/>
            <w:vAlign w:val="bottom"/>
          </w:tcPr>
          <w:p>
            <w:pPr>
              <w:jc w:val="right"/>
              <w:ind w:right="83"/>
              <w:spacing w:after="0"/>
              <w:rPr>
                <w:sz w:val="20"/>
                <w:szCs w:val="20"/>
                <w:color w:val="auto"/>
              </w:rPr>
            </w:pPr>
            <w:r>
              <w:rPr>
                <w:rFonts w:ascii="Arial" w:cs="Arial" w:eastAsia="Arial" w:hAnsi="Arial"/>
                <w:sz w:val="15"/>
                <w:szCs w:val="15"/>
                <w:color w:val="auto"/>
              </w:rPr>
              <w:t>200,000</w:t>
            </w:r>
          </w:p>
        </w:tc>
        <w:tc>
          <w:tcPr>
            <w:tcW w:w="520" w:type="dxa"/>
            <w:vAlign w:val="bottom"/>
          </w:tcPr>
          <w:p>
            <w:pPr>
              <w:jc w:val="right"/>
              <w:spacing w:after="0"/>
              <w:rPr>
                <w:sz w:val="20"/>
                <w:szCs w:val="20"/>
                <w:color w:val="auto"/>
              </w:rPr>
            </w:pPr>
            <w:r>
              <w:rPr>
                <w:rFonts w:ascii="Arial" w:cs="Arial" w:eastAsia="Arial" w:hAnsi="Arial"/>
                <w:sz w:val="15"/>
                <w:szCs w:val="15"/>
                <w:color w:val="auto"/>
              </w:rPr>
              <w:t>2013</w:t>
            </w:r>
          </w:p>
        </w:tc>
      </w:tr>
      <w:tr>
        <w:trPr>
          <w:trHeight w:val="191"/>
        </w:trPr>
        <w:tc>
          <w:tcPr>
            <w:tcW w:w="1700" w:type="dxa"/>
            <w:vAlign w:val="bottom"/>
            <w:tcBorders>
              <w:bottom w:val="single" w:sz="8" w:color="8391AB"/>
            </w:tcBorders>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Borders>
              <w:bottom w:val="single" w:sz="8" w:color="8391AB"/>
            </w:tcBorders>
          </w:tcPr>
          <w:p>
            <w:pPr>
              <w:spacing w:after="0"/>
              <w:rPr>
                <w:sz w:val="16"/>
                <w:szCs w:val="16"/>
                <w:color w:val="auto"/>
              </w:rPr>
            </w:pPr>
          </w:p>
        </w:tc>
        <w:tc>
          <w:tcPr>
            <w:tcW w:w="520" w:type="dxa"/>
            <w:vAlign w:val="bottom"/>
            <w:tcBorders>
              <w:bottom w:val="single" w:sz="8" w:color="8391AB"/>
            </w:tcBorders>
          </w:tcPr>
          <w:p>
            <w:pPr>
              <w:spacing w:after="0"/>
              <w:rPr>
                <w:sz w:val="16"/>
                <w:szCs w:val="16"/>
                <w:color w:val="auto"/>
              </w:rPr>
            </w:pPr>
          </w:p>
        </w:tc>
      </w:tr>
      <w:tr>
        <w:trPr>
          <w:trHeight w:val="196"/>
        </w:trPr>
        <w:tc>
          <w:tcPr>
            <w:tcW w:w="1840" w:type="dxa"/>
            <w:vAlign w:val="bottom"/>
            <w:gridSpan w:val="2"/>
          </w:tcPr>
          <w:p>
            <w:pPr>
              <w:spacing w:after="0"/>
              <w:rPr>
                <w:sz w:val="20"/>
                <w:szCs w:val="20"/>
                <w:color w:val="auto"/>
              </w:rPr>
            </w:pPr>
            <w:r>
              <w:rPr>
                <w:rFonts w:ascii="Arial" w:cs="Arial" w:eastAsia="Arial" w:hAnsi="Arial"/>
                <w:sz w:val="15"/>
                <w:szCs w:val="15"/>
                <w:color w:val="auto"/>
              </w:rPr>
              <w:t>Performance-based and</w:t>
            </w:r>
          </w:p>
        </w:tc>
        <w:tc>
          <w:tcPr>
            <w:tcW w:w="1020" w:type="dxa"/>
            <w:vAlign w:val="bottom"/>
          </w:tcPr>
          <w:p>
            <w:pPr>
              <w:jc w:val="right"/>
              <w:ind w:right="83"/>
              <w:spacing w:after="0"/>
              <w:rPr>
                <w:sz w:val="20"/>
                <w:szCs w:val="20"/>
                <w:color w:val="auto"/>
              </w:rPr>
            </w:pPr>
            <w:r>
              <w:rPr>
                <w:rFonts w:ascii="Arial" w:cs="Arial" w:eastAsia="Arial" w:hAnsi="Arial"/>
                <w:sz w:val="15"/>
                <w:szCs w:val="15"/>
                <w:color w:val="auto"/>
              </w:rPr>
              <w:t>87,870</w:t>
            </w:r>
          </w:p>
        </w:tc>
        <w:tc>
          <w:tcPr>
            <w:tcW w:w="520" w:type="dxa"/>
            <w:vAlign w:val="bottom"/>
          </w:tcPr>
          <w:p>
            <w:pPr>
              <w:jc w:val="right"/>
              <w:spacing w:after="0"/>
              <w:rPr>
                <w:sz w:val="20"/>
                <w:szCs w:val="20"/>
                <w:color w:val="auto"/>
              </w:rPr>
            </w:pPr>
            <w:r>
              <w:rPr>
                <w:rFonts w:ascii="Arial" w:cs="Arial" w:eastAsia="Arial" w:hAnsi="Arial"/>
                <w:sz w:val="15"/>
                <w:szCs w:val="15"/>
                <w:color w:val="auto"/>
              </w:rPr>
              <w:t>2014</w:t>
            </w:r>
          </w:p>
        </w:tc>
      </w:tr>
      <w:tr>
        <w:trPr>
          <w:trHeight w:val="186"/>
        </w:trPr>
        <w:tc>
          <w:tcPr>
            <w:tcW w:w="1840" w:type="dxa"/>
            <w:vAlign w:val="bottom"/>
            <w:gridSpan w:val="2"/>
          </w:tcPr>
          <w:p>
            <w:pPr>
              <w:spacing w:after="0"/>
              <w:rPr>
                <w:sz w:val="20"/>
                <w:szCs w:val="20"/>
                <w:color w:val="auto"/>
              </w:rPr>
            </w:pPr>
            <w:r>
              <w:rPr>
                <w:rFonts w:ascii="Arial" w:cs="Arial" w:eastAsia="Arial" w:hAnsi="Arial"/>
                <w:sz w:val="15"/>
                <w:szCs w:val="15"/>
                <w:color w:val="auto"/>
              </w:rPr>
              <w:t>time-based LTIP units</w:t>
            </w: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15"/>
        </w:trPr>
        <w:tc>
          <w:tcPr>
            <w:tcW w:w="1700" w:type="dxa"/>
            <w:vAlign w:val="bottom"/>
            <w:tcBorders>
              <w:bottom w:val="single" w:sz="8" w:color="8391AB"/>
            </w:tcBorders>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Borders>
              <w:bottom w:val="single" w:sz="8" w:color="8391AB"/>
            </w:tcBorders>
          </w:tcPr>
          <w:p>
            <w:pPr>
              <w:spacing w:after="0"/>
              <w:rPr>
                <w:sz w:val="18"/>
                <w:szCs w:val="18"/>
                <w:color w:val="auto"/>
              </w:rPr>
            </w:pPr>
          </w:p>
        </w:tc>
        <w:tc>
          <w:tcPr>
            <w:tcW w:w="520" w:type="dxa"/>
            <w:vAlign w:val="bottom"/>
            <w:tcBorders>
              <w:bottom w:val="single" w:sz="8" w:color="8391AB"/>
            </w:tcBorders>
          </w:tcPr>
          <w:p>
            <w:pPr>
              <w:spacing w:after="0"/>
              <w:rPr>
                <w:sz w:val="18"/>
                <w:szCs w:val="18"/>
                <w:color w:val="auto"/>
              </w:rPr>
            </w:pPr>
          </w:p>
        </w:tc>
      </w:tr>
      <w:tr>
        <w:trPr>
          <w:trHeight w:val="196"/>
        </w:trPr>
        <w:tc>
          <w:tcPr>
            <w:tcW w:w="1840" w:type="dxa"/>
            <w:vAlign w:val="bottom"/>
            <w:gridSpan w:val="2"/>
          </w:tcPr>
          <w:p>
            <w:pPr>
              <w:spacing w:after="0"/>
              <w:rPr>
                <w:sz w:val="20"/>
                <w:szCs w:val="20"/>
                <w:color w:val="auto"/>
              </w:rPr>
            </w:pPr>
            <w:r>
              <w:rPr>
                <w:rFonts w:ascii="Arial" w:cs="Arial" w:eastAsia="Arial" w:hAnsi="Arial"/>
                <w:sz w:val="15"/>
                <w:szCs w:val="15"/>
                <w:color w:val="auto"/>
              </w:rPr>
              <w:t>Performance-based</w:t>
            </w:r>
          </w:p>
        </w:tc>
        <w:tc>
          <w:tcPr>
            <w:tcW w:w="1020" w:type="dxa"/>
            <w:vAlign w:val="bottom"/>
          </w:tcPr>
          <w:p>
            <w:pPr>
              <w:jc w:val="right"/>
              <w:ind w:right="83"/>
              <w:spacing w:after="0"/>
              <w:rPr>
                <w:sz w:val="20"/>
                <w:szCs w:val="20"/>
                <w:color w:val="auto"/>
              </w:rPr>
            </w:pPr>
            <w:r>
              <w:rPr>
                <w:rFonts w:ascii="Arial" w:cs="Arial" w:eastAsia="Arial" w:hAnsi="Arial"/>
                <w:sz w:val="15"/>
                <w:szCs w:val="15"/>
                <w:color w:val="auto"/>
              </w:rPr>
              <w:t>87,870</w:t>
            </w:r>
          </w:p>
        </w:tc>
        <w:tc>
          <w:tcPr>
            <w:tcW w:w="520" w:type="dxa"/>
            <w:vAlign w:val="bottom"/>
          </w:tcPr>
          <w:p>
            <w:pPr>
              <w:jc w:val="right"/>
              <w:spacing w:after="0"/>
              <w:rPr>
                <w:sz w:val="20"/>
                <w:szCs w:val="20"/>
                <w:color w:val="auto"/>
              </w:rPr>
            </w:pPr>
            <w:r>
              <w:rPr>
                <w:rFonts w:ascii="Arial" w:cs="Arial" w:eastAsia="Arial" w:hAnsi="Arial"/>
                <w:sz w:val="15"/>
                <w:szCs w:val="15"/>
                <w:color w:val="auto"/>
              </w:rPr>
              <w:t>2015</w:t>
            </w:r>
          </w:p>
        </w:tc>
      </w:tr>
      <w:tr>
        <w:trPr>
          <w:trHeight w:val="186"/>
        </w:trPr>
        <w:tc>
          <w:tcPr>
            <w:tcW w:w="1840" w:type="dxa"/>
            <w:vAlign w:val="bottom"/>
            <w:gridSpan w:val="2"/>
          </w:tcPr>
          <w:p>
            <w:pPr>
              <w:spacing w:after="0"/>
              <w:rPr>
                <w:sz w:val="20"/>
                <w:szCs w:val="20"/>
                <w:color w:val="auto"/>
              </w:rPr>
            </w:pPr>
            <w:r>
              <w:rPr>
                <w:rFonts w:ascii="Arial" w:cs="Arial" w:eastAsia="Arial" w:hAnsi="Arial"/>
                <w:sz w:val="15"/>
                <w:szCs w:val="15"/>
                <w:color w:val="auto"/>
              </w:rPr>
              <w:t>LTIP units</w:t>
            </w: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37"/>
        </w:trPr>
        <w:tc>
          <w:tcPr>
            <w:tcW w:w="1700" w:type="dxa"/>
            <w:vAlign w:val="bottom"/>
            <w:tcBorders>
              <w:bottom w:val="single" w:sz="8" w:color="8391AB"/>
            </w:tcBorders>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Borders>
              <w:bottom w:val="single" w:sz="8" w:color="8391AB"/>
            </w:tcBorders>
          </w:tcPr>
          <w:p>
            <w:pPr>
              <w:spacing w:after="0"/>
              <w:rPr>
                <w:sz w:val="3"/>
                <w:szCs w:val="3"/>
                <w:color w:val="auto"/>
              </w:rPr>
            </w:pPr>
          </w:p>
        </w:tc>
        <w:tc>
          <w:tcPr>
            <w:tcW w:w="520" w:type="dxa"/>
            <w:vAlign w:val="bottom"/>
            <w:tcBorders>
              <w:bottom w:val="single" w:sz="8" w:color="8391AB"/>
            </w:tcBorders>
          </w:tcPr>
          <w:p>
            <w:pPr>
              <w:spacing w:after="0"/>
              <w:rPr>
                <w:sz w:val="3"/>
                <w:szCs w:val="3"/>
                <w:color w:val="auto"/>
              </w:rPr>
            </w:pPr>
          </w:p>
        </w:tc>
      </w:tr>
      <w:tr>
        <w:trPr>
          <w:trHeight w:val="196"/>
        </w:trPr>
        <w:tc>
          <w:tcPr>
            <w:tcW w:w="1840" w:type="dxa"/>
            <w:vAlign w:val="bottom"/>
            <w:gridSpan w:val="2"/>
          </w:tcPr>
          <w:p>
            <w:pPr>
              <w:spacing w:after="0"/>
              <w:rPr>
                <w:sz w:val="20"/>
                <w:szCs w:val="20"/>
                <w:color w:val="auto"/>
              </w:rPr>
            </w:pPr>
            <w:r>
              <w:rPr>
                <w:rFonts w:ascii="Arial" w:cs="Arial" w:eastAsia="Arial" w:hAnsi="Arial"/>
                <w:sz w:val="15"/>
                <w:szCs w:val="15"/>
                <w:color w:val="auto"/>
              </w:rPr>
              <w:t>Performance-based</w:t>
            </w:r>
          </w:p>
        </w:tc>
        <w:tc>
          <w:tcPr>
            <w:tcW w:w="1020" w:type="dxa"/>
            <w:vAlign w:val="bottom"/>
          </w:tcPr>
          <w:p>
            <w:pPr>
              <w:jc w:val="right"/>
              <w:ind w:right="83"/>
              <w:spacing w:after="0"/>
              <w:rPr>
                <w:sz w:val="20"/>
                <w:szCs w:val="20"/>
                <w:color w:val="auto"/>
              </w:rPr>
            </w:pPr>
            <w:r>
              <w:rPr>
                <w:rFonts w:ascii="Arial" w:cs="Arial" w:eastAsia="Arial" w:hAnsi="Arial"/>
                <w:sz w:val="15"/>
                <w:szCs w:val="15"/>
                <w:color w:val="auto"/>
              </w:rPr>
              <w:t>87,870</w:t>
            </w:r>
          </w:p>
        </w:tc>
        <w:tc>
          <w:tcPr>
            <w:tcW w:w="520" w:type="dxa"/>
            <w:vAlign w:val="bottom"/>
          </w:tcPr>
          <w:p>
            <w:pPr>
              <w:jc w:val="right"/>
              <w:spacing w:after="0"/>
              <w:rPr>
                <w:sz w:val="20"/>
                <w:szCs w:val="20"/>
                <w:color w:val="auto"/>
              </w:rPr>
            </w:pPr>
            <w:r>
              <w:rPr>
                <w:rFonts w:ascii="Arial" w:cs="Arial" w:eastAsia="Arial" w:hAnsi="Arial"/>
                <w:sz w:val="15"/>
                <w:szCs w:val="15"/>
                <w:color w:val="auto"/>
              </w:rPr>
              <w:t>2016</w:t>
            </w:r>
          </w:p>
        </w:tc>
      </w:tr>
      <w:tr>
        <w:trPr>
          <w:trHeight w:val="186"/>
        </w:trPr>
        <w:tc>
          <w:tcPr>
            <w:tcW w:w="1840" w:type="dxa"/>
            <w:vAlign w:val="bottom"/>
            <w:gridSpan w:val="2"/>
          </w:tcPr>
          <w:p>
            <w:pPr>
              <w:spacing w:after="0"/>
              <w:rPr>
                <w:sz w:val="20"/>
                <w:szCs w:val="20"/>
                <w:color w:val="auto"/>
              </w:rPr>
            </w:pPr>
            <w:r>
              <w:rPr>
                <w:rFonts w:ascii="Arial" w:cs="Arial" w:eastAsia="Arial" w:hAnsi="Arial"/>
                <w:sz w:val="15"/>
                <w:szCs w:val="15"/>
                <w:color w:val="auto"/>
              </w:rPr>
              <w:t>LTIP units</w:t>
            </w: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br w:type="column"/>
      </w:r>
    </w:p>
    <w:p>
      <w:pPr>
        <w:ind w:right="240"/>
        <w:spacing w:after="0" w:line="265" w:lineRule="auto"/>
        <w:rPr>
          <w:sz w:val="20"/>
          <w:szCs w:val="20"/>
          <w:color w:val="auto"/>
        </w:rPr>
      </w:pPr>
      <w:r>
        <w:rPr>
          <w:rFonts w:ascii="Arial" w:cs="Arial" w:eastAsia="Arial" w:hAnsi="Arial"/>
          <w:sz w:val="15"/>
          <w:szCs w:val="15"/>
          <w:color w:val="auto"/>
        </w:rPr>
        <w:t>One-third vesting on 1/17/14, 1/17/15 and 1/17/16; 50% expires 5 years after grant; 50% expires 10 years after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45262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452620" cy="7620"/>
                    </a:xfrm>
                    <a:prstGeom prst="rect">
                      <a:avLst/>
                    </a:prstGeom>
                    <a:noFill/>
                  </pic:spPr>
                </pic:pic>
              </a:graphicData>
            </a:graphic>
          </wp:anchor>
        </w:drawing>
      </w:r>
    </w:p>
    <w:p>
      <w:pPr>
        <w:spacing w:after="0" w:line="14" w:lineRule="exact"/>
        <w:rPr>
          <w:sz w:val="20"/>
          <w:szCs w:val="20"/>
          <w:color w:val="auto"/>
        </w:rPr>
      </w:pPr>
    </w:p>
    <w:p>
      <w:pPr>
        <w:ind w:right="20"/>
        <w:spacing w:after="0" w:line="256" w:lineRule="auto"/>
        <w:rPr>
          <w:sz w:val="20"/>
          <w:szCs w:val="20"/>
          <w:color w:val="auto"/>
        </w:rPr>
      </w:pPr>
      <w:r>
        <w:rPr>
          <w:rFonts w:ascii="Arial" w:cs="Arial" w:eastAsia="Arial" w:hAnsi="Arial"/>
          <w:sz w:val="15"/>
          <w:szCs w:val="15"/>
          <w:color w:val="auto"/>
        </w:rPr>
        <w:t>Vesting 1/17/14; 60% subject to performance-based vesting contingent upon achievement of either 7% increase in FFO, 7% TRS or TRS in the top 40% of the MSCI US REIT Index, for the prior year (or on a cumulative basis from 2013); two-year post-vesting no-sale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445262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452620" cy="7620"/>
                    </a:xfrm>
                    <a:prstGeom prst="rect">
                      <a:avLst/>
                    </a:prstGeom>
                    <a:noFill/>
                  </pic:spPr>
                </pic:pic>
              </a:graphicData>
            </a:graphic>
          </wp:anchor>
        </w:drawing>
      </w:r>
    </w:p>
    <w:p>
      <w:pPr>
        <w:spacing w:after="0" w:line="45" w:lineRule="exact"/>
        <w:rPr>
          <w:sz w:val="20"/>
          <w:szCs w:val="20"/>
          <w:color w:val="auto"/>
        </w:rPr>
      </w:pPr>
    </w:p>
    <w:p>
      <w:pPr>
        <w:ind w:right="80"/>
        <w:spacing w:after="0" w:line="256" w:lineRule="auto"/>
        <w:rPr>
          <w:sz w:val="20"/>
          <w:szCs w:val="20"/>
          <w:color w:val="auto"/>
        </w:rPr>
      </w:pPr>
      <w:r>
        <w:rPr>
          <w:rFonts w:ascii="Arial" w:cs="Arial" w:eastAsia="Arial" w:hAnsi="Arial"/>
          <w:sz w:val="15"/>
          <w:szCs w:val="15"/>
          <w:color w:val="auto"/>
        </w:rPr>
        <w:t>Vesting 1/17/15 and 1/17/16, respectively; vesting contingent upon achievement of either 8% increase in FFO, 8% TRS or TRS in the top 35% of the MSCI US REIT Index, for the prior year (or on a cumulative basis from 2013); two-year post-vesting no-sale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-2236470</wp:posOffset>
            </wp:positionH>
            <wp:positionV relativeFrom="paragraph">
              <wp:posOffset>190500</wp:posOffset>
            </wp:positionV>
            <wp:extent cx="6690360" cy="152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690360" cy="15240"/>
                    </a:xfrm>
                    <a:prstGeom prst="rect">
                      <a:avLst/>
                    </a:prstGeom>
                    <a:noFill/>
                  </pic:spPr>
                </pic:pic>
              </a:graphicData>
            </a:graphic>
          </wp:anchor>
        </w:drawing>
      </w:r>
    </w:p>
    <w:p>
      <w:pPr>
        <w:spacing w:after="0" w:line="450" w:lineRule="exact"/>
        <w:rPr>
          <w:sz w:val="20"/>
          <w:szCs w:val="20"/>
          <w:color w:val="auto"/>
        </w:rPr>
      </w:pPr>
    </w:p>
    <w:p>
      <w:pPr>
        <w:sectPr>
          <w:pgSz w:w="11900" w:h="16838" w:orient="portrait"/>
          <w:cols w:equalWidth="0" w:num="3">
            <w:col w:w="480" w:space="420"/>
            <w:col w:w="3380" w:space="140"/>
            <w:col w:w="7020"/>
          </w:cols>
          <w:pgMar w:left="240" w:top="528" w:right="219" w:bottom="1440" w:gutter="0" w:footer="0" w:header="0"/>
          <w:type w:val="continuous"/>
        </w:sectPr>
      </w:pPr>
    </w:p>
    <w:p>
      <w:pPr>
        <w:spacing w:after="0" w:line="96" w:lineRule="exact"/>
        <w:rPr>
          <w:sz w:val="20"/>
          <w:szCs w:val="20"/>
          <w:color w:val="auto"/>
        </w:rPr>
      </w:pPr>
    </w:p>
    <w:p>
      <w:pPr>
        <w:ind w:left="900"/>
        <w:spacing w:after="0"/>
        <w:rPr>
          <w:sz w:val="20"/>
          <w:szCs w:val="20"/>
          <w:color w:val="auto"/>
        </w:rPr>
      </w:pPr>
      <w:r>
        <w:rPr>
          <w:rFonts w:ascii="Arial" w:cs="Arial" w:eastAsia="Arial" w:hAnsi="Arial"/>
          <w:sz w:val="15"/>
          <w:szCs w:val="15"/>
          <w:b w:val="1"/>
          <w:bCs w:val="1"/>
          <w:color w:val="325889"/>
        </w:rPr>
        <w:t>ANDREW MATHIAS (JANUARY 1, 2014 – DECEMBER 31, 2016)</w:t>
      </w:r>
      <w:r>
        <w:rPr>
          <w:rFonts w:ascii="Arial" w:cs="Arial" w:eastAsia="Arial" w:hAnsi="Arial"/>
          <w:sz w:val="25"/>
          <w:szCs w:val="25"/>
          <w:b w:val="1"/>
          <w:bCs w:val="1"/>
          <w:color w:val="325889"/>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-22860</wp:posOffset>
            </wp:positionV>
            <wp:extent cx="6690360" cy="152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690360" cy="15240"/>
                    </a:xfrm>
                    <a:prstGeom prst="rect">
                      <a:avLst/>
                    </a:prstGeom>
                    <a:noFill/>
                  </pic:spPr>
                </pic:pic>
              </a:graphicData>
            </a:graphic>
          </wp:anchor>
        </w:drawing>
      </w:r>
    </w:p>
    <w:tbl>
      <w:tblPr>
        <w:tblLayout w:type="fixed"/>
        <w:tblInd w:w="900" w:type="dxa"/>
        <w:tblCellMar>
          <w:top w:w="0" w:type="dxa"/>
          <w:left w:w="0" w:type="dxa"/>
          <w:bottom w:w="0" w:type="dxa"/>
          <w:right w:w="0" w:type="dxa"/>
        </w:tblCellMar>
      </w:tblPr>
      <w:tr>
        <w:trPr>
          <w:trHeight w:val="127"/>
        </w:trPr>
        <w:tc>
          <w:tcPr>
            <w:tcW w:w="1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27" w:lineRule="exact"/>
              <w:rPr>
                <w:sz w:val="20"/>
                <w:szCs w:val="20"/>
                <w:color w:val="auto"/>
              </w:rPr>
            </w:pPr>
            <w:r>
              <w:rPr>
                <w:rFonts w:ascii="Arial" w:cs="Arial" w:eastAsia="Arial" w:hAnsi="Arial"/>
                <w:sz w:val="12"/>
                <w:szCs w:val="12"/>
                <w:b w:val="1"/>
                <w:bCs w:val="1"/>
                <w:color w:val="325889"/>
              </w:rPr>
              <w:t># of Shares/</w:t>
            </w:r>
          </w:p>
        </w:tc>
        <w:tc>
          <w:tcPr>
            <w:tcW w:w="680" w:type="dxa"/>
            <w:vAlign w:val="bottom"/>
            <w:gridSpan w:val="2"/>
          </w:tcPr>
          <w:p>
            <w:pPr>
              <w:jc w:val="right"/>
              <w:ind w:right="140"/>
              <w:spacing w:after="0" w:line="127" w:lineRule="exact"/>
              <w:rPr>
                <w:sz w:val="20"/>
                <w:szCs w:val="20"/>
                <w:color w:val="auto"/>
              </w:rPr>
            </w:pPr>
            <w:r>
              <w:rPr>
                <w:rFonts w:ascii="Arial" w:cs="Arial" w:eastAsia="Arial" w:hAnsi="Arial"/>
                <w:sz w:val="12"/>
                <w:szCs w:val="12"/>
                <w:b w:val="1"/>
                <w:bCs w:val="1"/>
                <w:color w:val="325889"/>
              </w:rPr>
              <w:t>Grant</w:t>
            </w:r>
          </w:p>
        </w:tc>
        <w:tc>
          <w:tcPr>
            <w:tcW w:w="7020" w:type="dxa"/>
            <w:vAlign w:val="bottom"/>
            <w:vMerge w:val="restart"/>
          </w:tcPr>
          <w:p>
            <w:pPr>
              <w:spacing w:after="0"/>
              <w:rPr>
                <w:sz w:val="20"/>
                <w:szCs w:val="20"/>
                <w:color w:val="auto"/>
              </w:rPr>
            </w:pPr>
            <w:r>
              <w:rPr>
                <w:rFonts w:ascii="Arial" w:cs="Arial" w:eastAsia="Arial" w:hAnsi="Arial"/>
                <w:sz w:val="12"/>
                <w:szCs w:val="12"/>
                <w:b w:val="1"/>
                <w:bCs w:val="1"/>
                <w:color w:val="325889"/>
              </w:rPr>
              <w:t>Description</w:t>
            </w:r>
            <w:r>
              <w:rPr>
                <w:rFonts w:ascii="Arial" w:cs="Arial" w:eastAsia="Arial" w:hAnsi="Arial"/>
                <w:sz w:val="19"/>
                <w:szCs w:val="19"/>
                <w:color w:val="325889"/>
                <w:vertAlign w:val="superscript"/>
              </w:rPr>
              <w:t>(1)</w:t>
            </w:r>
          </w:p>
        </w:tc>
        <w:tc>
          <w:tcPr>
            <w:tcW w:w="0" w:type="dxa"/>
            <w:vAlign w:val="bottom"/>
          </w:tcPr>
          <w:p>
            <w:pPr>
              <w:spacing w:after="0"/>
              <w:rPr>
                <w:sz w:val="1"/>
                <w:szCs w:val="1"/>
                <w:color w:val="auto"/>
              </w:rPr>
            </w:pPr>
          </w:p>
        </w:tc>
      </w:tr>
      <w:tr>
        <w:trPr>
          <w:trHeight w:val="169"/>
        </w:trPr>
        <w:tc>
          <w:tcPr>
            <w:tcW w:w="1700" w:type="dxa"/>
            <w:vAlign w:val="bottom"/>
          </w:tcPr>
          <w:p>
            <w:pPr>
              <w:spacing w:after="0"/>
              <w:rPr>
                <w:sz w:val="20"/>
                <w:szCs w:val="20"/>
                <w:color w:val="auto"/>
              </w:rPr>
            </w:pPr>
            <w:r>
              <w:rPr>
                <w:rFonts w:ascii="Arial" w:cs="Arial" w:eastAsia="Arial" w:hAnsi="Arial"/>
                <w:sz w:val="12"/>
                <w:szCs w:val="12"/>
                <w:b w:val="1"/>
                <w:bCs w:val="1"/>
                <w:color w:val="auto"/>
              </w:rPr>
              <w:t>Equity Award</w:t>
            </w:r>
          </w:p>
        </w:tc>
        <w:tc>
          <w:tcPr>
            <w:tcW w:w="14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325889"/>
              </w:rPr>
              <w:t>Units</w:t>
            </w:r>
          </w:p>
        </w:tc>
        <w:tc>
          <w:tcPr>
            <w:tcW w:w="68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325889"/>
              </w:rPr>
              <w:t>Date</w:t>
            </w:r>
          </w:p>
        </w:tc>
        <w:tc>
          <w:tcPr>
            <w:tcW w:w="7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170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7020" w:type="dxa"/>
            <w:vAlign w:val="bottom"/>
            <w:shd w:val="clear" w:color="auto" w:fill="325889"/>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sectPr>
          <w:pgSz w:w="11900" w:h="16838" w:orient="portrait"/>
          <w:cols w:equalWidth="0" w:num="1">
            <w:col w:w="11440"/>
          </w:cols>
          <w:pgMar w:left="240" w:top="528"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line="256" w:lineRule="auto"/>
        <w:rPr>
          <w:sz w:val="20"/>
          <w:szCs w:val="20"/>
          <w:color w:val="auto"/>
        </w:rPr>
      </w:pPr>
      <w:r>
        <w:rPr>
          <w:rFonts w:ascii="Arial" w:cs="Arial" w:eastAsia="Arial" w:hAnsi="Arial"/>
          <w:sz w:val="15"/>
          <w:szCs w:val="15"/>
          <w:color w:val="auto"/>
        </w:rPr>
        <w:t>Three-Year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-660400</wp:posOffset>
            </wp:positionV>
            <wp:extent cx="165735" cy="9645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65735" cy="9645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840" w:type="dxa"/>
            <w:vAlign w:val="bottom"/>
            <w:gridSpan w:val="2"/>
          </w:tcPr>
          <w:p>
            <w:pPr>
              <w:spacing w:after="0"/>
              <w:rPr>
                <w:sz w:val="20"/>
                <w:szCs w:val="20"/>
                <w:color w:val="auto"/>
              </w:rPr>
            </w:pPr>
            <w:r>
              <w:rPr>
                <w:rFonts w:ascii="Arial" w:cs="Arial" w:eastAsia="Arial" w:hAnsi="Arial"/>
                <w:sz w:val="15"/>
                <w:szCs w:val="15"/>
                <w:color w:val="auto"/>
              </w:rPr>
              <w:t>Stock options</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130,000</w:t>
            </w:r>
          </w:p>
        </w:tc>
        <w:tc>
          <w:tcPr>
            <w:tcW w:w="540" w:type="dxa"/>
            <w:vAlign w:val="bottom"/>
          </w:tcPr>
          <w:p>
            <w:pPr>
              <w:jc w:val="right"/>
              <w:spacing w:after="0"/>
              <w:rPr>
                <w:sz w:val="20"/>
                <w:szCs w:val="20"/>
                <w:color w:val="auto"/>
              </w:rPr>
            </w:pPr>
            <w:r>
              <w:rPr>
                <w:rFonts w:ascii="Arial" w:cs="Arial" w:eastAsia="Arial" w:hAnsi="Arial"/>
                <w:sz w:val="15"/>
                <w:szCs w:val="15"/>
                <w:color w:val="auto"/>
              </w:rPr>
              <w:t>2013</w:t>
            </w:r>
          </w:p>
        </w:tc>
      </w:tr>
      <w:tr>
        <w:trPr>
          <w:trHeight w:val="191"/>
        </w:trPr>
        <w:tc>
          <w:tcPr>
            <w:tcW w:w="1700" w:type="dxa"/>
            <w:vAlign w:val="bottom"/>
            <w:tcBorders>
              <w:bottom w:val="single" w:sz="8" w:color="8391AB"/>
            </w:tcBorders>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Borders>
              <w:bottom w:val="single" w:sz="8" w:color="8391AB"/>
            </w:tcBorders>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Borders>
              <w:bottom w:val="single" w:sz="8" w:color="8391AB"/>
            </w:tcBorders>
          </w:tcPr>
          <w:p>
            <w:pPr>
              <w:spacing w:after="0"/>
              <w:rPr>
                <w:sz w:val="16"/>
                <w:szCs w:val="16"/>
                <w:color w:val="auto"/>
              </w:rPr>
            </w:pPr>
          </w:p>
        </w:tc>
      </w:tr>
      <w:tr>
        <w:trPr>
          <w:trHeight w:val="196"/>
        </w:trPr>
        <w:tc>
          <w:tcPr>
            <w:tcW w:w="1840" w:type="dxa"/>
            <w:vAlign w:val="bottom"/>
            <w:gridSpan w:val="2"/>
          </w:tcPr>
          <w:p>
            <w:pPr>
              <w:spacing w:after="0"/>
              <w:rPr>
                <w:sz w:val="20"/>
                <w:szCs w:val="20"/>
                <w:color w:val="auto"/>
              </w:rPr>
            </w:pPr>
            <w:r>
              <w:rPr>
                <w:rFonts w:ascii="Arial" w:cs="Arial" w:eastAsia="Arial" w:hAnsi="Arial"/>
                <w:sz w:val="15"/>
                <w:szCs w:val="15"/>
                <w:color w:val="auto"/>
              </w:rPr>
              <w:t>Performance-based and</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58,666</w:t>
            </w:r>
          </w:p>
        </w:tc>
        <w:tc>
          <w:tcPr>
            <w:tcW w:w="540" w:type="dxa"/>
            <w:vAlign w:val="bottom"/>
          </w:tcPr>
          <w:p>
            <w:pPr>
              <w:jc w:val="right"/>
              <w:spacing w:after="0"/>
              <w:rPr>
                <w:sz w:val="20"/>
                <w:szCs w:val="20"/>
                <w:color w:val="auto"/>
              </w:rPr>
            </w:pPr>
            <w:r>
              <w:rPr>
                <w:rFonts w:ascii="Arial" w:cs="Arial" w:eastAsia="Arial" w:hAnsi="Arial"/>
                <w:sz w:val="15"/>
                <w:szCs w:val="15"/>
                <w:color w:val="auto"/>
              </w:rPr>
              <w:t>2014</w:t>
            </w:r>
          </w:p>
        </w:tc>
      </w:tr>
      <w:tr>
        <w:trPr>
          <w:trHeight w:val="186"/>
        </w:trPr>
        <w:tc>
          <w:tcPr>
            <w:tcW w:w="1840" w:type="dxa"/>
            <w:vAlign w:val="bottom"/>
            <w:gridSpan w:val="2"/>
          </w:tcPr>
          <w:p>
            <w:pPr>
              <w:spacing w:after="0"/>
              <w:rPr>
                <w:sz w:val="20"/>
                <w:szCs w:val="20"/>
                <w:color w:val="auto"/>
              </w:rPr>
            </w:pPr>
            <w:r>
              <w:rPr>
                <w:rFonts w:ascii="Arial" w:cs="Arial" w:eastAsia="Arial" w:hAnsi="Arial"/>
                <w:sz w:val="15"/>
                <w:szCs w:val="15"/>
                <w:color w:val="auto"/>
              </w:rPr>
              <w:t>time-based LTIP units</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15"/>
        </w:trPr>
        <w:tc>
          <w:tcPr>
            <w:tcW w:w="1700" w:type="dxa"/>
            <w:vAlign w:val="bottom"/>
            <w:tcBorders>
              <w:bottom w:val="single" w:sz="8" w:color="8391AB"/>
            </w:tcBorders>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bottom w:val="single" w:sz="8" w:color="8391AB"/>
            </w:tcBorders>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bottom w:val="single" w:sz="8" w:color="8391AB"/>
            </w:tcBorders>
          </w:tcPr>
          <w:p>
            <w:pPr>
              <w:spacing w:after="0"/>
              <w:rPr>
                <w:sz w:val="18"/>
                <w:szCs w:val="18"/>
                <w:color w:val="auto"/>
              </w:rPr>
            </w:pPr>
          </w:p>
        </w:tc>
      </w:tr>
      <w:tr>
        <w:trPr>
          <w:trHeight w:val="196"/>
        </w:trPr>
        <w:tc>
          <w:tcPr>
            <w:tcW w:w="1840" w:type="dxa"/>
            <w:vAlign w:val="bottom"/>
            <w:gridSpan w:val="2"/>
          </w:tcPr>
          <w:p>
            <w:pPr>
              <w:spacing w:after="0"/>
              <w:rPr>
                <w:sz w:val="20"/>
                <w:szCs w:val="20"/>
                <w:color w:val="auto"/>
              </w:rPr>
            </w:pPr>
            <w:r>
              <w:rPr>
                <w:rFonts w:ascii="Arial" w:cs="Arial" w:eastAsia="Arial" w:hAnsi="Arial"/>
                <w:sz w:val="15"/>
                <w:szCs w:val="15"/>
                <w:color w:val="auto"/>
              </w:rPr>
              <w:t>Performance-based</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58,667</w:t>
            </w:r>
          </w:p>
        </w:tc>
        <w:tc>
          <w:tcPr>
            <w:tcW w:w="540" w:type="dxa"/>
            <w:vAlign w:val="bottom"/>
          </w:tcPr>
          <w:p>
            <w:pPr>
              <w:jc w:val="right"/>
              <w:spacing w:after="0"/>
              <w:rPr>
                <w:sz w:val="20"/>
                <w:szCs w:val="20"/>
                <w:color w:val="auto"/>
              </w:rPr>
            </w:pPr>
            <w:r>
              <w:rPr>
                <w:rFonts w:ascii="Arial" w:cs="Arial" w:eastAsia="Arial" w:hAnsi="Arial"/>
                <w:sz w:val="15"/>
                <w:szCs w:val="15"/>
                <w:color w:val="auto"/>
              </w:rPr>
              <w:t>2015</w:t>
            </w:r>
          </w:p>
        </w:tc>
      </w:tr>
      <w:tr>
        <w:trPr>
          <w:trHeight w:val="186"/>
        </w:trPr>
        <w:tc>
          <w:tcPr>
            <w:tcW w:w="1840" w:type="dxa"/>
            <w:vAlign w:val="bottom"/>
            <w:gridSpan w:val="2"/>
          </w:tcPr>
          <w:p>
            <w:pPr>
              <w:spacing w:after="0"/>
              <w:rPr>
                <w:sz w:val="20"/>
                <w:szCs w:val="20"/>
                <w:color w:val="auto"/>
              </w:rPr>
            </w:pPr>
            <w:r>
              <w:rPr>
                <w:rFonts w:ascii="Arial" w:cs="Arial" w:eastAsia="Arial" w:hAnsi="Arial"/>
                <w:sz w:val="15"/>
                <w:szCs w:val="15"/>
                <w:color w:val="auto"/>
              </w:rPr>
              <w:t>LTIP units</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37"/>
        </w:trPr>
        <w:tc>
          <w:tcPr>
            <w:tcW w:w="1700" w:type="dxa"/>
            <w:vAlign w:val="bottom"/>
            <w:tcBorders>
              <w:bottom w:val="single" w:sz="8" w:color="8391AB"/>
            </w:tcBorders>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Borders>
              <w:bottom w:val="single" w:sz="8" w:color="8391AB"/>
            </w:tcBorders>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Borders>
              <w:bottom w:val="single" w:sz="8" w:color="8391AB"/>
            </w:tcBorders>
          </w:tcPr>
          <w:p>
            <w:pPr>
              <w:spacing w:after="0"/>
              <w:rPr>
                <w:sz w:val="3"/>
                <w:szCs w:val="3"/>
                <w:color w:val="auto"/>
              </w:rPr>
            </w:pPr>
          </w:p>
        </w:tc>
      </w:tr>
      <w:tr>
        <w:trPr>
          <w:trHeight w:val="196"/>
        </w:trPr>
        <w:tc>
          <w:tcPr>
            <w:tcW w:w="1840" w:type="dxa"/>
            <w:vAlign w:val="bottom"/>
            <w:gridSpan w:val="2"/>
          </w:tcPr>
          <w:p>
            <w:pPr>
              <w:spacing w:after="0"/>
              <w:rPr>
                <w:sz w:val="20"/>
                <w:szCs w:val="20"/>
                <w:color w:val="auto"/>
              </w:rPr>
            </w:pPr>
            <w:r>
              <w:rPr>
                <w:rFonts w:ascii="Arial" w:cs="Arial" w:eastAsia="Arial" w:hAnsi="Arial"/>
                <w:sz w:val="15"/>
                <w:szCs w:val="15"/>
                <w:color w:val="auto"/>
              </w:rPr>
              <w:t>Performance-based</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58,667</w:t>
            </w:r>
          </w:p>
        </w:tc>
        <w:tc>
          <w:tcPr>
            <w:tcW w:w="540" w:type="dxa"/>
            <w:vAlign w:val="bottom"/>
          </w:tcPr>
          <w:p>
            <w:pPr>
              <w:jc w:val="right"/>
              <w:spacing w:after="0"/>
              <w:rPr>
                <w:sz w:val="20"/>
                <w:szCs w:val="20"/>
                <w:color w:val="auto"/>
              </w:rPr>
            </w:pPr>
            <w:r>
              <w:rPr>
                <w:rFonts w:ascii="Arial" w:cs="Arial" w:eastAsia="Arial" w:hAnsi="Arial"/>
                <w:sz w:val="15"/>
                <w:szCs w:val="15"/>
                <w:color w:val="auto"/>
              </w:rPr>
              <w:t>2016</w:t>
            </w:r>
          </w:p>
        </w:tc>
      </w:tr>
      <w:tr>
        <w:trPr>
          <w:trHeight w:val="186"/>
        </w:trPr>
        <w:tc>
          <w:tcPr>
            <w:tcW w:w="1840" w:type="dxa"/>
            <w:vAlign w:val="bottom"/>
            <w:gridSpan w:val="2"/>
          </w:tcPr>
          <w:p>
            <w:pPr>
              <w:spacing w:after="0"/>
              <w:rPr>
                <w:sz w:val="20"/>
                <w:szCs w:val="20"/>
                <w:color w:val="auto"/>
              </w:rPr>
            </w:pPr>
            <w:r>
              <w:rPr>
                <w:rFonts w:ascii="Arial" w:cs="Arial" w:eastAsia="Arial" w:hAnsi="Arial"/>
                <w:sz w:val="15"/>
                <w:szCs w:val="15"/>
                <w:color w:val="auto"/>
              </w:rPr>
              <w:t>LTIP units</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br w:type="column"/>
      </w:r>
    </w:p>
    <w:p>
      <w:pPr>
        <w:ind w:right="200"/>
        <w:spacing w:after="0" w:line="265" w:lineRule="auto"/>
        <w:rPr>
          <w:sz w:val="20"/>
          <w:szCs w:val="20"/>
          <w:color w:val="auto"/>
        </w:rPr>
      </w:pPr>
      <w:r>
        <w:rPr>
          <w:rFonts w:ascii="Arial" w:cs="Arial" w:eastAsia="Arial" w:hAnsi="Arial"/>
          <w:sz w:val="15"/>
          <w:szCs w:val="15"/>
          <w:color w:val="auto"/>
        </w:rPr>
        <w:t>One-third vesting on 12/31/14, 12/31/15 and 12/31/16; 50% expires 5 years after grant; 50% expires 10 years after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45262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452620" cy="7620"/>
                    </a:xfrm>
                    <a:prstGeom prst="rect">
                      <a:avLst/>
                    </a:prstGeom>
                    <a:noFill/>
                  </pic:spPr>
                </pic:pic>
              </a:graphicData>
            </a:graphic>
          </wp:anchor>
        </w:drawing>
      </w:r>
    </w:p>
    <w:p>
      <w:pPr>
        <w:spacing w:after="0" w:line="14" w:lineRule="exact"/>
        <w:rPr>
          <w:sz w:val="20"/>
          <w:szCs w:val="20"/>
          <w:color w:val="auto"/>
        </w:rPr>
      </w:pPr>
    </w:p>
    <w:p>
      <w:pPr>
        <w:ind w:right="60"/>
        <w:spacing w:after="0" w:line="256" w:lineRule="auto"/>
        <w:rPr>
          <w:sz w:val="20"/>
          <w:szCs w:val="20"/>
          <w:color w:val="auto"/>
        </w:rPr>
      </w:pPr>
      <w:r>
        <w:rPr>
          <w:rFonts w:ascii="Arial" w:cs="Arial" w:eastAsia="Arial" w:hAnsi="Arial"/>
          <w:sz w:val="15"/>
          <w:szCs w:val="15"/>
          <w:color w:val="auto"/>
        </w:rPr>
        <w:t>Vesting 12/31/14; 60% subject to performance-based vesting contingent upon achievement of either 7% increase in FFO, 7% TRS or TRS in the top 40% of the MSCI US REIT Index, for the prior year (or on a cumulative basis from 2014); two-year post-vesting no-sale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445262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452620" cy="7620"/>
                    </a:xfrm>
                    <a:prstGeom prst="rect">
                      <a:avLst/>
                    </a:prstGeom>
                    <a:noFill/>
                  </pic:spPr>
                </pic:pic>
              </a:graphicData>
            </a:graphic>
          </wp:anchor>
        </w:drawing>
      </w:r>
    </w:p>
    <w:p>
      <w:pPr>
        <w:spacing w:after="0" w:line="45" w:lineRule="exact"/>
        <w:rPr>
          <w:sz w:val="20"/>
          <w:szCs w:val="20"/>
          <w:color w:val="auto"/>
        </w:rPr>
      </w:pPr>
    </w:p>
    <w:p>
      <w:pPr>
        <w:ind w:right="100"/>
        <w:spacing w:after="0" w:line="256" w:lineRule="auto"/>
        <w:rPr>
          <w:sz w:val="20"/>
          <w:szCs w:val="20"/>
          <w:color w:val="auto"/>
        </w:rPr>
      </w:pPr>
      <w:r>
        <w:rPr>
          <w:rFonts w:ascii="Arial" w:cs="Arial" w:eastAsia="Arial" w:hAnsi="Arial"/>
          <w:sz w:val="15"/>
          <w:szCs w:val="15"/>
          <w:color w:val="auto"/>
        </w:rPr>
        <w:t>Vesting 12/31/15 and 12/31/16, respectively; vesting contingent upon achievement of either 8% increase in FFO, 8% TRS or TRS in the top 35% of the MSCI US REIT Index, for the prior year (or on a cumulative basis from 2014); two-year post-vesting no-sale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-2236470</wp:posOffset>
            </wp:positionH>
            <wp:positionV relativeFrom="paragraph">
              <wp:posOffset>190500</wp:posOffset>
            </wp:positionV>
            <wp:extent cx="6690360" cy="152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690360" cy="15240"/>
                    </a:xfrm>
                    <a:prstGeom prst="rect">
                      <a:avLst/>
                    </a:prstGeom>
                    <a:noFill/>
                  </pic:spPr>
                </pic:pic>
              </a:graphicData>
            </a:graphic>
          </wp:anchor>
        </w:drawing>
      </w:r>
    </w:p>
    <w:p>
      <w:pPr>
        <w:spacing w:after="0" w:line="450" w:lineRule="exact"/>
        <w:rPr>
          <w:sz w:val="20"/>
          <w:szCs w:val="20"/>
          <w:color w:val="auto"/>
        </w:rPr>
      </w:pPr>
    </w:p>
    <w:p>
      <w:pPr>
        <w:sectPr>
          <w:pgSz w:w="11900" w:h="16838" w:orient="portrait"/>
          <w:cols w:equalWidth="0" w:num="3">
            <w:col w:w="480" w:space="420"/>
            <w:col w:w="3380" w:space="140"/>
            <w:col w:w="7020"/>
          </w:cols>
          <w:pgMar w:left="240" w:top="528" w:right="219" w:bottom="1440" w:gutter="0" w:footer="0" w:header="0"/>
          <w:type w:val="continuous"/>
        </w:sectPr>
      </w:pPr>
    </w:p>
    <w:p>
      <w:pPr>
        <w:spacing w:after="0" w:line="95" w:lineRule="exact"/>
        <w:rPr>
          <w:sz w:val="20"/>
          <w:szCs w:val="20"/>
          <w:color w:val="auto"/>
        </w:rPr>
      </w:pPr>
    </w:p>
    <w:p>
      <w:pPr>
        <w:ind w:left="900"/>
        <w:spacing w:after="0"/>
        <w:rPr>
          <w:sz w:val="20"/>
          <w:szCs w:val="20"/>
          <w:color w:val="auto"/>
        </w:rPr>
      </w:pPr>
      <w:r>
        <w:rPr>
          <w:rFonts w:ascii="Arial" w:cs="Arial" w:eastAsia="Arial" w:hAnsi="Arial"/>
          <w:sz w:val="15"/>
          <w:szCs w:val="15"/>
          <w:b w:val="1"/>
          <w:bCs w:val="1"/>
          <w:color w:val="325889"/>
        </w:rPr>
        <w:t>MATTHEW J. DILIBERTO (JANUARY 1, 2015 – JANUARY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27940</wp:posOffset>
            </wp:positionV>
            <wp:extent cx="6690360" cy="152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690360" cy="15240"/>
                    </a:xfrm>
                    <a:prstGeom prst="rect">
                      <a:avLst/>
                    </a:prstGeom>
                    <a:noFill/>
                  </pic:spPr>
                </pic:pic>
              </a:graphicData>
            </a:graphic>
          </wp:anchor>
        </w:drawing>
      </w:r>
    </w:p>
    <w:p>
      <w:pPr>
        <w:spacing w:after="0" w:line="50" w:lineRule="exact"/>
        <w:rPr>
          <w:sz w:val="20"/>
          <w:szCs w:val="20"/>
          <w:color w:val="auto"/>
        </w:rPr>
      </w:pPr>
    </w:p>
    <w:tbl>
      <w:tblPr>
        <w:tblLayout w:type="fixed"/>
        <w:tblInd w:w="900" w:type="dxa"/>
        <w:tblCellMar>
          <w:top w:w="0" w:type="dxa"/>
          <w:left w:w="0" w:type="dxa"/>
          <w:bottom w:w="0" w:type="dxa"/>
          <w:right w:w="0" w:type="dxa"/>
        </w:tblCellMar>
      </w:tblPr>
      <w:tr>
        <w:trPr>
          <w:trHeight w:val="138"/>
        </w:trPr>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325889"/>
              </w:rPr>
              <w:t># of Shares/</w:t>
            </w:r>
          </w:p>
        </w:tc>
        <w:tc>
          <w:tcPr>
            <w:tcW w:w="68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325889"/>
              </w:rPr>
              <w:t>Grant</w:t>
            </w:r>
          </w:p>
        </w:tc>
        <w:tc>
          <w:tcPr>
            <w:tcW w:w="7020" w:type="dxa"/>
            <w:vAlign w:val="bottom"/>
            <w:vMerge w:val="restart"/>
          </w:tcPr>
          <w:p>
            <w:pPr>
              <w:spacing w:after="0"/>
              <w:rPr>
                <w:sz w:val="20"/>
                <w:szCs w:val="20"/>
                <w:color w:val="auto"/>
              </w:rPr>
            </w:pPr>
            <w:r>
              <w:rPr>
                <w:rFonts w:ascii="Arial" w:cs="Arial" w:eastAsia="Arial" w:hAnsi="Arial"/>
                <w:sz w:val="12"/>
                <w:szCs w:val="12"/>
                <w:b w:val="1"/>
                <w:bCs w:val="1"/>
                <w:color w:val="325889"/>
              </w:rPr>
              <w:t>Description</w:t>
            </w:r>
            <w:r>
              <w:rPr>
                <w:rFonts w:ascii="Arial" w:cs="Arial" w:eastAsia="Arial" w:hAnsi="Arial"/>
                <w:sz w:val="19"/>
                <w:szCs w:val="19"/>
                <w:color w:val="325889"/>
                <w:vertAlign w:val="superscript"/>
              </w:rPr>
              <w:t>(1)</w:t>
            </w:r>
          </w:p>
        </w:tc>
        <w:tc>
          <w:tcPr>
            <w:tcW w:w="0" w:type="dxa"/>
            <w:vAlign w:val="bottom"/>
          </w:tcPr>
          <w:p>
            <w:pPr>
              <w:spacing w:after="0"/>
              <w:rPr>
                <w:sz w:val="1"/>
                <w:szCs w:val="1"/>
                <w:color w:val="auto"/>
              </w:rPr>
            </w:pPr>
          </w:p>
        </w:tc>
      </w:tr>
      <w:tr>
        <w:trPr>
          <w:trHeight w:val="169"/>
        </w:trPr>
        <w:tc>
          <w:tcPr>
            <w:tcW w:w="1700" w:type="dxa"/>
            <w:vAlign w:val="bottom"/>
          </w:tcPr>
          <w:p>
            <w:pPr>
              <w:spacing w:after="0"/>
              <w:rPr>
                <w:sz w:val="20"/>
                <w:szCs w:val="20"/>
                <w:color w:val="auto"/>
              </w:rPr>
            </w:pPr>
            <w:r>
              <w:rPr>
                <w:rFonts w:ascii="Arial" w:cs="Arial" w:eastAsia="Arial" w:hAnsi="Arial"/>
                <w:sz w:val="12"/>
                <w:szCs w:val="12"/>
                <w:b w:val="1"/>
                <w:bCs w:val="1"/>
                <w:color w:val="auto"/>
              </w:rPr>
              <w:t>Equity Award</w:t>
            </w:r>
          </w:p>
        </w:tc>
        <w:tc>
          <w:tcPr>
            <w:tcW w:w="14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325889"/>
              </w:rPr>
              <w:t>Units</w:t>
            </w:r>
          </w:p>
        </w:tc>
        <w:tc>
          <w:tcPr>
            <w:tcW w:w="68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325889"/>
              </w:rPr>
              <w:t>Date</w:t>
            </w:r>
          </w:p>
        </w:tc>
        <w:tc>
          <w:tcPr>
            <w:tcW w:w="7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170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7020" w:type="dxa"/>
            <w:vAlign w:val="bottom"/>
            <w:shd w:val="clear" w:color="auto" w:fill="32588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1700" w:type="dxa"/>
            <w:vAlign w:val="bottom"/>
          </w:tcPr>
          <w:p>
            <w:pPr>
              <w:spacing w:after="0"/>
              <w:rPr>
                <w:sz w:val="20"/>
                <w:szCs w:val="20"/>
                <w:color w:val="auto"/>
              </w:rPr>
            </w:pPr>
            <w:r>
              <w:rPr>
                <w:rFonts w:ascii="Arial" w:cs="Arial" w:eastAsia="Arial" w:hAnsi="Arial"/>
                <w:sz w:val="15"/>
                <w:szCs w:val="15"/>
                <w:color w:val="auto"/>
              </w:rPr>
              <w:t>Time-based LTIP units</w:t>
            </w: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13,000</w:t>
            </w: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2014</w:t>
            </w:r>
          </w:p>
        </w:tc>
        <w:tc>
          <w:tcPr>
            <w:tcW w:w="7020" w:type="dxa"/>
            <w:vAlign w:val="bottom"/>
          </w:tcPr>
          <w:p>
            <w:pPr>
              <w:spacing w:after="0"/>
              <w:rPr>
                <w:sz w:val="20"/>
                <w:szCs w:val="20"/>
                <w:color w:val="auto"/>
              </w:rPr>
            </w:pPr>
            <w:r>
              <w:rPr>
                <w:rFonts w:ascii="Arial" w:cs="Arial" w:eastAsia="Arial" w:hAnsi="Arial"/>
                <w:sz w:val="15"/>
                <w:szCs w:val="15"/>
                <w:color w:val="auto"/>
              </w:rPr>
              <w:t>6,000 LTIP units vesting 1/1/16 and 3,500 LTIP units vesting on each of 1/1/17 and 1/1/18</w:t>
            </w:r>
          </w:p>
        </w:tc>
        <w:tc>
          <w:tcPr>
            <w:tcW w:w="0" w:type="dxa"/>
            <w:vAlign w:val="bottom"/>
          </w:tcPr>
          <w:p>
            <w:pPr>
              <w:spacing w:after="0"/>
              <w:rPr>
                <w:sz w:val="1"/>
                <w:szCs w:val="1"/>
                <w:color w:val="auto"/>
              </w:rPr>
            </w:pPr>
          </w:p>
        </w:tc>
      </w:tr>
      <w:tr>
        <w:trPr>
          <w:trHeight w:val="20"/>
        </w:trPr>
        <w:tc>
          <w:tcPr>
            <w:tcW w:w="1700" w:type="dxa"/>
            <w:vAlign w:val="bottom"/>
            <w:shd w:val="clear" w:color="auto" w:fill="8391AB"/>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8391AB"/>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8391AB"/>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20" w:type="dxa"/>
            <w:vAlign w:val="bottom"/>
            <w:shd w:val="clear" w:color="auto" w:fill="8391A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00" w:type="dxa"/>
            <w:vAlign w:val="bottom"/>
          </w:tcPr>
          <w:p>
            <w:pPr>
              <w:spacing w:after="0"/>
              <w:rPr>
                <w:sz w:val="20"/>
                <w:szCs w:val="20"/>
                <w:color w:val="auto"/>
              </w:rPr>
            </w:pPr>
            <w:r>
              <w:rPr>
                <w:rFonts w:ascii="Arial" w:cs="Arial" w:eastAsia="Arial" w:hAnsi="Arial"/>
                <w:sz w:val="15"/>
                <w:szCs w:val="15"/>
                <w:color w:val="auto"/>
              </w:rPr>
              <w:t>Performance-based</w:t>
            </w:r>
          </w:p>
        </w:tc>
        <w:tc>
          <w:tcPr>
            <w:tcW w:w="14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7,000</w:t>
            </w: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2014</w:t>
            </w:r>
          </w:p>
        </w:tc>
        <w:tc>
          <w:tcPr>
            <w:tcW w:w="7020" w:type="dxa"/>
            <w:vAlign w:val="bottom"/>
          </w:tcPr>
          <w:p>
            <w:pPr>
              <w:spacing w:after="0"/>
              <w:rPr>
                <w:sz w:val="20"/>
                <w:szCs w:val="20"/>
                <w:color w:val="auto"/>
              </w:rPr>
            </w:pPr>
            <w:r>
              <w:rPr>
                <w:rFonts w:ascii="Arial" w:cs="Arial" w:eastAsia="Arial" w:hAnsi="Arial"/>
                <w:sz w:val="15"/>
                <w:szCs w:val="15"/>
                <w:color w:val="auto"/>
              </w:rPr>
              <w:t>One-half vesting on each of 1/1/17 and 1/1/18; vesting contingent upon achievement of either 8%</w:t>
            </w:r>
          </w:p>
        </w:tc>
        <w:tc>
          <w:tcPr>
            <w:tcW w:w="0" w:type="dxa"/>
            <w:vAlign w:val="bottom"/>
          </w:tcPr>
          <w:p>
            <w:pPr>
              <w:spacing w:after="0"/>
              <w:rPr>
                <w:sz w:val="1"/>
                <w:szCs w:val="1"/>
                <w:color w:val="auto"/>
              </w:rPr>
            </w:pPr>
          </w:p>
        </w:tc>
      </w:tr>
      <w:tr>
        <w:trPr>
          <w:trHeight w:val="178"/>
        </w:trPr>
        <w:tc>
          <w:tcPr>
            <w:tcW w:w="1840" w:type="dxa"/>
            <w:vAlign w:val="bottom"/>
            <w:gridSpan w:val="2"/>
          </w:tcPr>
          <w:p>
            <w:pPr>
              <w:spacing w:after="0"/>
              <w:rPr>
                <w:sz w:val="20"/>
                <w:szCs w:val="20"/>
                <w:color w:val="auto"/>
              </w:rPr>
            </w:pPr>
            <w:r>
              <w:rPr>
                <w:rFonts w:ascii="Arial" w:cs="Arial" w:eastAsia="Arial" w:hAnsi="Arial"/>
                <w:sz w:val="15"/>
                <w:szCs w:val="15"/>
                <w:color w:val="auto"/>
              </w:rPr>
              <w:t>LTIP units</w:t>
            </w: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20" w:type="dxa"/>
            <w:vAlign w:val="bottom"/>
          </w:tcPr>
          <w:p>
            <w:pPr>
              <w:spacing w:after="0"/>
              <w:rPr>
                <w:sz w:val="20"/>
                <w:szCs w:val="20"/>
                <w:color w:val="auto"/>
              </w:rPr>
            </w:pPr>
            <w:r>
              <w:rPr>
                <w:rFonts w:ascii="Arial" w:cs="Arial" w:eastAsia="Arial" w:hAnsi="Arial"/>
                <w:sz w:val="15"/>
                <w:szCs w:val="15"/>
                <w:color w:val="auto"/>
              </w:rPr>
              <w:t>increase in FFO, 8% TRS or TRS in the top 35% of the MSCI US REIT Index, for the prior year (or on</w:t>
            </w:r>
          </w:p>
        </w:tc>
        <w:tc>
          <w:tcPr>
            <w:tcW w:w="0" w:type="dxa"/>
            <w:vAlign w:val="bottom"/>
          </w:tcPr>
          <w:p>
            <w:pPr>
              <w:spacing w:after="0"/>
              <w:rPr>
                <w:sz w:val="1"/>
                <w:szCs w:val="1"/>
                <w:color w:val="auto"/>
              </w:rPr>
            </w:pPr>
          </w:p>
        </w:tc>
      </w:tr>
      <w:tr>
        <w:trPr>
          <w:trHeight w:val="203"/>
        </w:trPr>
        <w:tc>
          <w:tcPr>
            <w:tcW w:w="1700" w:type="dxa"/>
            <w:vAlign w:val="bottom"/>
            <w:tcBorders>
              <w:bottom w:val="single" w:sz="8" w:color="325889"/>
            </w:tcBorders>
          </w:tcPr>
          <w:p>
            <w:pPr>
              <w:spacing w:after="0"/>
              <w:rPr>
                <w:sz w:val="17"/>
                <w:szCs w:val="17"/>
                <w:color w:val="auto"/>
              </w:rPr>
            </w:pPr>
          </w:p>
        </w:tc>
        <w:tc>
          <w:tcPr>
            <w:tcW w:w="140" w:type="dxa"/>
            <w:vAlign w:val="bottom"/>
            <w:tcBorders>
              <w:bottom w:val="single" w:sz="8" w:color="325889"/>
            </w:tcBorders>
          </w:tcPr>
          <w:p>
            <w:pPr>
              <w:spacing w:after="0"/>
              <w:rPr>
                <w:sz w:val="17"/>
                <w:szCs w:val="17"/>
                <w:color w:val="auto"/>
              </w:rPr>
            </w:pPr>
          </w:p>
        </w:tc>
        <w:tc>
          <w:tcPr>
            <w:tcW w:w="860" w:type="dxa"/>
            <w:vAlign w:val="bottom"/>
            <w:tcBorders>
              <w:bottom w:val="single" w:sz="8" w:color="325889"/>
            </w:tcBorders>
          </w:tcPr>
          <w:p>
            <w:pPr>
              <w:spacing w:after="0"/>
              <w:rPr>
                <w:sz w:val="17"/>
                <w:szCs w:val="17"/>
                <w:color w:val="auto"/>
              </w:rPr>
            </w:pPr>
          </w:p>
        </w:tc>
        <w:tc>
          <w:tcPr>
            <w:tcW w:w="140" w:type="dxa"/>
            <w:vAlign w:val="bottom"/>
            <w:tcBorders>
              <w:bottom w:val="single" w:sz="8" w:color="325889"/>
            </w:tcBorders>
          </w:tcPr>
          <w:p>
            <w:pPr>
              <w:spacing w:after="0"/>
              <w:rPr>
                <w:sz w:val="17"/>
                <w:szCs w:val="17"/>
                <w:color w:val="auto"/>
              </w:rPr>
            </w:pPr>
          </w:p>
        </w:tc>
        <w:tc>
          <w:tcPr>
            <w:tcW w:w="540" w:type="dxa"/>
            <w:vAlign w:val="bottom"/>
            <w:tcBorders>
              <w:bottom w:val="single" w:sz="8" w:color="325889"/>
            </w:tcBorders>
          </w:tcPr>
          <w:p>
            <w:pPr>
              <w:spacing w:after="0"/>
              <w:rPr>
                <w:sz w:val="17"/>
                <w:szCs w:val="17"/>
                <w:color w:val="auto"/>
              </w:rPr>
            </w:pPr>
          </w:p>
        </w:tc>
        <w:tc>
          <w:tcPr>
            <w:tcW w:w="140" w:type="dxa"/>
            <w:vAlign w:val="bottom"/>
            <w:tcBorders>
              <w:bottom w:val="single" w:sz="8" w:color="325889"/>
            </w:tcBorders>
          </w:tcPr>
          <w:p>
            <w:pPr>
              <w:spacing w:after="0"/>
              <w:rPr>
                <w:sz w:val="17"/>
                <w:szCs w:val="17"/>
                <w:color w:val="auto"/>
              </w:rPr>
            </w:pPr>
          </w:p>
        </w:tc>
        <w:tc>
          <w:tcPr>
            <w:tcW w:w="7020" w:type="dxa"/>
            <w:vAlign w:val="bottom"/>
            <w:tcBorders>
              <w:bottom w:val="single" w:sz="8" w:color="325889"/>
            </w:tcBorders>
          </w:tcPr>
          <w:p>
            <w:pPr>
              <w:spacing w:after="0"/>
              <w:rPr>
                <w:sz w:val="20"/>
                <w:szCs w:val="20"/>
                <w:color w:val="auto"/>
              </w:rPr>
            </w:pPr>
            <w:r>
              <w:rPr>
                <w:rFonts w:ascii="Arial" w:cs="Arial" w:eastAsia="Arial" w:hAnsi="Arial"/>
                <w:sz w:val="15"/>
                <w:szCs w:val="15"/>
                <w:color w:val="auto"/>
              </w:rPr>
              <w:t>a cumulative basis from 2015)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2017 Proxy Statement </w:t>
      </w:r>
      <w:r>
        <w:rPr>
          <w:rFonts w:ascii="Arial" w:cs="Arial" w:eastAsia="Arial" w:hAnsi="Arial"/>
          <w:sz w:val="15"/>
          <w:szCs w:val="15"/>
          <w:color w:val="325889"/>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83450" cy="203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0"/>
          </w:cols>
          <w:pgMar w:left="240" w:top="528" w:right="219" w:bottom="1440" w:gutter="0" w:footer="0" w:header="0"/>
          <w:type w:val="continuous"/>
        </w:sectPr>
      </w:pPr>
    </w:p>
    <w:bookmarkStart w:id="35" w:name="page36"/>
    <w:bookmarkEnd w:id="35"/>
    <w:p>
      <w:pPr>
        <w:ind w:left="5"/>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ind w:left="5"/>
        <w:spacing w:after="0"/>
        <w:rPr>
          <w:sz w:val="20"/>
          <w:szCs w:val="20"/>
          <w:color w:val="auto"/>
        </w:rPr>
      </w:pPr>
      <w:r>
        <w:rPr>
          <w:rFonts w:ascii="Arial" w:cs="Arial" w:eastAsia="Arial" w:hAnsi="Arial"/>
          <w:sz w:val="15"/>
          <w:szCs w:val="15"/>
          <w:u w:val="single" w:color="auto"/>
          <w:color w:val="325889"/>
        </w:rPr>
        <w:t>EXECUTIVE COMPENSATION</w:t>
      </w:r>
    </w:p>
    <w:p>
      <w:pPr>
        <w:spacing w:after="0" w:line="189" w:lineRule="exact"/>
        <w:rPr>
          <w:sz w:val="20"/>
          <w:szCs w:val="20"/>
          <w:color w:val="auto"/>
        </w:rPr>
      </w:pPr>
    </w:p>
    <w:p>
      <w:pPr>
        <w:ind w:left="905"/>
        <w:spacing w:after="0"/>
        <w:rPr>
          <w:sz w:val="20"/>
          <w:szCs w:val="20"/>
          <w:color w:val="auto"/>
        </w:rPr>
      </w:pPr>
      <w:r>
        <w:rPr>
          <w:rFonts w:ascii="Arial" w:cs="Arial" w:eastAsia="Arial" w:hAnsi="Arial"/>
          <w:sz w:val="15"/>
          <w:szCs w:val="15"/>
          <w:b w:val="1"/>
          <w:bCs w:val="1"/>
          <w:color w:val="325889"/>
        </w:rPr>
        <w:t>ANDREW S. LEVINE (JANUARY 1, 2016 – JANUARY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572770</wp:posOffset>
            </wp:positionH>
            <wp:positionV relativeFrom="paragraph">
              <wp:posOffset>27940</wp:posOffset>
            </wp:positionV>
            <wp:extent cx="6690360" cy="152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690360" cy="15240"/>
                    </a:xfrm>
                    <a:prstGeom prst="rect">
                      <a:avLst/>
                    </a:prstGeom>
                    <a:noFill/>
                  </pic:spPr>
                </pic:pic>
              </a:graphicData>
            </a:graphic>
          </wp:anchor>
        </w:drawing>
      </w:r>
    </w:p>
    <w:p>
      <w:pPr>
        <w:spacing w:after="0" w:line="50" w:lineRule="exact"/>
        <w:rPr>
          <w:sz w:val="20"/>
          <w:szCs w:val="20"/>
          <w:color w:val="auto"/>
        </w:rPr>
      </w:pPr>
    </w:p>
    <w:tbl>
      <w:tblPr>
        <w:tblLayout w:type="fixed"/>
        <w:tblInd w:w="905" w:type="dxa"/>
        <w:tblCellMar>
          <w:top w:w="0" w:type="dxa"/>
          <w:left w:w="0" w:type="dxa"/>
          <w:bottom w:w="0" w:type="dxa"/>
          <w:right w:w="0" w:type="dxa"/>
        </w:tblCellMar>
      </w:tblPr>
      <w:tr>
        <w:trPr>
          <w:trHeight w:val="138"/>
        </w:trPr>
        <w:tc>
          <w:tcPr>
            <w:tcW w:w="1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325889"/>
              </w:rPr>
              <w:t># of Shares/</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325889"/>
              </w:rPr>
              <w:t>Grant</w:t>
            </w:r>
          </w:p>
        </w:tc>
        <w:tc>
          <w:tcPr>
            <w:tcW w:w="100" w:type="dxa"/>
            <w:vAlign w:val="bottom"/>
            <w:vMerge w:val="restart"/>
          </w:tcPr>
          <w:p>
            <w:pPr>
              <w:spacing w:after="0"/>
              <w:rPr>
                <w:sz w:val="12"/>
                <w:szCs w:val="12"/>
                <w:color w:val="auto"/>
              </w:rPr>
            </w:pPr>
          </w:p>
        </w:tc>
        <w:tc>
          <w:tcPr>
            <w:tcW w:w="6880" w:type="dxa"/>
            <w:vAlign w:val="bottom"/>
            <w:vMerge w:val="restart"/>
          </w:tcPr>
          <w:p>
            <w:pPr>
              <w:spacing w:after="0"/>
              <w:rPr>
                <w:sz w:val="20"/>
                <w:szCs w:val="20"/>
                <w:color w:val="auto"/>
              </w:rPr>
            </w:pPr>
            <w:r>
              <w:rPr>
                <w:rFonts w:ascii="Arial" w:cs="Arial" w:eastAsia="Arial" w:hAnsi="Arial"/>
                <w:sz w:val="12"/>
                <w:szCs w:val="12"/>
                <w:b w:val="1"/>
                <w:bCs w:val="1"/>
                <w:color w:val="325889"/>
              </w:rPr>
              <w:t>Description</w:t>
            </w:r>
            <w:r>
              <w:rPr>
                <w:rFonts w:ascii="Arial" w:cs="Arial" w:eastAsia="Arial" w:hAnsi="Arial"/>
                <w:sz w:val="19"/>
                <w:szCs w:val="19"/>
                <w:color w:val="325889"/>
                <w:vertAlign w:val="superscript"/>
              </w:rPr>
              <w:t>(1)</w:t>
            </w:r>
          </w:p>
        </w:tc>
        <w:tc>
          <w:tcPr>
            <w:tcW w:w="0" w:type="dxa"/>
            <w:vAlign w:val="bottom"/>
          </w:tcPr>
          <w:p>
            <w:pPr>
              <w:spacing w:after="0"/>
              <w:rPr>
                <w:sz w:val="1"/>
                <w:szCs w:val="1"/>
                <w:color w:val="auto"/>
              </w:rPr>
            </w:pPr>
          </w:p>
        </w:tc>
      </w:tr>
      <w:tr>
        <w:trPr>
          <w:trHeight w:val="173"/>
        </w:trPr>
        <w:tc>
          <w:tcPr>
            <w:tcW w:w="1660" w:type="dxa"/>
            <w:vAlign w:val="bottom"/>
            <w:tcBorders>
              <w:bottom w:val="single" w:sz="8" w:color="325889"/>
            </w:tcBorders>
          </w:tcPr>
          <w:p>
            <w:pPr>
              <w:spacing w:after="0"/>
              <w:rPr>
                <w:sz w:val="20"/>
                <w:szCs w:val="20"/>
                <w:color w:val="auto"/>
              </w:rPr>
            </w:pPr>
            <w:r>
              <w:rPr>
                <w:rFonts w:ascii="Arial" w:cs="Arial" w:eastAsia="Arial" w:hAnsi="Arial"/>
                <w:sz w:val="12"/>
                <w:szCs w:val="12"/>
                <w:b w:val="1"/>
                <w:bCs w:val="1"/>
                <w:color w:val="auto"/>
              </w:rPr>
              <w:t>Equity Award</w:t>
            </w:r>
          </w:p>
        </w:tc>
        <w:tc>
          <w:tcPr>
            <w:tcW w:w="200" w:type="dxa"/>
            <w:vAlign w:val="bottom"/>
          </w:tcPr>
          <w:p>
            <w:pPr>
              <w:spacing w:after="0"/>
              <w:rPr>
                <w:sz w:val="15"/>
                <w:szCs w:val="15"/>
                <w:color w:val="auto"/>
              </w:rPr>
            </w:pPr>
          </w:p>
        </w:tc>
        <w:tc>
          <w:tcPr>
            <w:tcW w:w="880" w:type="dxa"/>
            <w:vAlign w:val="bottom"/>
            <w:tcBorders>
              <w:bottom w:val="single" w:sz="8" w:color="325889"/>
            </w:tcBorders>
          </w:tcPr>
          <w:p>
            <w:pPr>
              <w:jc w:val="right"/>
              <w:spacing w:after="0"/>
              <w:rPr>
                <w:sz w:val="20"/>
                <w:szCs w:val="20"/>
                <w:color w:val="auto"/>
              </w:rPr>
            </w:pPr>
            <w:r>
              <w:rPr>
                <w:rFonts w:ascii="Arial" w:cs="Arial" w:eastAsia="Arial" w:hAnsi="Arial"/>
                <w:sz w:val="12"/>
                <w:szCs w:val="12"/>
                <w:b w:val="1"/>
                <w:bCs w:val="1"/>
                <w:color w:val="325889"/>
              </w:rPr>
              <w:t>Units</w:t>
            </w:r>
          </w:p>
        </w:tc>
        <w:tc>
          <w:tcPr>
            <w:tcW w:w="180" w:type="dxa"/>
            <w:vAlign w:val="bottom"/>
          </w:tcPr>
          <w:p>
            <w:pPr>
              <w:spacing w:after="0"/>
              <w:rPr>
                <w:sz w:val="15"/>
                <w:szCs w:val="15"/>
                <w:color w:val="auto"/>
              </w:rPr>
            </w:pPr>
          </w:p>
        </w:tc>
        <w:tc>
          <w:tcPr>
            <w:tcW w:w="560" w:type="dxa"/>
            <w:vAlign w:val="bottom"/>
            <w:tcBorders>
              <w:bottom w:val="single" w:sz="8" w:color="325889"/>
            </w:tcBorders>
          </w:tcPr>
          <w:p>
            <w:pPr>
              <w:jc w:val="right"/>
              <w:spacing w:after="0"/>
              <w:rPr>
                <w:sz w:val="20"/>
                <w:szCs w:val="20"/>
                <w:color w:val="auto"/>
              </w:rPr>
            </w:pPr>
            <w:r>
              <w:rPr>
                <w:rFonts w:ascii="Arial" w:cs="Arial" w:eastAsia="Arial" w:hAnsi="Arial"/>
                <w:sz w:val="12"/>
                <w:szCs w:val="12"/>
                <w:b w:val="1"/>
                <w:bCs w:val="1"/>
                <w:color w:val="325889"/>
              </w:rPr>
              <w:t>Date</w:t>
            </w:r>
          </w:p>
        </w:tc>
        <w:tc>
          <w:tcPr>
            <w:tcW w:w="8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6880" w:type="dxa"/>
            <w:vAlign w:val="bottom"/>
            <w:tcBorders>
              <w:bottom w:val="single" w:sz="8" w:color="325889"/>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66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Time-based LTIP units</w:t>
            </w:r>
          </w:p>
        </w:tc>
        <w:tc>
          <w:tcPr>
            <w:tcW w:w="200" w:type="dxa"/>
            <w:vAlign w:val="bottom"/>
          </w:tcPr>
          <w:p>
            <w:pPr>
              <w:spacing w:after="0"/>
              <w:rPr>
                <w:sz w:val="15"/>
                <w:szCs w:val="15"/>
                <w:color w:val="auto"/>
              </w:rPr>
            </w:pPr>
          </w:p>
        </w:tc>
        <w:tc>
          <w:tcPr>
            <w:tcW w:w="88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18,000</w:t>
            </w:r>
          </w:p>
        </w:tc>
        <w:tc>
          <w:tcPr>
            <w:tcW w:w="180" w:type="dxa"/>
            <w:vAlign w:val="bottom"/>
          </w:tcPr>
          <w:p>
            <w:pPr>
              <w:spacing w:after="0"/>
              <w:rPr>
                <w:sz w:val="15"/>
                <w:szCs w:val="15"/>
                <w:color w:val="auto"/>
              </w:rPr>
            </w:pPr>
          </w:p>
        </w:tc>
        <w:tc>
          <w:tcPr>
            <w:tcW w:w="56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2016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8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One-third vesting on 1/1/17, 1/1/18 and 1/1/19</w:t>
            </w:r>
          </w:p>
        </w:tc>
        <w:tc>
          <w:tcPr>
            <w:tcW w:w="0" w:type="dxa"/>
            <w:vAlign w:val="bottom"/>
          </w:tcPr>
          <w:p>
            <w:pPr>
              <w:spacing w:after="0"/>
              <w:rPr>
                <w:sz w:val="1"/>
                <w:szCs w:val="1"/>
                <w:color w:val="auto"/>
              </w:rPr>
            </w:pPr>
          </w:p>
        </w:tc>
      </w:tr>
      <w:tr>
        <w:trPr>
          <w:trHeight w:val="173"/>
        </w:trPr>
        <w:tc>
          <w:tcPr>
            <w:tcW w:w="1660" w:type="dxa"/>
            <w:vAlign w:val="bottom"/>
          </w:tcPr>
          <w:p>
            <w:pPr>
              <w:spacing w:after="0"/>
              <w:rPr>
                <w:sz w:val="20"/>
                <w:szCs w:val="20"/>
                <w:color w:val="auto"/>
              </w:rPr>
            </w:pPr>
            <w:r>
              <w:rPr>
                <w:rFonts w:ascii="Arial" w:cs="Arial" w:eastAsia="Arial" w:hAnsi="Arial"/>
                <w:sz w:val="15"/>
                <w:szCs w:val="15"/>
                <w:color w:val="auto"/>
              </w:rPr>
              <w:t>Performance-based</w:t>
            </w:r>
          </w:p>
        </w:tc>
        <w:tc>
          <w:tcPr>
            <w:tcW w:w="1260" w:type="dxa"/>
            <w:vAlign w:val="bottom"/>
            <w:gridSpan w:val="3"/>
          </w:tcPr>
          <w:p>
            <w:pPr>
              <w:jc w:val="right"/>
              <w:ind w:right="180"/>
              <w:spacing w:after="0"/>
              <w:rPr>
                <w:sz w:val="20"/>
                <w:szCs w:val="20"/>
                <w:color w:val="auto"/>
              </w:rPr>
            </w:pPr>
            <w:r>
              <w:rPr>
                <w:rFonts w:ascii="Arial" w:cs="Arial" w:eastAsia="Arial" w:hAnsi="Arial"/>
                <w:sz w:val="15"/>
                <w:szCs w:val="15"/>
                <w:color w:val="auto"/>
              </w:rPr>
              <w:t>18,000</w:t>
            </w:r>
          </w:p>
        </w:tc>
        <w:tc>
          <w:tcPr>
            <w:tcW w:w="560" w:type="dxa"/>
            <w:vAlign w:val="bottom"/>
          </w:tcPr>
          <w:p>
            <w:pPr>
              <w:jc w:val="right"/>
              <w:spacing w:after="0"/>
              <w:rPr>
                <w:sz w:val="20"/>
                <w:szCs w:val="20"/>
                <w:color w:val="auto"/>
              </w:rPr>
            </w:pPr>
            <w:r>
              <w:rPr>
                <w:rFonts w:ascii="Arial" w:cs="Arial" w:eastAsia="Arial" w:hAnsi="Arial"/>
                <w:sz w:val="15"/>
                <w:szCs w:val="15"/>
                <w:color w:val="auto"/>
              </w:rPr>
              <w:t>2016</w:t>
            </w:r>
          </w:p>
        </w:tc>
        <w:tc>
          <w:tcPr>
            <w:tcW w:w="80" w:type="dxa"/>
            <w:vAlign w:val="bottom"/>
          </w:tcPr>
          <w:p>
            <w:pPr>
              <w:spacing w:after="0"/>
              <w:rPr>
                <w:sz w:val="15"/>
                <w:szCs w:val="15"/>
                <w:color w:val="auto"/>
              </w:rPr>
            </w:pPr>
          </w:p>
        </w:tc>
        <w:tc>
          <w:tcPr>
            <w:tcW w:w="6980" w:type="dxa"/>
            <w:vAlign w:val="bottom"/>
            <w:gridSpan w:val="2"/>
          </w:tcPr>
          <w:p>
            <w:pPr>
              <w:ind w:left="100"/>
              <w:spacing w:after="0"/>
              <w:rPr>
                <w:sz w:val="20"/>
                <w:szCs w:val="20"/>
                <w:color w:val="auto"/>
              </w:rPr>
            </w:pPr>
            <w:r>
              <w:rPr>
                <w:rFonts w:ascii="Arial" w:cs="Arial" w:eastAsia="Arial" w:hAnsi="Arial"/>
                <w:sz w:val="15"/>
                <w:szCs w:val="15"/>
                <w:color w:val="auto"/>
              </w:rPr>
              <w:t>One-third vesting on 1/1/17, 1/1/18 and 1/1/19 contingent on achievement of performance hurdle;</w:t>
            </w:r>
          </w:p>
        </w:tc>
        <w:tc>
          <w:tcPr>
            <w:tcW w:w="0" w:type="dxa"/>
            <w:vAlign w:val="bottom"/>
          </w:tcPr>
          <w:p>
            <w:pPr>
              <w:spacing w:after="0"/>
              <w:rPr>
                <w:sz w:val="1"/>
                <w:szCs w:val="1"/>
                <w:color w:val="auto"/>
              </w:rPr>
            </w:pPr>
          </w:p>
        </w:tc>
      </w:tr>
      <w:tr>
        <w:trPr>
          <w:trHeight w:val="178"/>
        </w:trPr>
        <w:tc>
          <w:tcPr>
            <w:tcW w:w="1660" w:type="dxa"/>
            <w:vAlign w:val="bottom"/>
          </w:tcPr>
          <w:p>
            <w:pPr>
              <w:spacing w:after="0"/>
              <w:rPr>
                <w:sz w:val="20"/>
                <w:szCs w:val="20"/>
                <w:color w:val="auto"/>
              </w:rPr>
            </w:pPr>
            <w:r>
              <w:rPr>
                <w:rFonts w:ascii="Arial" w:cs="Arial" w:eastAsia="Arial" w:hAnsi="Arial"/>
                <w:sz w:val="15"/>
                <w:szCs w:val="15"/>
                <w:color w:val="auto"/>
              </w:rPr>
              <w:t>LTIP units</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980" w:type="dxa"/>
            <w:vAlign w:val="bottom"/>
            <w:gridSpan w:val="2"/>
          </w:tcPr>
          <w:p>
            <w:pPr>
              <w:ind w:left="100"/>
              <w:spacing w:after="0"/>
              <w:rPr>
                <w:sz w:val="20"/>
                <w:szCs w:val="20"/>
                <w:color w:val="auto"/>
              </w:rPr>
            </w:pPr>
            <w:r>
              <w:rPr>
                <w:rFonts w:ascii="Arial" w:cs="Arial" w:eastAsia="Arial" w:hAnsi="Arial"/>
                <w:sz w:val="15"/>
                <w:szCs w:val="15"/>
                <w:color w:val="auto"/>
              </w:rPr>
              <w:t>from 50-100% vesting based on achievement of either annual FFO growth or TRS of 5-8% per year</w:t>
            </w:r>
          </w:p>
        </w:tc>
        <w:tc>
          <w:tcPr>
            <w:tcW w:w="0" w:type="dxa"/>
            <w:vAlign w:val="bottom"/>
          </w:tcPr>
          <w:p>
            <w:pPr>
              <w:spacing w:after="0"/>
              <w:rPr>
                <w:sz w:val="1"/>
                <w:szCs w:val="1"/>
                <w:color w:val="auto"/>
              </w:rPr>
            </w:pPr>
          </w:p>
        </w:tc>
      </w:tr>
      <w:tr>
        <w:trPr>
          <w:trHeight w:val="178"/>
        </w:trPr>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980" w:type="dxa"/>
            <w:vAlign w:val="bottom"/>
            <w:gridSpan w:val="2"/>
          </w:tcPr>
          <w:p>
            <w:pPr>
              <w:ind w:left="100"/>
              <w:spacing w:after="0"/>
              <w:rPr>
                <w:sz w:val="20"/>
                <w:szCs w:val="20"/>
                <w:color w:val="auto"/>
              </w:rPr>
            </w:pPr>
            <w:r>
              <w:rPr>
                <w:rFonts w:ascii="Arial" w:cs="Arial" w:eastAsia="Arial" w:hAnsi="Arial"/>
                <w:sz w:val="15"/>
                <w:szCs w:val="15"/>
                <w:color w:val="auto"/>
              </w:rPr>
              <w:t>or TRS in the top 35-50% of the MSCI US REIT Index, respectively, for the prior year (or on a</w:t>
            </w:r>
          </w:p>
        </w:tc>
        <w:tc>
          <w:tcPr>
            <w:tcW w:w="0" w:type="dxa"/>
            <w:vAlign w:val="bottom"/>
          </w:tcPr>
          <w:p>
            <w:pPr>
              <w:spacing w:after="0"/>
              <w:rPr>
                <w:sz w:val="1"/>
                <w:szCs w:val="1"/>
                <w:color w:val="auto"/>
              </w:rPr>
            </w:pPr>
          </w:p>
        </w:tc>
      </w:tr>
      <w:tr>
        <w:trPr>
          <w:trHeight w:val="178"/>
        </w:trPr>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980" w:type="dxa"/>
            <w:vAlign w:val="bottom"/>
            <w:gridSpan w:val="2"/>
          </w:tcPr>
          <w:p>
            <w:pPr>
              <w:ind w:left="100"/>
              <w:spacing w:after="0"/>
              <w:rPr>
                <w:sz w:val="20"/>
                <w:szCs w:val="20"/>
                <w:color w:val="auto"/>
              </w:rPr>
            </w:pPr>
            <w:r>
              <w:rPr>
                <w:rFonts w:ascii="Arial" w:cs="Arial" w:eastAsia="Arial" w:hAnsi="Arial"/>
                <w:sz w:val="15"/>
                <w:szCs w:val="15"/>
                <w:color w:val="auto"/>
              </w:rPr>
              <w:t>cumulative basis from 2016 through such year or a subsequent quarter during the term); no vesting</w:t>
            </w:r>
          </w:p>
        </w:tc>
        <w:tc>
          <w:tcPr>
            <w:tcW w:w="0" w:type="dxa"/>
            <w:vAlign w:val="bottom"/>
          </w:tcPr>
          <w:p>
            <w:pPr>
              <w:spacing w:after="0"/>
              <w:rPr>
                <w:sz w:val="1"/>
                <w:szCs w:val="1"/>
                <w:color w:val="auto"/>
              </w:rPr>
            </w:pPr>
          </w:p>
        </w:tc>
      </w:tr>
      <w:tr>
        <w:trPr>
          <w:trHeight w:val="179"/>
        </w:trPr>
        <w:tc>
          <w:tcPr>
            <w:tcW w:w="1660" w:type="dxa"/>
            <w:vAlign w:val="bottom"/>
            <w:tcBorders>
              <w:bottom w:val="single" w:sz="8" w:color="325889"/>
            </w:tcBorders>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Borders>
              <w:bottom w:val="single" w:sz="8" w:color="325889"/>
            </w:tcBorders>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Borders>
              <w:bottom w:val="single" w:sz="8" w:color="325889"/>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80" w:type="dxa"/>
            <w:vAlign w:val="bottom"/>
            <w:tcBorders>
              <w:bottom w:val="single" w:sz="8" w:color="325889"/>
            </w:tcBorders>
          </w:tcPr>
          <w:p>
            <w:pPr>
              <w:spacing w:after="0"/>
              <w:rPr>
                <w:sz w:val="20"/>
                <w:szCs w:val="20"/>
                <w:color w:val="auto"/>
              </w:rPr>
            </w:pPr>
            <w:r>
              <w:rPr>
                <w:rFonts w:ascii="Arial" w:cs="Arial" w:eastAsia="Arial" w:hAnsi="Arial"/>
                <w:sz w:val="15"/>
                <w:szCs w:val="15"/>
                <w:color w:val="auto"/>
              </w:rPr>
              <w:t>unless the 50% threshold performance criteria described above is met</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1205" w:right="20" w:hanging="303"/>
        <w:spacing w:after="0" w:line="275" w:lineRule="auto"/>
        <w:tabs>
          <w:tab w:leader="none" w:pos="1205" w:val="left"/>
        </w:tabs>
        <w:numPr>
          <w:ilvl w:val="0"/>
          <w:numId w:val="42"/>
        </w:numPr>
        <w:rPr>
          <w:rFonts w:ascii="Arial" w:cs="Arial" w:eastAsia="Arial" w:hAnsi="Arial"/>
          <w:sz w:val="11"/>
          <w:szCs w:val="11"/>
          <w:color w:val="auto"/>
        </w:rPr>
      </w:pPr>
      <w:r>
        <w:rPr>
          <w:rFonts w:ascii="Arial" w:cs="Arial" w:eastAsia="Arial" w:hAnsi="Arial"/>
          <w:sz w:val="11"/>
          <w:szCs w:val="11"/>
          <w:color w:val="auto"/>
        </w:rPr>
        <w:t>Performance-based LTIP units not earned in one year will vest on a subsequent vesting date occurring during the term of employment if the performance hurdle is met based on cumulative performance through a subsequent calendar quarter (for awards granted to Messrs. Holliday, Mathias and Levine) or year (for awards granted to Mr. DiLiberto) occurring prior to such vesting date.</w:t>
      </w:r>
    </w:p>
    <w:p>
      <w:pPr>
        <w:spacing w:after="0" w:line="42" w:lineRule="exact"/>
        <w:rPr>
          <w:rFonts w:ascii="Arial" w:cs="Arial" w:eastAsia="Arial" w:hAnsi="Arial"/>
          <w:sz w:val="11"/>
          <w:szCs w:val="11"/>
          <w:color w:val="auto"/>
        </w:rPr>
      </w:pPr>
    </w:p>
    <w:p>
      <w:pPr>
        <w:ind w:left="1205" w:hanging="303"/>
        <w:spacing w:after="0"/>
        <w:tabs>
          <w:tab w:leader="none" w:pos="1205" w:val="left"/>
        </w:tabs>
        <w:numPr>
          <w:ilvl w:val="0"/>
          <w:numId w:val="42"/>
        </w:numPr>
        <w:rPr>
          <w:rFonts w:ascii="Arial" w:cs="Arial" w:eastAsia="Arial" w:hAnsi="Arial"/>
          <w:sz w:val="12"/>
          <w:szCs w:val="12"/>
          <w:color w:val="auto"/>
        </w:rPr>
      </w:pPr>
      <w:r>
        <w:rPr>
          <w:rFonts w:ascii="Arial" w:cs="Arial" w:eastAsia="Arial" w:hAnsi="Arial"/>
          <w:sz w:val="12"/>
          <w:szCs w:val="12"/>
          <w:color w:val="auto"/>
        </w:rPr>
        <w:t>Excludes additional allocations of awards under our outperformance plans that were made to Mr. Mathias in connection with his employment agreement.</w:t>
      </w:r>
    </w:p>
    <w:p>
      <w:pPr>
        <w:spacing w:after="0" w:line="198" w:lineRule="exact"/>
        <w:rPr>
          <w:sz w:val="20"/>
          <w:szCs w:val="20"/>
          <w:color w:val="auto"/>
        </w:rPr>
      </w:pPr>
    </w:p>
    <w:p>
      <w:pPr>
        <w:ind w:left="5" w:right="120"/>
        <w:spacing w:after="0" w:line="250" w:lineRule="auto"/>
        <w:rPr>
          <w:sz w:val="20"/>
          <w:szCs w:val="20"/>
          <w:color w:val="auto"/>
        </w:rPr>
      </w:pPr>
      <w:r>
        <w:rPr>
          <w:rFonts w:ascii="Arial" w:cs="Arial" w:eastAsia="Arial" w:hAnsi="Arial"/>
          <w:sz w:val="15"/>
          <w:szCs w:val="15"/>
          <w:color w:val="auto"/>
        </w:rPr>
        <w:t>In 2016, we entered into a new employment agreement with Mr. Holliday following the expiration of his prior employment agreements. The structure of Mr. Holliday’s new employment agreement was similar to his prior employment agreement in that the long-term equity incentive awards to be made to Mr. Holliday were not granted at the time this agreement was entered into and, instead, these agreements provided that Mr. Holliday would be entitled to terminate his employment with us and receive severance payments and benefits if we did not make these grants on or before their scheduled vesting dates. However, unlike Mr. Holliday’s prior agreement, he is no longer entitled to receive ungranted performance-based LTIP units upon a termination for good reason or without cause, except where such termination also occurs in connection with a change in control. The table below indicates the terms of these employment agreements and summarizes the terms and grant dates of the long-term equity incentive awards made, or to be made, to Mr. Holliday pursuant to this employment agreement.</w:t>
      </w:r>
    </w:p>
    <w:p>
      <w:pPr>
        <w:spacing w:after="0" w:line="160" w:lineRule="exact"/>
        <w:rPr>
          <w:sz w:val="20"/>
          <w:szCs w:val="20"/>
          <w:color w:val="auto"/>
        </w:rPr>
      </w:pPr>
    </w:p>
    <w:p>
      <w:pPr>
        <w:ind w:left="5"/>
        <w:spacing w:after="0"/>
        <w:rPr>
          <w:sz w:val="20"/>
          <w:szCs w:val="20"/>
          <w:color w:val="auto"/>
        </w:rPr>
      </w:pPr>
      <w:r>
        <w:rPr>
          <w:rFonts w:ascii="Arial" w:cs="Arial" w:eastAsia="Arial" w:hAnsi="Arial"/>
          <w:sz w:val="15"/>
          <w:szCs w:val="15"/>
          <w:b w:val="1"/>
          <w:bCs w:val="1"/>
          <w:color w:val="325889"/>
        </w:rPr>
        <w:t>MARC HOLLIDAY (JANUARY 18, 2016 – JANUARY 17,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3130" cy="152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3130" cy="15240"/>
                    </a:xfrm>
                    <a:prstGeom prst="rect">
                      <a:avLst/>
                    </a:prstGeom>
                    <a:noFill/>
                  </pic:spPr>
                </pic:pic>
              </a:graphicData>
            </a:graphic>
          </wp:anchor>
        </w:drawing>
      </w:r>
    </w:p>
    <w:p>
      <w:pPr>
        <w:spacing w:after="0" w:line="55" w:lineRule="exact"/>
        <w:rPr>
          <w:sz w:val="20"/>
          <w:szCs w:val="20"/>
          <w:color w:val="auto"/>
        </w:rPr>
      </w:pPr>
    </w:p>
    <w:p>
      <w:pPr>
        <w:ind w:left="5"/>
        <w:spacing w:after="0"/>
        <w:tabs>
          <w:tab w:leader="none" w:pos="2265" w:val="left"/>
          <w:tab w:leader="none" w:pos="3425" w:val="left"/>
          <w:tab w:leader="none" w:pos="4225" w:val="left"/>
        </w:tabs>
        <w:rPr>
          <w:sz w:val="20"/>
          <w:szCs w:val="20"/>
          <w:color w:val="auto"/>
        </w:rPr>
      </w:pPr>
      <w:r>
        <w:rPr>
          <w:rFonts w:ascii="Arial" w:cs="Arial" w:eastAsia="Arial" w:hAnsi="Arial"/>
          <w:sz w:val="12"/>
          <w:szCs w:val="12"/>
          <w:b w:val="1"/>
          <w:bCs w:val="1"/>
          <w:color w:val="auto"/>
        </w:rPr>
        <w:t>Equity Award</w:t>
      </w:r>
      <w:r>
        <w:rPr>
          <w:sz w:val="20"/>
          <w:szCs w:val="20"/>
          <w:color w:val="auto"/>
        </w:rPr>
        <w:tab/>
      </w:r>
      <w:r>
        <w:rPr>
          <w:rFonts w:ascii="Arial" w:cs="Arial" w:eastAsia="Arial" w:hAnsi="Arial"/>
          <w:sz w:val="12"/>
          <w:szCs w:val="12"/>
          <w:b w:val="1"/>
          <w:bCs w:val="1"/>
          <w:color w:val="325889"/>
        </w:rPr>
        <w:t># of Shares/Units</w:t>
        <w:tab/>
        <w:t>Grant Date</w:t>
      </w:r>
      <w:r>
        <w:rPr>
          <w:sz w:val="20"/>
          <w:szCs w:val="20"/>
          <w:color w:val="auto"/>
        </w:rPr>
        <w:tab/>
      </w:r>
      <w:r>
        <w:rPr>
          <w:rFonts w:ascii="Arial" w:cs="Arial" w:eastAsia="Arial" w:hAnsi="Arial"/>
          <w:sz w:val="11"/>
          <w:szCs w:val="11"/>
          <w:b w:val="1"/>
          <w:bCs w:val="1"/>
          <w:color w:val="325889"/>
        </w:rPr>
        <w:t>Description</w:t>
      </w:r>
      <w:r>
        <w:rPr>
          <w:rFonts w:ascii="Arial" w:cs="Arial" w:eastAsia="Arial" w:hAnsi="Arial"/>
          <w:sz w:val="18"/>
          <w:szCs w:val="18"/>
          <w:b w:val="1"/>
          <w:bCs w:val="1"/>
          <w:color w:val="325889"/>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2697480</wp:posOffset>
            </wp:positionH>
            <wp:positionV relativeFrom="paragraph">
              <wp:posOffset>0</wp:posOffset>
            </wp:positionV>
            <wp:extent cx="4565650" cy="152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565650" cy="15240"/>
                    </a:xfrm>
                    <a:prstGeom prst="rect">
                      <a:avLst/>
                    </a:prstGeom>
                    <a:noFill/>
                  </pic:spPr>
                </pic:pic>
              </a:graphicData>
            </a:graphic>
          </wp:anchor>
        </w:drawing>
      </w:r>
    </w:p>
    <w:p>
      <w:pPr>
        <w:sectPr>
          <w:pgSz w:w="11900" w:h="16838" w:orient="portrait"/>
          <w:cols w:equalWidth="0" w:num="1">
            <w:col w:w="11445"/>
          </w:cols>
          <w:pgMar w:left="235" w:top="528" w:right="219" w:bottom="1440" w:gutter="0" w:footer="0" w:header="0"/>
        </w:sectPr>
      </w:pPr>
    </w:p>
    <w:tbl>
      <w:tblPr>
        <w:tblLayout w:type="fixed"/>
        <w:tblInd w:w="5" w:type="dxa"/>
        <w:tblCellMar>
          <w:top w:w="0" w:type="dxa"/>
          <w:left w:w="0" w:type="dxa"/>
          <w:bottom w:w="0" w:type="dxa"/>
          <w:right w:w="0" w:type="dxa"/>
        </w:tblCellMar>
      </w:tblPr>
      <w:tr>
        <w:trPr>
          <w:trHeight w:val="184"/>
        </w:trPr>
        <w:tc>
          <w:tcPr>
            <w:tcW w:w="2080" w:type="dxa"/>
            <w:vAlign w:val="bottom"/>
            <w:tcBorders>
              <w:top w:val="single" w:sz="8" w:color="325889"/>
            </w:tcBorders>
          </w:tcPr>
          <w:p>
            <w:pPr>
              <w:spacing w:after="0"/>
              <w:rPr>
                <w:sz w:val="20"/>
                <w:szCs w:val="20"/>
                <w:color w:val="auto"/>
              </w:rPr>
            </w:pPr>
            <w:r>
              <w:rPr>
                <w:rFonts w:ascii="Arial" w:cs="Arial" w:eastAsia="Arial" w:hAnsi="Arial"/>
                <w:sz w:val="15"/>
                <w:szCs w:val="15"/>
                <w:color w:val="auto"/>
              </w:rPr>
              <w:t>Stock options /</w:t>
            </w:r>
          </w:p>
        </w:tc>
        <w:tc>
          <w:tcPr>
            <w:tcW w:w="200" w:type="dxa"/>
            <w:vAlign w:val="bottom"/>
          </w:tcPr>
          <w:p>
            <w:pPr>
              <w:spacing w:after="0"/>
              <w:rPr>
                <w:sz w:val="16"/>
                <w:szCs w:val="16"/>
                <w:color w:val="auto"/>
              </w:rPr>
            </w:pPr>
          </w:p>
        </w:tc>
        <w:tc>
          <w:tcPr>
            <w:tcW w:w="960" w:type="dxa"/>
            <w:vAlign w:val="bottom"/>
            <w:tcBorders>
              <w:top w:val="single" w:sz="8" w:color="325889"/>
            </w:tcBorders>
          </w:tcPr>
          <w:p>
            <w:pPr>
              <w:jc w:val="right"/>
              <w:spacing w:after="0"/>
              <w:rPr>
                <w:sz w:val="20"/>
                <w:szCs w:val="20"/>
                <w:color w:val="auto"/>
              </w:rPr>
            </w:pPr>
            <w:r>
              <w:rPr>
                <w:rFonts w:ascii="Arial" w:cs="Arial" w:eastAsia="Arial" w:hAnsi="Arial"/>
                <w:sz w:val="15"/>
                <w:szCs w:val="15"/>
                <w:color w:val="auto"/>
              </w:rPr>
              <w:t>105,000</w:t>
            </w:r>
          </w:p>
        </w:tc>
        <w:tc>
          <w:tcPr>
            <w:tcW w:w="200" w:type="dxa"/>
            <w:vAlign w:val="bottom"/>
          </w:tcPr>
          <w:p>
            <w:pPr>
              <w:spacing w:after="0"/>
              <w:rPr>
                <w:sz w:val="16"/>
                <w:szCs w:val="16"/>
                <w:color w:val="auto"/>
              </w:rPr>
            </w:pPr>
          </w:p>
        </w:tc>
        <w:tc>
          <w:tcPr>
            <w:tcW w:w="620" w:type="dxa"/>
            <w:vAlign w:val="bottom"/>
            <w:tcBorders>
              <w:top w:val="single" w:sz="8" w:color="325889"/>
            </w:tcBorders>
          </w:tcPr>
          <w:p>
            <w:pPr>
              <w:jc w:val="right"/>
              <w:spacing w:after="0"/>
              <w:rPr>
                <w:sz w:val="20"/>
                <w:szCs w:val="20"/>
                <w:color w:val="auto"/>
              </w:rPr>
            </w:pPr>
            <w:r>
              <w:rPr>
                <w:rFonts w:ascii="Arial" w:cs="Arial" w:eastAsia="Arial" w:hAnsi="Arial"/>
                <w:sz w:val="15"/>
                <w:szCs w:val="15"/>
                <w:color w:val="auto"/>
              </w:rPr>
              <w:t>2016</w:t>
            </w:r>
          </w:p>
        </w:tc>
      </w:tr>
      <w:tr>
        <w:trPr>
          <w:trHeight w:val="175"/>
        </w:trPr>
        <w:tc>
          <w:tcPr>
            <w:tcW w:w="208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Class O LTIP units</w:t>
            </w:r>
          </w:p>
        </w:tc>
        <w:tc>
          <w:tcPr>
            <w:tcW w:w="200" w:type="dxa"/>
            <w:vAlign w:val="bottom"/>
          </w:tcPr>
          <w:p>
            <w:pPr>
              <w:spacing w:after="0"/>
              <w:rPr>
                <w:sz w:val="15"/>
                <w:szCs w:val="15"/>
                <w:color w:val="auto"/>
              </w:rPr>
            </w:pPr>
          </w:p>
        </w:tc>
        <w:tc>
          <w:tcPr>
            <w:tcW w:w="960" w:type="dxa"/>
            <w:vAlign w:val="bottom"/>
            <w:tcBorders>
              <w:bottom w:val="single" w:sz="8" w:color="98A3B8"/>
            </w:tcBorders>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Borders>
              <w:bottom w:val="single" w:sz="8" w:color="98A3B8"/>
            </w:tcBorders>
          </w:tcPr>
          <w:p>
            <w:pPr>
              <w:spacing w:after="0"/>
              <w:rPr>
                <w:sz w:val="15"/>
                <w:szCs w:val="15"/>
                <w:color w:val="auto"/>
              </w:rPr>
            </w:pPr>
          </w:p>
        </w:tc>
      </w:tr>
      <w:tr>
        <w:trPr>
          <w:trHeight w:val="173"/>
        </w:trPr>
        <w:tc>
          <w:tcPr>
            <w:tcW w:w="2280" w:type="dxa"/>
            <w:vAlign w:val="bottom"/>
            <w:gridSpan w:val="2"/>
          </w:tcPr>
          <w:p>
            <w:pPr>
              <w:spacing w:after="0"/>
              <w:rPr>
                <w:sz w:val="20"/>
                <w:szCs w:val="20"/>
                <w:color w:val="auto"/>
              </w:rPr>
            </w:pPr>
            <w:r>
              <w:rPr>
                <w:rFonts w:ascii="Arial" w:cs="Arial" w:eastAsia="Arial" w:hAnsi="Arial"/>
                <w:sz w:val="15"/>
                <w:szCs w:val="15"/>
                <w:color w:val="auto"/>
              </w:rPr>
              <w:t>Stock options /</w:t>
            </w:r>
          </w:p>
        </w:tc>
        <w:tc>
          <w:tcPr>
            <w:tcW w:w="960" w:type="dxa"/>
            <w:vAlign w:val="bottom"/>
          </w:tcPr>
          <w:p>
            <w:pPr>
              <w:jc w:val="right"/>
              <w:spacing w:after="0"/>
              <w:rPr>
                <w:sz w:val="20"/>
                <w:szCs w:val="20"/>
                <w:color w:val="auto"/>
              </w:rPr>
            </w:pPr>
            <w:r>
              <w:rPr>
                <w:rFonts w:ascii="Arial" w:cs="Arial" w:eastAsia="Arial" w:hAnsi="Arial"/>
                <w:sz w:val="15"/>
                <w:szCs w:val="15"/>
                <w:color w:val="auto"/>
              </w:rPr>
              <w:t>105,000</w:t>
            </w: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2017</w:t>
            </w:r>
          </w:p>
        </w:tc>
      </w:tr>
      <w:tr>
        <w:trPr>
          <w:trHeight w:val="175"/>
        </w:trPr>
        <w:tc>
          <w:tcPr>
            <w:tcW w:w="208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Class O LTIP units</w:t>
            </w:r>
          </w:p>
        </w:tc>
        <w:tc>
          <w:tcPr>
            <w:tcW w:w="200" w:type="dxa"/>
            <w:vAlign w:val="bottom"/>
          </w:tcPr>
          <w:p>
            <w:pPr>
              <w:spacing w:after="0"/>
              <w:rPr>
                <w:sz w:val="15"/>
                <w:szCs w:val="15"/>
                <w:color w:val="auto"/>
              </w:rPr>
            </w:pPr>
          </w:p>
        </w:tc>
        <w:tc>
          <w:tcPr>
            <w:tcW w:w="960" w:type="dxa"/>
            <w:vAlign w:val="bottom"/>
            <w:tcBorders>
              <w:bottom w:val="single" w:sz="8" w:color="98A3B8"/>
            </w:tcBorders>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Borders>
              <w:bottom w:val="single" w:sz="8" w:color="98A3B8"/>
            </w:tcBorders>
          </w:tcPr>
          <w:p>
            <w:pPr>
              <w:spacing w:after="0"/>
              <w:rPr>
                <w:sz w:val="15"/>
                <w:szCs w:val="15"/>
                <w:color w:val="auto"/>
              </w:rPr>
            </w:pPr>
          </w:p>
        </w:tc>
      </w:tr>
      <w:tr>
        <w:trPr>
          <w:trHeight w:val="180"/>
        </w:trPr>
        <w:tc>
          <w:tcPr>
            <w:tcW w:w="2280" w:type="dxa"/>
            <w:vAlign w:val="bottom"/>
            <w:gridSpan w:val="2"/>
          </w:tcPr>
          <w:p>
            <w:pPr>
              <w:spacing w:after="0"/>
              <w:rPr>
                <w:sz w:val="20"/>
                <w:szCs w:val="20"/>
                <w:color w:val="auto"/>
              </w:rPr>
            </w:pPr>
            <w:r>
              <w:rPr>
                <w:rFonts w:ascii="Arial" w:cs="Arial" w:eastAsia="Arial" w:hAnsi="Arial"/>
                <w:sz w:val="15"/>
                <w:szCs w:val="15"/>
                <w:color w:val="auto"/>
              </w:rPr>
              <w:t>Performance-based LTIP units</w:t>
            </w:r>
          </w:p>
        </w:tc>
        <w:tc>
          <w:tcPr>
            <w:tcW w:w="960" w:type="dxa"/>
            <w:vAlign w:val="bottom"/>
          </w:tcPr>
          <w:p>
            <w:pPr>
              <w:jc w:val="right"/>
              <w:spacing w:after="0"/>
              <w:rPr>
                <w:sz w:val="20"/>
                <w:szCs w:val="20"/>
                <w:color w:val="auto"/>
              </w:rPr>
            </w:pPr>
            <w:r>
              <w:rPr>
                <w:rFonts w:ascii="Arial" w:cs="Arial" w:eastAsia="Arial" w:hAnsi="Arial"/>
                <w:sz w:val="15"/>
                <w:szCs w:val="15"/>
                <w:color w:val="auto"/>
              </w:rPr>
              <w:t>76,980</w:t>
            </w: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2017</w:t>
            </w:r>
          </w:p>
        </w:tc>
      </w:tr>
      <w:tr>
        <w:trPr>
          <w:trHeight w:val="96"/>
        </w:trPr>
        <w:tc>
          <w:tcPr>
            <w:tcW w:w="2080" w:type="dxa"/>
            <w:vAlign w:val="bottom"/>
            <w:tcBorders>
              <w:bottom w:val="single" w:sz="8" w:color="98A3B8"/>
            </w:tcBorders>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Borders>
              <w:bottom w:val="single" w:sz="8" w:color="98A3B8"/>
            </w:tcBorders>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Borders>
              <w:bottom w:val="single" w:sz="8" w:color="98A3B8"/>
            </w:tcBorders>
          </w:tcPr>
          <w:p>
            <w:pPr>
              <w:spacing w:after="0"/>
              <w:rPr>
                <w:sz w:val="8"/>
                <w:szCs w:val="8"/>
                <w:color w:val="auto"/>
              </w:rPr>
            </w:pPr>
          </w:p>
        </w:tc>
      </w:tr>
      <w:tr>
        <w:trPr>
          <w:trHeight w:val="180"/>
        </w:trPr>
        <w:tc>
          <w:tcPr>
            <w:tcW w:w="2280" w:type="dxa"/>
            <w:vAlign w:val="bottom"/>
            <w:gridSpan w:val="2"/>
          </w:tcPr>
          <w:p>
            <w:pPr>
              <w:spacing w:after="0"/>
              <w:rPr>
                <w:sz w:val="20"/>
                <w:szCs w:val="20"/>
                <w:color w:val="auto"/>
              </w:rPr>
            </w:pPr>
            <w:r>
              <w:rPr>
                <w:rFonts w:ascii="Arial" w:cs="Arial" w:eastAsia="Arial" w:hAnsi="Arial"/>
                <w:sz w:val="15"/>
                <w:szCs w:val="15"/>
                <w:color w:val="auto"/>
              </w:rPr>
              <w:t>Performance-based LTIP units</w:t>
            </w:r>
          </w:p>
        </w:tc>
        <w:tc>
          <w:tcPr>
            <w:tcW w:w="960" w:type="dxa"/>
            <w:vAlign w:val="bottom"/>
          </w:tcPr>
          <w:p>
            <w:pPr>
              <w:jc w:val="right"/>
              <w:spacing w:after="0"/>
              <w:rPr>
                <w:sz w:val="20"/>
                <w:szCs w:val="20"/>
                <w:color w:val="auto"/>
              </w:rPr>
            </w:pPr>
            <w:r>
              <w:rPr>
                <w:rFonts w:ascii="Arial" w:cs="Arial" w:eastAsia="Arial" w:hAnsi="Arial"/>
                <w:sz w:val="15"/>
                <w:szCs w:val="15"/>
                <w:color w:val="auto"/>
              </w:rPr>
              <w:t>61,584</w:t>
            </w: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2018</w:t>
            </w:r>
          </w:p>
        </w:tc>
      </w:tr>
      <w:tr>
        <w:trPr>
          <w:trHeight w:val="96"/>
        </w:trPr>
        <w:tc>
          <w:tcPr>
            <w:tcW w:w="2080" w:type="dxa"/>
            <w:vAlign w:val="bottom"/>
            <w:tcBorders>
              <w:bottom w:val="single" w:sz="8" w:color="98A3B8"/>
            </w:tcBorders>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Borders>
              <w:bottom w:val="single" w:sz="8" w:color="98A3B8"/>
            </w:tcBorders>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Borders>
              <w:bottom w:val="single" w:sz="8" w:color="98A3B8"/>
            </w:tcBorders>
          </w:tcPr>
          <w:p>
            <w:pPr>
              <w:spacing w:after="0"/>
              <w:rPr>
                <w:sz w:val="8"/>
                <w:szCs w:val="8"/>
                <w:color w:val="auto"/>
              </w:rPr>
            </w:pPr>
          </w:p>
        </w:tc>
      </w:tr>
      <w:tr>
        <w:trPr>
          <w:trHeight w:val="180"/>
        </w:trPr>
        <w:tc>
          <w:tcPr>
            <w:tcW w:w="2280" w:type="dxa"/>
            <w:vAlign w:val="bottom"/>
            <w:gridSpan w:val="2"/>
          </w:tcPr>
          <w:p>
            <w:pPr>
              <w:spacing w:after="0"/>
              <w:rPr>
                <w:sz w:val="20"/>
                <w:szCs w:val="20"/>
                <w:color w:val="auto"/>
              </w:rPr>
            </w:pPr>
            <w:r>
              <w:rPr>
                <w:rFonts w:ascii="Arial" w:cs="Arial" w:eastAsia="Arial" w:hAnsi="Arial"/>
                <w:sz w:val="15"/>
                <w:szCs w:val="15"/>
                <w:color w:val="auto"/>
              </w:rPr>
              <w:t>Performance-based LTIP units</w:t>
            </w:r>
          </w:p>
        </w:tc>
        <w:tc>
          <w:tcPr>
            <w:tcW w:w="960" w:type="dxa"/>
            <w:vAlign w:val="bottom"/>
          </w:tcPr>
          <w:p>
            <w:pPr>
              <w:jc w:val="right"/>
              <w:spacing w:after="0"/>
              <w:rPr>
                <w:sz w:val="20"/>
                <w:szCs w:val="20"/>
                <w:color w:val="auto"/>
              </w:rPr>
            </w:pPr>
            <w:r>
              <w:rPr>
                <w:rFonts w:ascii="Arial" w:cs="Arial" w:eastAsia="Arial" w:hAnsi="Arial"/>
                <w:sz w:val="15"/>
                <w:szCs w:val="15"/>
                <w:color w:val="auto"/>
              </w:rPr>
              <w:t>61,584</w:t>
            </w: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2576830" cy="152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576830"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140"/>
        <w:spacing w:after="0" w:line="255" w:lineRule="auto"/>
        <w:rPr>
          <w:sz w:val="20"/>
          <w:szCs w:val="20"/>
          <w:color w:val="auto"/>
        </w:rPr>
      </w:pPr>
      <w:r>
        <w:rPr>
          <w:rFonts w:ascii="Arial" w:cs="Arial" w:eastAsia="Arial" w:hAnsi="Arial"/>
          <w:sz w:val="15"/>
          <w:szCs w:val="15"/>
          <w:color w:val="auto"/>
        </w:rPr>
        <w:t>Vesting one-year after grant date, which grant is to occur on or before 7/1/16; 50% expires 5 years after grant; 50% expires 10 years after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456565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565650" cy="7620"/>
                    </a:xfrm>
                    <a:prstGeom prst="rect">
                      <a:avLst/>
                    </a:prstGeom>
                    <a:noFill/>
                  </pic:spPr>
                </pic:pic>
              </a:graphicData>
            </a:graphic>
          </wp:anchor>
        </w:drawing>
      </w:r>
    </w:p>
    <w:p>
      <w:pPr>
        <w:ind w:right="240"/>
        <w:spacing w:after="0" w:line="255" w:lineRule="auto"/>
        <w:rPr>
          <w:sz w:val="20"/>
          <w:szCs w:val="20"/>
          <w:color w:val="auto"/>
        </w:rPr>
      </w:pPr>
      <w:r>
        <w:rPr>
          <w:rFonts w:ascii="Arial" w:cs="Arial" w:eastAsia="Arial" w:hAnsi="Arial"/>
          <w:sz w:val="15"/>
          <w:szCs w:val="15"/>
          <w:color w:val="auto"/>
        </w:rPr>
        <w:t>Vesting one-year after grant date, which grant is to occur one year after the 2016 grant; 50% expires 5 years after grant; 50% expires 10 years after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456565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565650" cy="7620"/>
                    </a:xfrm>
                    <a:prstGeom prst="rect">
                      <a:avLst/>
                    </a:prstGeom>
                    <a:noFill/>
                  </pic:spPr>
                </pic:pic>
              </a:graphicData>
            </a:graphic>
          </wp:anchor>
        </w:drawing>
      </w:r>
    </w:p>
    <w:p>
      <w:pPr>
        <w:ind w:right="120"/>
        <w:spacing w:after="0" w:line="252" w:lineRule="auto"/>
        <w:rPr>
          <w:sz w:val="20"/>
          <w:szCs w:val="20"/>
          <w:color w:val="auto"/>
        </w:rPr>
      </w:pPr>
      <w:r>
        <w:rPr>
          <w:rFonts w:ascii="Arial" w:cs="Arial" w:eastAsia="Arial" w:hAnsi="Arial"/>
          <w:sz w:val="15"/>
          <w:szCs w:val="15"/>
          <w:color w:val="auto"/>
        </w:rPr>
        <w:t>Vesting 1/17/17, 1/17/18 and 1/17/19, respectively, contingent on achievement of performance hurdle; from 50-100% vesting based on achievement of either annual FFO growth or TRS of 5-8% per year or TRS in the top 35-50% of the MSCI US REIT Index, respectively, for the prior year (or on a cumulative basis from 2016 through such year or a subsequent quarter during the term); no vesting unless the 50% threshold performance criteria described above is met; two-year post-vesting no-sale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4565650" cy="152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565650" cy="15240"/>
                    </a:xfrm>
                    <a:prstGeom prst="rect">
                      <a:avLst/>
                    </a:prstGeom>
                    <a:noFill/>
                  </pic:spPr>
                </pic:pic>
              </a:graphicData>
            </a:graphic>
          </wp:anchor>
        </w:drawing>
      </w:r>
    </w:p>
    <w:p>
      <w:pPr>
        <w:spacing w:after="0" w:line="64" w:lineRule="exact"/>
        <w:rPr>
          <w:sz w:val="20"/>
          <w:szCs w:val="20"/>
          <w:color w:val="auto"/>
        </w:rPr>
      </w:pPr>
    </w:p>
    <w:p>
      <w:pPr>
        <w:sectPr>
          <w:pgSz w:w="11900" w:h="16838" w:orient="portrait"/>
          <w:cols w:equalWidth="0" w:num="2">
            <w:col w:w="4065" w:space="180"/>
            <w:col w:w="7200"/>
          </w:cols>
          <w:pgMar w:left="235" w:top="528" w:right="219" w:bottom="1440" w:gutter="0" w:footer="0" w:header="0"/>
          <w:type w:val="continuous"/>
        </w:sectPr>
      </w:pPr>
    </w:p>
    <w:p>
      <w:pPr>
        <w:ind w:left="305" w:right="60" w:hanging="305"/>
        <w:spacing w:after="0" w:line="236" w:lineRule="auto"/>
        <w:tabs>
          <w:tab w:leader="none" w:pos="305" w:val="left"/>
        </w:tabs>
        <w:numPr>
          <w:ilvl w:val="0"/>
          <w:numId w:val="43"/>
        </w:numPr>
        <w:rPr>
          <w:rFonts w:ascii="Arial" w:cs="Arial" w:eastAsia="Arial" w:hAnsi="Arial"/>
          <w:sz w:val="12"/>
          <w:szCs w:val="12"/>
          <w:color w:val="auto"/>
        </w:rPr>
      </w:pPr>
      <w:r>
        <w:rPr>
          <w:rFonts w:ascii="Arial" w:cs="Arial" w:eastAsia="Arial" w:hAnsi="Arial"/>
          <w:sz w:val="12"/>
          <w:szCs w:val="12"/>
          <w:color w:val="auto"/>
        </w:rPr>
        <w:t>Performance-based LTIP units not earned in one year will vest on a subsequent vesting date occurring during the term of employment if the performance hurdle is met based on cumulative performance through a subsequent calendar quarter occurring prior to such vesting date.</w:t>
      </w:r>
    </w:p>
    <w:p>
      <w:pPr>
        <w:spacing w:after="0" w:line="183" w:lineRule="exact"/>
        <w:rPr>
          <w:sz w:val="20"/>
          <w:szCs w:val="20"/>
          <w:color w:val="auto"/>
        </w:rPr>
      </w:pPr>
    </w:p>
    <w:p>
      <w:pPr>
        <w:ind w:left="5" w:right="60"/>
        <w:spacing w:after="0" w:line="251" w:lineRule="auto"/>
        <w:rPr>
          <w:sz w:val="20"/>
          <w:szCs w:val="20"/>
          <w:color w:val="auto"/>
        </w:rPr>
      </w:pPr>
      <w:r>
        <w:rPr>
          <w:rFonts w:ascii="Arial" w:cs="Arial" w:eastAsia="Arial" w:hAnsi="Arial"/>
          <w:sz w:val="15"/>
          <w:szCs w:val="15"/>
          <w:color w:val="auto"/>
        </w:rPr>
        <w:t>Also in 2016, we entered into an amendment to our employment agreement with Mr. Mathias in connection with the one-year renewal of his employment agreement pursuant to its terms. In satisfaction of our obligations under the employment agreement amendment, we granted 54,545 LTIP units to Mr. Mathias on January 10, 2017, which LTIP units are scheduled to vest on December 31, 2017, subject to continued employment through such date. Once vested, the LTIP units will be subject to a two-year post-vesting no-sale restriction. Had we not made such grant to Mr. Mathias on or before January 31, 2017, and had Mr. Mathias subsequently opted to terminate his employment on or before February 28, 2017, then certain non-competition provisions of the employment agreement would have ceased to apply as of the effective date of termination.</w:t>
      </w:r>
    </w:p>
    <w:p>
      <w:pPr>
        <w:spacing w:after="0" w:line="175" w:lineRule="exact"/>
        <w:rPr>
          <w:sz w:val="20"/>
          <w:szCs w:val="20"/>
          <w:color w:val="auto"/>
        </w:rPr>
      </w:pPr>
    </w:p>
    <w:p>
      <w:pPr>
        <w:ind w:left="5"/>
        <w:spacing w:after="0"/>
        <w:rPr>
          <w:sz w:val="20"/>
          <w:szCs w:val="20"/>
          <w:color w:val="auto"/>
        </w:rPr>
      </w:pPr>
      <w:r>
        <w:rPr>
          <w:rFonts w:ascii="Arial" w:cs="Arial" w:eastAsia="Arial" w:hAnsi="Arial"/>
          <w:sz w:val="15"/>
          <w:szCs w:val="15"/>
          <w:color w:val="auto"/>
        </w:rPr>
        <w:t>We also entered into a new employment agreement with Mr. Levine, effective January 1, 2016, which is summarized above.</w:t>
      </w:r>
    </w:p>
    <w:p>
      <w:pPr>
        <w:spacing w:after="0" w:line="195" w:lineRule="exact"/>
        <w:rPr>
          <w:sz w:val="20"/>
          <w:szCs w:val="20"/>
          <w:color w:val="auto"/>
        </w:rPr>
      </w:pPr>
    </w:p>
    <w:p>
      <w:pPr>
        <w:ind w:left="265" w:hanging="265"/>
        <w:spacing w:after="0"/>
        <w:tabs>
          <w:tab w:leader="none" w:pos="265" w:val="left"/>
        </w:tabs>
        <w:numPr>
          <w:ilvl w:val="0"/>
          <w:numId w:val="44"/>
        </w:numPr>
        <w:rPr>
          <w:rFonts w:ascii="Arial" w:cs="Arial" w:eastAsia="Arial" w:hAnsi="Arial"/>
          <w:sz w:val="15"/>
          <w:szCs w:val="15"/>
          <w:color w:val="325889"/>
        </w:rPr>
      </w:pPr>
      <w:r>
        <w:rPr>
          <w:rFonts w:ascii="Arial" w:cs="Arial" w:eastAsia="Arial" w:hAnsi="Arial"/>
          <w:sz w:val="15"/>
          <w:szCs w:val="15"/>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83450" cy="203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5"/>
          </w:cols>
          <w:pgMar w:left="235" w:top="528" w:right="219" w:bottom="1440" w:gutter="0" w:footer="0" w:header="0"/>
          <w:type w:val="continuous"/>
        </w:sectPr>
      </w:pPr>
    </w:p>
    <w:bookmarkStart w:id="36" w:name="page37"/>
    <w:bookmarkEnd w:id="36"/>
    <w:p>
      <w:pPr>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325889"/>
        </w:rPr>
        <w:t>EXECUTIVE COMPENSATION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325889"/>
        </w:rPr>
        <w:t>Other Compensation Policies and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b w:val="1"/>
          <w:bCs w:val="1"/>
          <w:color w:val="325889"/>
        </w:rPr>
        <w:t>How We Determine Executive Compensation</w:t>
      </w:r>
    </w:p>
    <w:p>
      <w:pPr>
        <w:spacing w:after="0" w:line="200" w:lineRule="exact"/>
        <w:rPr>
          <w:sz w:val="20"/>
          <w:szCs w:val="20"/>
          <w:color w:val="auto"/>
        </w:rPr>
      </w:pPr>
    </w:p>
    <w:p>
      <w:pPr>
        <w:ind w:right="460"/>
        <w:spacing w:after="0" w:line="265" w:lineRule="auto"/>
        <w:rPr>
          <w:sz w:val="20"/>
          <w:szCs w:val="20"/>
          <w:color w:val="auto"/>
        </w:rPr>
      </w:pPr>
      <w:r>
        <w:rPr>
          <w:rFonts w:ascii="Arial" w:cs="Arial" w:eastAsia="Arial" w:hAnsi="Arial"/>
          <w:sz w:val="15"/>
          <w:szCs w:val="15"/>
          <w:color w:val="auto"/>
        </w:rPr>
        <w:t>The Committee determines compensation for our named executive officers and is comprised of three of our independent directors, John H. Alschuler (Chairman), Edwin Thomas Burton, III and John S. Levy.</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325889"/>
        </w:rPr>
        <w:t>Independent Compensation Consultant/Compensation Process</w:t>
      </w:r>
    </w:p>
    <w:p>
      <w:pPr>
        <w:spacing w:after="0" w:line="200" w:lineRule="exact"/>
        <w:rPr>
          <w:sz w:val="20"/>
          <w:szCs w:val="20"/>
          <w:color w:val="auto"/>
        </w:rPr>
      </w:pPr>
    </w:p>
    <w:p>
      <w:pPr>
        <w:ind w:right="20"/>
        <w:spacing w:after="0" w:line="251" w:lineRule="auto"/>
        <w:rPr>
          <w:sz w:val="20"/>
          <w:szCs w:val="20"/>
          <w:color w:val="auto"/>
        </w:rPr>
      </w:pPr>
      <w:r>
        <w:rPr>
          <w:rFonts w:ascii="Arial" w:cs="Arial" w:eastAsia="Arial" w:hAnsi="Arial"/>
          <w:sz w:val="15"/>
          <w:szCs w:val="15"/>
          <w:color w:val="auto"/>
        </w:rPr>
        <w:t>The Committee retained Gressle &amp; McGinley LLC as its independent outside compensation consulting firm and engaged Gressle &amp; McGinley LLC to provide the Committee with relevant data concerning the marketplace, our peer group and its own independent analysis and recommendations concerning executive compensation. Gressle &amp; McGinley LLC regularly participates in Compensation Committee meetings. Gressle &amp; McGinley LLC does not provide any additional services to the Committee and does not provide any services to the Company other than to the Committee. Its sole role is as an independent consulting firm to advise the Committee with respect to the compensation of our named executive officers. The ultimate determination of total compensation and the elements that comprise that total compensation is made solely by the Committee.</w:t>
      </w:r>
    </w:p>
    <w:p>
      <w:pPr>
        <w:spacing w:after="0" w:line="175" w:lineRule="exact"/>
        <w:rPr>
          <w:sz w:val="20"/>
          <w:szCs w:val="20"/>
          <w:color w:val="auto"/>
        </w:rPr>
      </w:pPr>
    </w:p>
    <w:p>
      <w:pPr>
        <w:ind w:right="40"/>
        <w:spacing w:after="0" w:line="249" w:lineRule="auto"/>
        <w:rPr>
          <w:sz w:val="20"/>
          <w:szCs w:val="20"/>
          <w:color w:val="auto"/>
        </w:rPr>
      </w:pPr>
      <w:r>
        <w:rPr>
          <w:rFonts w:ascii="Arial" w:cs="Arial" w:eastAsia="Arial" w:hAnsi="Arial"/>
          <w:sz w:val="15"/>
          <w:szCs w:val="15"/>
          <w:color w:val="auto"/>
        </w:rPr>
        <w:t>With respect to our named executive officers, the Committee solicits recommendations from our Chief Executive Officer regarding total compensation, the allocation of this compensation among base salary, annual bonus amounts and other long-term incentive compensation, as well as the portion of overall compensation to be provided in cash or equity. Our Chairman also advises the Committee on these matters as they pertain to the compensation of our Chief Executive Officer. FTI Consulting, Inc., or FTI Consulting, is retained by our management as a general business advisor and provides services to the Company in a number of areas, including compensation. FTI Consulting, which has relationships with certain officers of the Company, provides market data to our Chief Executive Officer and Chairman, which they review when considering their compensation recommendations. The recommendations with respect to compensation are formulated by our Chief Executive Officer and Chairman and are communicated to the Committee by them. The Committee is also provided with the market data compiled by FTI Consulting and its recommendations with respect to the compensation of our named executive officers. The other named executive officers do not play a role in determining their own compensation, other than discussing their performance with our Chief Executive Officer.</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All final determinations of compensation for our named executive officers are made solely by the Committee.</w:t>
      </w:r>
    </w:p>
    <w:p>
      <w:pPr>
        <w:spacing w:after="0" w:line="195" w:lineRule="exact"/>
        <w:rPr>
          <w:sz w:val="20"/>
          <w:szCs w:val="20"/>
          <w:color w:val="auto"/>
        </w:rPr>
      </w:pPr>
    </w:p>
    <w:p>
      <w:pPr>
        <w:ind w:right="80"/>
        <w:spacing w:after="0" w:line="250" w:lineRule="auto"/>
        <w:rPr>
          <w:sz w:val="20"/>
          <w:szCs w:val="20"/>
          <w:color w:val="auto"/>
        </w:rPr>
      </w:pPr>
      <w:r>
        <w:rPr>
          <w:rFonts w:ascii="Arial" w:cs="Arial" w:eastAsia="Arial" w:hAnsi="Arial"/>
          <w:sz w:val="15"/>
          <w:szCs w:val="15"/>
          <w:color w:val="auto"/>
        </w:rPr>
        <w:t>The Committee meets during the year to evaluate executive performance, to monitor market conditions in light of our goals and objectives, to solicit input from our independent compensation consultant on market practices, including peer group pay practices and new developments, and to review our executive compensation practices. As part of these meetings, in formulation of its executive compensation policies and practices for 2016, the Committee reviewed then-existing policies of certain of our institutional investors, Institutional Shareholder Services, Inc., or ISS, Glass Lewis &amp; Co LLC and other governance groups, as well as feedback provided by such groups in prior year proxy research reports. The Committee is currently engaged with stockholders, as discussed above, and annually reviews our executive compensation policies and practices to ensure that such policies are in line with current market practices and stockholders’ best interests. The Committee makes regular reports to the Board.</w:t>
      </w:r>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b w:val="1"/>
          <w:bCs w:val="1"/>
          <w:color w:val="325889"/>
        </w:rPr>
        <w:t>Peer Group Benchmarking</w:t>
      </w:r>
    </w:p>
    <w:p>
      <w:pPr>
        <w:spacing w:after="0" w:line="200" w:lineRule="exact"/>
        <w:rPr>
          <w:sz w:val="20"/>
          <w:szCs w:val="20"/>
          <w:color w:val="auto"/>
        </w:rPr>
      </w:pPr>
    </w:p>
    <w:p>
      <w:pPr>
        <w:ind w:right="60"/>
        <w:spacing w:after="0" w:line="251" w:lineRule="auto"/>
        <w:rPr>
          <w:sz w:val="20"/>
          <w:szCs w:val="20"/>
          <w:color w:val="auto"/>
        </w:rPr>
      </w:pPr>
      <w:r>
        <w:rPr>
          <w:rFonts w:ascii="Arial" w:cs="Arial" w:eastAsia="Arial" w:hAnsi="Arial"/>
          <w:sz w:val="15"/>
          <w:szCs w:val="15"/>
          <w:color w:val="auto"/>
        </w:rPr>
        <w:t>In 2016, as in prior years, the Committee reviewed various peer compensation information in connection with its compensation decisions, primarily focused on the chief executive officer’s compensation. The Committee did not use this peer information to target a particular percentile for our Chief Executive Officer’s total compensation for 2016, but rather used this information to confirm that our Chief Executive Officer’s total compensation for 2016 was within an appropriate range of the total compensation received by the chief executive officers of these peers, considering relative size and performance. With respect to size, we ranked above the median of these peers with respect to common equity market capitalization and total revenue. The Committee reviewed 2015 total compensation information for the chief executive officers of a New York City traditional REIT peer group.</w:t>
      </w:r>
    </w:p>
    <w:p>
      <w:pPr>
        <w:spacing w:after="0" w:line="175" w:lineRule="exact"/>
        <w:rPr>
          <w:sz w:val="20"/>
          <w:szCs w:val="20"/>
          <w:color w:val="auto"/>
        </w:rPr>
      </w:pPr>
    </w:p>
    <w:p>
      <w:pPr>
        <w:ind w:right="140"/>
        <w:spacing w:after="0" w:line="256" w:lineRule="auto"/>
        <w:rPr>
          <w:sz w:val="20"/>
          <w:szCs w:val="20"/>
          <w:color w:val="auto"/>
        </w:rPr>
      </w:pPr>
      <w:r>
        <w:rPr>
          <w:rFonts w:ascii="Arial" w:cs="Arial" w:eastAsia="Arial" w:hAnsi="Arial"/>
          <w:sz w:val="15"/>
          <w:szCs w:val="15"/>
          <w:color w:val="auto"/>
        </w:rPr>
        <w:t>The Committee utilized a New York City-based peer group given the unique characteristics of the New York City real estate marketplace in which we conduct substantially all of our business, which is one of the most competitive in the world from both a business and compensation perspective. The following companies were included in the New York City traditional REIT peer group that the Committee reviewed: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325889"/>
        </w:rPr>
        <w:t>NYC Traditional REIT Peer Group</w:t>
      </w:r>
    </w:p>
    <w:p>
      <w:pPr>
        <w:spacing w:after="0" w:line="14" w:lineRule="exact"/>
        <w:rPr>
          <w:sz w:val="20"/>
          <w:szCs w:val="20"/>
          <w:color w:val="auto"/>
        </w:rPr>
      </w:pPr>
    </w:p>
    <w:p>
      <w:pPr>
        <w:ind w:left="460" w:hanging="228"/>
        <w:spacing w:after="0"/>
        <w:tabs>
          <w:tab w:leader="none" w:pos="460" w:val="left"/>
        </w:tabs>
        <w:numPr>
          <w:ilvl w:val="0"/>
          <w:numId w:val="45"/>
        </w:numPr>
        <w:rPr>
          <w:rFonts w:ascii="Arial" w:cs="Arial" w:eastAsia="Arial" w:hAnsi="Arial"/>
          <w:sz w:val="15"/>
          <w:szCs w:val="15"/>
          <w:color w:val="325889"/>
        </w:rPr>
      </w:pPr>
      <w:r>
        <w:rPr>
          <w:rFonts w:ascii="Arial" w:cs="Arial" w:eastAsia="Arial" w:hAnsi="Arial"/>
          <w:sz w:val="16"/>
          <w:szCs w:val="16"/>
          <w:color w:val="auto"/>
        </w:rPr>
        <w:t>Alexandria Real Estate Equities, Inc.</w:t>
      </w:r>
    </w:p>
    <w:p>
      <w:pPr>
        <w:ind w:left="460" w:hanging="228"/>
        <w:spacing w:after="0" w:line="232" w:lineRule="auto"/>
        <w:tabs>
          <w:tab w:leader="none" w:pos="460" w:val="left"/>
        </w:tabs>
        <w:numPr>
          <w:ilvl w:val="0"/>
          <w:numId w:val="45"/>
        </w:numPr>
        <w:rPr>
          <w:rFonts w:ascii="Arial" w:cs="Arial" w:eastAsia="Arial" w:hAnsi="Arial"/>
          <w:sz w:val="15"/>
          <w:szCs w:val="15"/>
          <w:color w:val="325889"/>
        </w:rPr>
      </w:pPr>
      <w:r>
        <w:rPr>
          <w:rFonts w:ascii="Arial" w:cs="Arial" w:eastAsia="Arial" w:hAnsi="Arial"/>
          <w:sz w:val="16"/>
          <w:szCs w:val="16"/>
          <w:color w:val="auto"/>
        </w:rPr>
        <w:t>Boston Properties, Inc.</w:t>
      </w:r>
    </w:p>
    <w:p>
      <w:pPr>
        <w:ind w:left="460" w:hanging="228"/>
        <w:spacing w:after="0" w:line="232" w:lineRule="auto"/>
        <w:tabs>
          <w:tab w:leader="none" w:pos="460" w:val="left"/>
        </w:tabs>
        <w:numPr>
          <w:ilvl w:val="0"/>
          <w:numId w:val="45"/>
        </w:numPr>
        <w:rPr>
          <w:rFonts w:ascii="Arial" w:cs="Arial" w:eastAsia="Arial" w:hAnsi="Arial"/>
          <w:sz w:val="15"/>
          <w:szCs w:val="15"/>
          <w:color w:val="325889"/>
        </w:rPr>
      </w:pPr>
      <w:r>
        <w:rPr>
          <w:rFonts w:ascii="Arial" w:cs="Arial" w:eastAsia="Arial" w:hAnsi="Arial"/>
          <w:sz w:val="16"/>
          <w:szCs w:val="16"/>
          <w:color w:val="auto"/>
        </w:rPr>
        <w:t>Brookfield Asset Management, Inc.</w:t>
      </w:r>
    </w:p>
    <w:p>
      <w:pPr>
        <w:ind w:left="460" w:hanging="228"/>
        <w:spacing w:after="0" w:line="232" w:lineRule="auto"/>
        <w:tabs>
          <w:tab w:leader="none" w:pos="460" w:val="left"/>
        </w:tabs>
        <w:numPr>
          <w:ilvl w:val="0"/>
          <w:numId w:val="45"/>
        </w:numPr>
        <w:rPr>
          <w:rFonts w:ascii="Arial" w:cs="Arial" w:eastAsia="Arial" w:hAnsi="Arial"/>
          <w:sz w:val="15"/>
          <w:szCs w:val="15"/>
          <w:color w:val="325889"/>
        </w:rPr>
      </w:pPr>
      <w:r>
        <w:rPr>
          <w:rFonts w:ascii="Arial" w:cs="Arial" w:eastAsia="Arial" w:hAnsi="Arial"/>
          <w:sz w:val="16"/>
          <w:szCs w:val="16"/>
          <w:color w:val="auto"/>
        </w:rPr>
        <w:t>General Growth Properties, Inc.</w:t>
      </w:r>
    </w:p>
    <w:p>
      <w:pPr>
        <w:ind w:left="460" w:hanging="228"/>
        <w:spacing w:after="0" w:line="232" w:lineRule="auto"/>
        <w:tabs>
          <w:tab w:leader="none" w:pos="460" w:val="left"/>
        </w:tabs>
        <w:numPr>
          <w:ilvl w:val="0"/>
          <w:numId w:val="45"/>
        </w:numPr>
        <w:rPr>
          <w:rFonts w:ascii="Arial" w:cs="Arial" w:eastAsia="Arial" w:hAnsi="Arial"/>
          <w:sz w:val="15"/>
          <w:szCs w:val="15"/>
          <w:color w:val="325889"/>
        </w:rPr>
      </w:pPr>
      <w:r>
        <w:rPr>
          <w:rFonts w:ascii="Arial" w:cs="Arial" w:eastAsia="Arial" w:hAnsi="Arial"/>
          <w:sz w:val="16"/>
          <w:szCs w:val="16"/>
          <w:color w:val="auto"/>
        </w:rPr>
        <w:t>iStar Financial</w:t>
      </w:r>
    </w:p>
    <w:p>
      <w:pPr>
        <w:ind w:left="460" w:hanging="228"/>
        <w:spacing w:after="0" w:line="232" w:lineRule="auto"/>
        <w:tabs>
          <w:tab w:leader="none" w:pos="460" w:val="left"/>
        </w:tabs>
        <w:numPr>
          <w:ilvl w:val="0"/>
          <w:numId w:val="45"/>
        </w:numPr>
        <w:rPr>
          <w:rFonts w:ascii="Arial" w:cs="Arial" w:eastAsia="Arial" w:hAnsi="Arial"/>
          <w:sz w:val="15"/>
          <w:szCs w:val="15"/>
          <w:color w:val="325889"/>
        </w:rPr>
      </w:pPr>
      <w:r>
        <w:rPr>
          <w:rFonts w:ascii="Arial" w:cs="Arial" w:eastAsia="Arial" w:hAnsi="Arial"/>
          <w:sz w:val="16"/>
          <w:szCs w:val="16"/>
          <w:color w:val="auto"/>
        </w:rPr>
        <w:t>Kennedy-Wilson Holdings, Inc.</w:t>
      </w:r>
    </w:p>
    <w:p>
      <w:pPr>
        <w:ind w:left="460" w:hanging="228"/>
        <w:spacing w:after="0" w:line="232" w:lineRule="auto"/>
        <w:tabs>
          <w:tab w:leader="none" w:pos="460" w:val="left"/>
        </w:tabs>
        <w:numPr>
          <w:ilvl w:val="0"/>
          <w:numId w:val="45"/>
        </w:numPr>
        <w:rPr>
          <w:rFonts w:ascii="Arial" w:cs="Arial" w:eastAsia="Arial" w:hAnsi="Arial"/>
          <w:sz w:val="15"/>
          <w:szCs w:val="15"/>
          <w:color w:val="325889"/>
        </w:rPr>
      </w:pPr>
      <w:r>
        <w:rPr>
          <w:rFonts w:ascii="Arial" w:cs="Arial" w:eastAsia="Arial" w:hAnsi="Arial"/>
          <w:sz w:val="16"/>
          <w:szCs w:val="16"/>
          <w:color w:val="auto"/>
        </w:rPr>
        <w:t>Ladder Capital Corp.</w:t>
      </w:r>
    </w:p>
    <w:p>
      <w:pPr>
        <w:ind w:left="460" w:hanging="228"/>
        <w:spacing w:after="0" w:line="232" w:lineRule="auto"/>
        <w:tabs>
          <w:tab w:leader="none" w:pos="460" w:val="left"/>
        </w:tabs>
        <w:numPr>
          <w:ilvl w:val="0"/>
          <w:numId w:val="45"/>
        </w:numPr>
        <w:rPr>
          <w:rFonts w:ascii="Arial" w:cs="Arial" w:eastAsia="Arial" w:hAnsi="Arial"/>
          <w:sz w:val="15"/>
          <w:szCs w:val="15"/>
          <w:color w:val="325889"/>
        </w:rPr>
      </w:pPr>
      <w:r>
        <w:rPr>
          <w:rFonts w:ascii="Arial" w:cs="Arial" w:eastAsia="Arial" w:hAnsi="Arial"/>
          <w:sz w:val="16"/>
          <w:szCs w:val="16"/>
          <w:color w:val="auto"/>
        </w:rPr>
        <w:t>NorthStar Asset Management Group Inc.</w:t>
      </w:r>
    </w:p>
    <w:p>
      <w:pPr>
        <w:ind w:left="460" w:hanging="228"/>
        <w:spacing w:after="0" w:line="232" w:lineRule="auto"/>
        <w:tabs>
          <w:tab w:leader="none" w:pos="460" w:val="left"/>
        </w:tabs>
        <w:numPr>
          <w:ilvl w:val="0"/>
          <w:numId w:val="45"/>
        </w:numPr>
        <w:rPr>
          <w:rFonts w:ascii="Arial" w:cs="Arial" w:eastAsia="Arial" w:hAnsi="Arial"/>
          <w:sz w:val="15"/>
          <w:szCs w:val="15"/>
          <w:color w:val="325889"/>
        </w:rPr>
      </w:pPr>
      <w:r>
        <w:rPr>
          <w:rFonts w:ascii="Arial" w:cs="Arial" w:eastAsia="Arial" w:hAnsi="Arial"/>
          <w:sz w:val="16"/>
          <w:szCs w:val="16"/>
          <w:color w:val="auto"/>
        </w:rPr>
        <w:t>Paramount Group, Inc.</w:t>
      </w:r>
    </w:p>
    <w:p>
      <w:pPr>
        <w:ind w:left="460" w:hanging="228"/>
        <w:spacing w:after="0"/>
        <w:tabs>
          <w:tab w:leader="none" w:pos="460" w:val="left"/>
        </w:tabs>
        <w:numPr>
          <w:ilvl w:val="0"/>
          <w:numId w:val="45"/>
        </w:numPr>
        <w:rPr>
          <w:rFonts w:ascii="Arial" w:cs="Arial" w:eastAsia="Arial" w:hAnsi="Arial"/>
          <w:sz w:val="15"/>
          <w:szCs w:val="15"/>
          <w:color w:val="325889"/>
        </w:rPr>
      </w:pPr>
      <w:r>
        <w:rPr>
          <w:rFonts w:ascii="Arial" w:cs="Arial" w:eastAsia="Arial" w:hAnsi="Arial"/>
          <w:sz w:val="16"/>
          <w:szCs w:val="16"/>
          <w:color w:val="auto"/>
        </w:rPr>
        <w:t>Vornado Realty Trust</w:t>
      </w:r>
    </w:p>
    <w:p>
      <w:pPr>
        <w:spacing w:after="0" w:line="200" w:lineRule="exact"/>
        <w:rPr>
          <w:sz w:val="20"/>
          <w:szCs w:val="20"/>
          <w:color w:val="auto"/>
        </w:rPr>
      </w:pPr>
    </w:p>
    <w:p>
      <w:pPr>
        <w:spacing w:after="0" w:line="201" w:lineRule="exact"/>
        <w:rPr>
          <w:sz w:val="20"/>
          <w:szCs w:val="20"/>
          <w:color w:val="auto"/>
        </w:rPr>
      </w:pPr>
    </w:p>
    <w:p>
      <w:pPr>
        <w:ind w:right="40"/>
        <w:spacing w:after="0" w:line="256" w:lineRule="auto"/>
        <w:rPr>
          <w:sz w:val="20"/>
          <w:szCs w:val="20"/>
          <w:color w:val="auto"/>
        </w:rPr>
      </w:pPr>
      <w:r>
        <w:rPr>
          <w:rFonts w:ascii="Arial" w:cs="Arial" w:eastAsia="Arial" w:hAnsi="Arial"/>
          <w:sz w:val="15"/>
          <w:szCs w:val="15"/>
          <w:color w:val="auto"/>
        </w:rPr>
        <w:t>Our direct New York City competitors, both in terms of real estate business and talent, are not limited to other public REITs doing business in New York City. Rather, the Committee also views our competitors as consisting of top performing hedge funds, international investors, large private firms and others that may have equal or greater financial resources, including access to cost-efficient capital. The Committee believes that the top real estate principals</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2017 Proxy Statement </w:t>
      </w:r>
      <w:r>
        <w:rPr>
          <w:rFonts w:ascii="Arial" w:cs="Arial" w:eastAsia="Arial" w:hAnsi="Arial"/>
          <w:sz w:val="15"/>
          <w:szCs w:val="15"/>
          <w:color w:val="325889"/>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83450" cy="203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0"/>
          </w:cols>
          <w:pgMar w:left="240" w:top="528" w:right="219" w:bottom="1440" w:gutter="0" w:footer="0" w:header="0"/>
        </w:sectPr>
      </w:pPr>
    </w:p>
    <w:bookmarkStart w:id="37" w:name="page38"/>
    <w:bookmarkEnd w:id="37"/>
    <w:p>
      <w:pPr>
        <w:ind w:left="5"/>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ind w:left="5"/>
        <w:spacing w:after="0"/>
        <w:rPr>
          <w:sz w:val="20"/>
          <w:szCs w:val="20"/>
          <w:color w:val="auto"/>
        </w:rPr>
      </w:pPr>
      <w:r>
        <w:rPr>
          <w:rFonts w:ascii="Arial" w:cs="Arial" w:eastAsia="Arial" w:hAnsi="Arial"/>
          <w:sz w:val="15"/>
          <w:szCs w:val="15"/>
          <w:u w:val="single" w:color="auto"/>
          <w:color w:val="325889"/>
        </w:rPr>
        <w:t>EXECUTIVE COMPENSATION</w:t>
      </w:r>
    </w:p>
    <w:p>
      <w:pPr>
        <w:spacing w:after="0" w:line="195" w:lineRule="exact"/>
        <w:rPr>
          <w:sz w:val="20"/>
          <w:szCs w:val="20"/>
          <w:color w:val="auto"/>
        </w:rPr>
      </w:pPr>
    </w:p>
    <w:p>
      <w:pPr>
        <w:ind w:left="5"/>
        <w:spacing w:after="0"/>
        <w:rPr>
          <w:sz w:val="20"/>
          <w:szCs w:val="20"/>
          <w:color w:val="auto"/>
        </w:rPr>
      </w:pPr>
      <w:r>
        <w:rPr>
          <w:rFonts w:ascii="Arial" w:cs="Arial" w:eastAsia="Arial" w:hAnsi="Arial"/>
          <w:sz w:val="15"/>
          <w:szCs w:val="15"/>
          <w:color w:val="auto"/>
        </w:rPr>
        <w:t>of these non-REIT companies typically receive substantially higher compensation than chief executive officers of public REITs.</w:t>
      </w:r>
    </w:p>
    <w:p>
      <w:pPr>
        <w:spacing w:after="0" w:line="195" w:lineRule="exact"/>
        <w:rPr>
          <w:sz w:val="20"/>
          <w:szCs w:val="20"/>
          <w:color w:val="auto"/>
        </w:rPr>
      </w:pPr>
    </w:p>
    <w:p>
      <w:pPr>
        <w:ind w:left="5" w:right="380"/>
        <w:spacing w:after="0" w:line="256" w:lineRule="auto"/>
        <w:rPr>
          <w:sz w:val="20"/>
          <w:szCs w:val="20"/>
          <w:color w:val="auto"/>
        </w:rPr>
      </w:pPr>
      <w:r>
        <w:rPr>
          <w:rFonts w:ascii="Arial" w:cs="Arial" w:eastAsia="Arial" w:hAnsi="Arial"/>
          <w:sz w:val="15"/>
          <w:szCs w:val="15"/>
          <w:color w:val="auto"/>
        </w:rPr>
        <w:t>However, based on feedback from our stockholders, we removed all New York City-based asset managers from our peer group beginning in 2015 and now review compensation based on our New York City traditional REIT peer group and a national office REIT index. For 2016, we added Kennedy-Wilson Holdings, Inc. and Paramount Group, Inc. to our New York City traditional REIT peer group.</w:t>
      </w:r>
    </w:p>
    <w:p>
      <w:pPr>
        <w:spacing w:after="0" w:line="154" w:lineRule="exact"/>
        <w:rPr>
          <w:sz w:val="20"/>
          <w:szCs w:val="20"/>
          <w:color w:val="auto"/>
        </w:rPr>
      </w:pPr>
    </w:p>
    <w:p>
      <w:pPr>
        <w:ind w:left="5"/>
        <w:spacing w:after="0"/>
        <w:rPr>
          <w:sz w:val="20"/>
          <w:szCs w:val="20"/>
          <w:color w:val="auto"/>
        </w:rPr>
      </w:pPr>
      <w:r>
        <w:rPr>
          <w:rFonts w:ascii="Arial" w:cs="Arial" w:eastAsia="Arial" w:hAnsi="Arial"/>
          <w:sz w:val="12"/>
          <w:szCs w:val="12"/>
          <w:b w:val="1"/>
          <w:bCs w:val="1"/>
          <w:color w:val="325889"/>
        </w:rPr>
        <w:t>Analysis of Risk Associated with Our Executive Compensation Plans</w:t>
      </w:r>
    </w:p>
    <w:p>
      <w:pPr>
        <w:spacing w:after="0" w:line="200" w:lineRule="exact"/>
        <w:rPr>
          <w:sz w:val="20"/>
          <w:szCs w:val="20"/>
          <w:color w:val="auto"/>
        </w:rPr>
      </w:pPr>
    </w:p>
    <w:p>
      <w:pPr>
        <w:ind w:left="5"/>
        <w:spacing w:after="0"/>
        <w:rPr>
          <w:sz w:val="20"/>
          <w:szCs w:val="20"/>
          <w:color w:val="auto"/>
        </w:rPr>
      </w:pPr>
      <w:r>
        <w:rPr>
          <w:rFonts w:ascii="Arial" w:cs="Arial" w:eastAsia="Arial" w:hAnsi="Arial"/>
          <w:sz w:val="15"/>
          <w:szCs w:val="15"/>
          <w:color w:val="auto"/>
        </w:rPr>
        <w:t>In setting compensation, we also consider the risks to our stockholders and to achievement of our goals that may be inherent in the executive compensation program.</w:t>
      </w:r>
    </w:p>
    <w:p>
      <w:pPr>
        <w:spacing w:after="0" w:line="5" w:lineRule="exact"/>
        <w:rPr>
          <w:sz w:val="20"/>
          <w:szCs w:val="20"/>
          <w:color w:val="auto"/>
        </w:rPr>
      </w:pPr>
    </w:p>
    <w:p>
      <w:pPr>
        <w:ind w:left="5"/>
        <w:spacing w:after="0"/>
        <w:rPr>
          <w:sz w:val="20"/>
          <w:szCs w:val="20"/>
          <w:color w:val="auto"/>
        </w:rPr>
      </w:pPr>
      <w:r>
        <w:rPr>
          <w:rFonts w:ascii="Arial" w:cs="Arial" w:eastAsia="Arial" w:hAnsi="Arial"/>
          <w:sz w:val="15"/>
          <w:szCs w:val="15"/>
          <w:color w:val="auto"/>
        </w:rPr>
        <w:t>We concluded that it is not reasonably likely that our compensation policies and practices will have a material adverse effect on us.</w:t>
      </w:r>
    </w:p>
    <w:p>
      <w:pPr>
        <w:spacing w:after="0" w:line="195" w:lineRule="exact"/>
        <w:rPr>
          <w:sz w:val="20"/>
          <w:szCs w:val="20"/>
          <w:color w:val="auto"/>
        </w:rPr>
      </w:pPr>
    </w:p>
    <w:p>
      <w:pPr>
        <w:ind w:left="5" w:right="120"/>
        <w:spacing w:after="0" w:line="256" w:lineRule="auto"/>
        <w:rPr>
          <w:sz w:val="20"/>
          <w:szCs w:val="20"/>
          <w:color w:val="auto"/>
        </w:rPr>
      </w:pPr>
      <w:r>
        <w:rPr>
          <w:rFonts w:ascii="Arial" w:cs="Arial" w:eastAsia="Arial" w:hAnsi="Arial"/>
          <w:sz w:val="15"/>
          <w:szCs w:val="15"/>
          <w:color w:val="auto"/>
        </w:rPr>
        <w:t>Although a significant portion of our executive’s compensation is performance-based and “at-risk,” we believe our executive compensation programs are appropriately structured and do not pose a material risk to the Company. We considered the following elements of our executive compensation plans and policies when evaluating whether such plans and policies encourage our executives to take unreasonable risks:</w:t>
      </w:r>
    </w:p>
    <w:p>
      <w:pPr>
        <w:spacing w:after="0" w:line="168" w:lineRule="exact"/>
        <w:rPr>
          <w:sz w:val="20"/>
          <w:szCs w:val="20"/>
          <w:color w:val="auto"/>
        </w:rPr>
      </w:pPr>
    </w:p>
    <w:p>
      <w:pPr>
        <w:ind w:left="465" w:right="100" w:hanging="228"/>
        <w:spacing w:after="0" w:line="237" w:lineRule="auto"/>
        <w:tabs>
          <w:tab w:leader="none" w:pos="465" w:val="left"/>
        </w:tabs>
        <w:numPr>
          <w:ilvl w:val="0"/>
          <w:numId w:val="46"/>
        </w:numPr>
        <w:rPr>
          <w:rFonts w:ascii="Arial" w:cs="Arial" w:eastAsia="Arial" w:hAnsi="Arial"/>
          <w:sz w:val="15"/>
          <w:szCs w:val="15"/>
          <w:color w:val="325889"/>
        </w:rPr>
      </w:pPr>
      <w:r>
        <w:rPr>
          <w:rFonts w:ascii="Arial" w:cs="Arial" w:eastAsia="Arial" w:hAnsi="Arial"/>
          <w:sz w:val="16"/>
          <w:szCs w:val="16"/>
          <w:color w:val="auto"/>
        </w:rPr>
        <w:t>We evaluate performance based upon the achievement of a variety of business objectives and goals including, by way of example, FFO growth, occupancy and leasing rates, TRS performance (both on an absolute and relative basis), real estate investment activity, the strength of our credit profile, and capital markets executions that we believe correlate to long-term creation of stockholder value and that are affected by management decisions;</w:t>
      </w:r>
    </w:p>
    <w:p>
      <w:pPr>
        <w:spacing w:after="0" w:line="166" w:lineRule="exact"/>
        <w:rPr>
          <w:rFonts w:ascii="Arial" w:cs="Arial" w:eastAsia="Arial" w:hAnsi="Arial"/>
          <w:sz w:val="15"/>
          <w:szCs w:val="15"/>
          <w:color w:val="325889"/>
        </w:rPr>
      </w:pPr>
    </w:p>
    <w:p>
      <w:pPr>
        <w:ind w:left="465" w:right="100" w:hanging="228"/>
        <w:spacing w:after="0" w:line="235" w:lineRule="auto"/>
        <w:tabs>
          <w:tab w:leader="none" w:pos="465" w:val="left"/>
        </w:tabs>
        <w:numPr>
          <w:ilvl w:val="0"/>
          <w:numId w:val="46"/>
        </w:numPr>
        <w:rPr>
          <w:rFonts w:ascii="Arial" w:cs="Arial" w:eastAsia="Arial" w:hAnsi="Arial"/>
          <w:sz w:val="15"/>
          <w:szCs w:val="15"/>
          <w:color w:val="325889"/>
        </w:rPr>
      </w:pPr>
      <w:r>
        <w:rPr>
          <w:rFonts w:ascii="Arial" w:cs="Arial" w:eastAsia="Arial" w:hAnsi="Arial"/>
          <w:sz w:val="16"/>
          <w:szCs w:val="16"/>
          <w:color w:val="auto"/>
        </w:rPr>
        <w:t>We adopted a balanced approach to equity compensation that incorporates the use of various equity-based compensation vehicles. By utilizing a balanced equity compensation mix comprised of several different types of equity-based compensation vehicles, including full value equity awards that retain value even in a depressed market, we lessen the likelihood that executives will take unreasonable risks to keep their equity awards “in-the-money,” as may be the case with equity compensation programs that rely solely on leveraged market-based equity compensation vehicles such as stock options;</w:t>
      </w:r>
    </w:p>
    <w:p>
      <w:pPr>
        <w:spacing w:after="0" w:line="169" w:lineRule="exact"/>
        <w:rPr>
          <w:rFonts w:ascii="Arial" w:cs="Arial" w:eastAsia="Arial" w:hAnsi="Arial"/>
          <w:sz w:val="15"/>
          <w:szCs w:val="15"/>
          <w:color w:val="325889"/>
        </w:rPr>
      </w:pPr>
    </w:p>
    <w:p>
      <w:pPr>
        <w:ind w:left="465" w:right="180" w:hanging="228"/>
        <w:spacing w:after="0" w:line="243" w:lineRule="auto"/>
        <w:tabs>
          <w:tab w:leader="none" w:pos="465" w:val="left"/>
        </w:tabs>
        <w:numPr>
          <w:ilvl w:val="0"/>
          <w:numId w:val="46"/>
        </w:numPr>
        <w:rPr>
          <w:rFonts w:ascii="Arial" w:cs="Arial" w:eastAsia="Arial" w:hAnsi="Arial"/>
          <w:sz w:val="15"/>
          <w:szCs w:val="15"/>
          <w:color w:val="325889"/>
        </w:rPr>
      </w:pPr>
      <w:r>
        <w:rPr>
          <w:rFonts w:ascii="Arial" w:cs="Arial" w:eastAsia="Arial" w:hAnsi="Arial"/>
          <w:sz w:val="16"/>
          <w:szCs w:val="16"/>
          <w:color w:val="auto"/>
        </w:rPr>
        <w:t xml:space="preserve">We provide a significant portion of incentive compensation in the form of Long-Term Incentive Awards, such as awards that may be earned under our </w:t>
      </w:r>
      <w:r>
        <w:rPr>
          <w:rFonts w:ascii="Arial" w:cs="Arial" w:eastAsia="Arial" w:hAnsi="Arial"/>
          <w:sz w:val="15"/>
          <w:szCs w:val="15"/>
          <w:color w:val="auto"/>
        </w:rPr>
        <w:t>2014</w:t>
      </w:r>
      <w:r>
        <w:rPr>
          <w:rFonts w:ascii="Arial" w:cs="Arial" w:eastAsia="Arial" w:hAnsi="Arial"/>
          <w:sz w:val="16"/>
          <w:szCs w:val="16"/>
          <w:color w:val="auto"/>
        </w:rPr>
        <w:t xml:space="preserve"> </w:t>
      </w:r>
      <w:r>
        <w:rPr>
          <w:rFonts w:ascii="Arial" w:cs="Arial" w:eastAsia="Arial" w:hAnsi="Arial"/>
          <w:sz w:val="15"/>
          <w:szCs w:val="15"/>
          <w:color w:val="auto"/>
        </w:rPr>
        <w:t>Outperformance Plan. The amounts that ultimately may be earned under this program are tied to how we perform over a three-year period, which focuses management on sustaining our long-term performance;</w:t>
      </w:r>
    </w:p>
    <w:p>
      <w:pPr>
        <w:spacing w:after="0" w:line="164" w:lineRule="exact"/>
        <w:rPr>
          <w:rFonts w:ascii="Arial" w:cs="Arial" w:eastAsia="Arial" w:hAnsi="Arial"/>
          <w:sz w:val="15"/>
          <w:szCs w:val="15"/>
          <w:color w:val="325889"/>
        </w:rPr>
      </w:pPr>
    </w:p>
    <w:p>
      <w:pPr>
        <w:ind w:left="465" w:right="80" w:hanging="228"/>
        <w:spacing w:after="0" w:line="239" w:lineRule="auto"/>
        <w:tabs>
          <w:tab w:leader="none" w:pos="465" w:val="left"/>
        </w:tabs>
        <w:numPr>
          <w:ilvl w:val="0"/>
          <w:numId w:val="46"/>
        </w:numPr>
        <w:rPr>
          <w:rFonts w:ascii="Arial" w:cs="Arial" w:eastAsia="Arial" w:hAnsi="Arial"/>
          <w:sz w:val="15"/>
          <w:szCs w:val="15"/>
          <w:color w:val="325889"/>
        </w:rPr>
      </w:pPr>
      <w:r>
        <w:rPr>
          <w:rFonts w:ascii="Arial" w:cs="Arial" w:eastAsia="Arial" w:hAnsi="Arial"/>
          <w:sz w:val="16"/>
          <w:szCs w:val="16"/>
          <w:color w:val="auto"/>
        </w:rPr>
        <w:t>We structure payouts under our performance-based awards based on achieving a minimum level of performance, so that some compensation is awarded at levels below full target achievement rather than an “all-or-nothing” approach;</w:t>
      </w:r>
    </w:p>
    <w:p>
      <w:pPr>
        <w:spacing w:after="0" w:line="167" w:lineRule="exact"/>
        <w:rPr>
          <w:rFonts w:ascii="Arial" w:cs="Arial" w:eastAsia="Arial" w:hAnsi="Arial"/>
          <w:sz w:val="15"/>
          <w:szCs w:val="15"/>
          <w:color w:val="325889"/>
        </w:rPr>
      </w:pPr>
    </w:p>
    <w:p>
      <w:pPr>
        <w:ind w:left="465" w:hanging="228"/>
        <w:spacing w:after="0"/>
        <w:tabs>
          <w:tab w:leader="none" w:pos="465" w:val="left"/>
        </w:tabs>
        <w:numPr>
          <w:ilvl w:val="0"/>
          <w:numId w:val="46"/>
        </w:numPr>
        <w:rPr>
          <w:rFonts w:ascii="Arial" w:cs="Arial" w:eastAsia="Arial" w:hAnsi="Arial"/>
          <w:sz w:val="15"/>
          <w:szCs w:val="15"/>
          <w:color w:val="325889"/>
        </w:rPr>
      </w:pPr>
      <w:r>
        <w:rPr>
          <w:rFonts w:ascii="Arial" w:cs="Arial" w:eastAsia="Arial" w:hAnsi="Arial"/>
          <w:sz w:val="16"/>
          <w:szCs w:val="16"/>
          <w:color w:val="auto"/>
        </w:rPr>
        <w:t>We consider non-financial and other qualitative performance factors in determining actual compensation payouts;</w:t>
      </w:r>
    </w:p>
    <w:p>
      <w:pPr>
        <w:spacing w:after="0" w:line="171" w:lineRule="exact"/>
        <w:rPr>
          <w:rFonts w:ascii="Arial" w:cs="Arial" w:eastAsia="Arial" w:hAnsi="Arial"/>
          <w:sz w:val="15"/>
          <w:szCs w:val="15"/>
          <w:color w:val="325889"/>
        </w:rPr>
      </w:pPr>
    </w:p>
    <w:p>
      <w:pPr>
        <w:jc w:val="both"/>
        <w:ind w:left="465" w:right="120" w:hanging="228"/>
        <w:spacing w:after="0" w:line="237" w:lineRule="auto"/>
        <w:tabs>
          <w:tab w:leader="none" w:pos="465" w:val="left"/>
        </w:tabs>
        <w:numPr>
          <w:ilvl w:val="0"/>
          <w:numId w:val="46"/>
        </w:numPr>
        <w:rPr>
          <w:rFonts w:ascii="Arial" w:cs="Arial" w:eastAsia="Arial" w:hAnsi="Arial"/>
          <w:sz w:val="15"/>
          <w:szCs w:val="15"/>
          <w:color w:val="325889"/>
        </w:rPr>
      </w:pPr>
      <w:r>
        <w:rPr>
          <w:rFonts w:ascii="Arial" w:cs="Arial" w:eastAsia="Arial" w:hAnsi="Arial"/>
          <w:sz w:val="16"/>
          <w:szCs w:val="16"/>
          <w:color w:val="auto"/>
        </w:rPr>
        <w:t>We provide a significant portion of each executive’s annual compensation in the form of equity-based compensation, which results in our executives having built sizable holdings of equity in the Company. We note that executives are required to maintain sizable holdings of equity in the Company under the terms of our stock ownership guidelines, which aligns an appropriate portion of their personal wealth to our long-term performance; and</w:t>
      </w:r>
    </w:p>
    <w:p>
      <w:pPr>
        <w:spacing w:after="0" w:line="166" w:lineRule="exact"/>
        <w:rPr>
          <w:rFonts w:ascii="Arial" w:cs="Arial" w:eastAsia="Arial" w:hAnsi="Arial"/>
          <w:sz w:val="15"/>
          <w:szCs w:val="15"/>
          <w:color w:val="325889"/>
        </w:rPr>
      </w:pPr>
    </w:p>
    <w:p>
      <w:pPr>
        <w:ind w:left="465" w:right="60" w:hanging="228"/>
        <w:spacing w:after="0" w:line="239" w:lineRule="auto"/>
        <w:tabs>
          <w:tab w:leader="none" w:pos="465" w:val="left"/>
        </w:tabs>
        <w:numPr>
          <w:ilvl w:val="0"/>
          <w:numId w:val="46"/>
        </w:numPr>
        <w:rPr>
          <w:rFonts w:ascii="Arial" w:cs="Arial" w:eastAsia="Arial" w:hAnsi="Arial"/>
          <w:sz w:val="15"/>
          <w:szCs w:val="15"/>
          <w:color w:val="325889"/>
        </w:rPr>
      </w:pPr>
      <w:r>
        <w:rPr>
          <w:rFonts w:ascii="Arial" w:cs="Arial" w:eastAsia="Arial" w:hAnsi="Arial"/>
          <w:sz w:val="16"/>
          <w:szCs w:val="16"/>
          <w:color w:val="auto"/>
        </w:rPr>
        <w:t>We adopted a policy for recoupment of incentive payments made to our executives, including our named executive officers, if payment was based on having met or exceeded performance expectations during a period of fraudulent activity for which the executive is responsible.</w:t>
      </w:r>
    </w:p>
    <w:p>
      <w:pPr>
        <w:spacing w:after="0" w:line="396" w:lineRule="exact"/>
        <w:rPr>
          <w:sz w:val="20"/>
          <w:szCs w:val="20"/>
          <w:color w:val="auto"/>
        </w:rPr>
      </w:pPr>
    </w:p>
    <w:p>
      <w:pPr>
        <w:ind w:left="5"/>
        <w:spacing w:after="0" w:line="253" w:lineRule="auto"/>
        <w:rPr>
          <w:sz w:val="20"/>
          <w:szCs w:val="20"/>
          <w:color w:val="auto"/>
        </w:rPr>
      </w:pPr>
      <w:r>
        <w:rPr>
          <w:rFonts w:ascii="Arial" w:cs="Arial" w:eastAsia="Arial" w:hAnsi="Arial"/>
          <w:sz w:val="15"/>
          <w:szCs w:val="15"/>
          <w:color w:val="auto"/>
        </w:rPr>
        <w:t>In conclusion, our executive compensation program is structured so that (i) we avoid the type of disproportionately large short-term incentives that could encourage executives to take risks that may not be in our long-term interests, (ii) we provide incentives to manage the Company for long-term performance, (iii) we have adopted a policy for recoupment of incentive payments under certain circumstances and (iv) a significant amount of the wealth of our executives is tied to our long-term success. We believe this combination of factors encourages our executives to manage the Company in a prudent manner.</w:t>
      </w:r>
    </w:p>
    <w:p>
      <w:pPr>
        <w:spacing w:after="0" w:line="157" w:lineRule="exact"/>
        <w:rPr>
          <w:sz w:val="20"/>
          <w:szCs w:val="20"/>
          <w:color w:val="auto"/>
        </w:rPr>
      </w:pPr>
    </w:p>
    <w:p>
      <w:pPr>
        <w:ind w:left="5"/>
        <w:spacing w:after="0"/>
        <w:rPr>
          <w:sz w:val="20"/>
          <w:szCs w:val="20"/>
          <w:color w:val="auto"/>
        </w:rPr>
      </w:pPr>
      <w:r>
        <w:rPr>
          <w:rFonts w:ascii="Arial" w:cs="Arial" w:eastAsia="Arial" w:hAnsi="Arial"/>
          <w:sz w:val="12"/>
          <w:szCs w:val="12"/>
          <w:b w:val="1"/>
          <w:bCs w:val="1"/>
          <w:color w:val="325889"/>
        </w:rPr>
        <w:t>Perquisites and Other Personal Benefits</w:t>
      </w:r>
    </w:p>
    <w:p>
      <w:pPr>
        <w:spacing w:after="0" w:line="200" w:lineRule="exact"/>
        <w:rPr>
          <w:sz w:val="20"/>
          <w:szCs w:val="20"/>
          <w:color w:val="auto"/>
        </w:rPr>
      </w:pPr>
    </w:p>
    <w:p>
      <w:pPr>
        <w:ind w:left="5" w:right="100"/>
        <w:spacing w:after="0" w:line="253" w:lineRule="auto"/>
        <w:rPr>
          <w:sz w:val="20"/>
          <w:szCs w:val="20"/>
          <w:color w:val="auto"/>
        </w:rPr>
      </w:pPr>
      <w:r>
        <w:rPr>
          <w:rFonts w:ascii="Arial" w:cs="Arial" w:eastAsia="Arial" w:hAnsi="Arial"/>
          <w:sz w:val="15"/>
          <w:szCs w:val="15"/>
          <w:color w:val="auto"/>
        </w:rPr>
        <w:t>We do not provide significant perquisites or personal benefits to our named executive officers, except that we reimburse our Chairman for costs associated with an automobile he leases for personal use and provide leased automobiles for our Chief Executive Officer and President. Additionally, we provide our Chairman with a full-time driver and our Chief Executive Officer receives certain insurance benefits. The costs of these benefits constitute only a small percentage of the applicable executive’s compensation.</w:t>
      </w:r>
    </w:p>
    <w:p>
      <w:pPr>
        <w:spacing w:after="0" w:line="157" w:lineRule="exact"/>
        <w:rPr>
          <w:sz w:val="20"/>
          <w:szCs w:val="20"/>
          <w:color w:val="auto"/>
        </w:rPr>
      </w:pPr>
    </w:p>
    <w:p>
      <w:pPr>
        <w:ind w:left="5"/>
        <w:spacing w:after="0"/>
        <w:rPr>
          <w:sz w:val="20"/>
          <w:szCs w:val="20"/>
          <w:color w:val="auto"/>
        </w:rPr>
      </w:pPr>
      <w:r>
        <w:rPr>
          <w:rFonts w:ascii="Arial" w:cs="Arial" w:eastAsia="Arial" w:hAnsi="Arial"/>
          <w:sz w:val="12"/>
          <w:szCs w:val="12"/>
          <w:b w:val="1"/>
          <w:bCs w:val="1"/>
          <w:color w:val="325889"/>
        </w:rPr>
        <w:t>Employment Agreements</w:t>
      </w:r>
    </w:p>
    <w:p>
      <w:pPr>
        <w:spacing w:after="0" w:line="200" w:lineRule="exact"/>
        <w:rPr>
          <w:sz w:val="20"/>
          <w:szCs w:val="20"/>
          <w:color w:val="auto"/>
        </w:rPr>
      </w:pPr>
    </w:p>
    <w:p>
      <w:pPr>
        <w:ind w:left="5" w:right="40"/>
        <w:spacing w:after="0" w:line="256" w:lineRule="auto"/>
        <w:rPr>
          <w:sz w:val="20"/>
          <w:szCs w:val="20"/>
          <w:color w:val="auto"/>
        </w:rPr>
      </w:pPr>
      <w:r>
        <w:rPr>
          <w:rFonts w:ascii="Arial" w:cs="Arial" w:eastAsia="Arial" w:hAnsi="Arial"/>
          <w:sz w:val="15"/>
          <w:szCs w:val="15"/>
          <w:color w:val="auto"/>
        </w:rPr>
        <w:t>As noted above, we have employment agreements with all of our named executive officers. All of the employment agreements with our named executive officers provide for, among other things, severance payments and benefits and acceleration of equity awards in connection with certain qualified terminations. In return, each of our named executive officers has agreed to non-compete,</w:t>
      </w:r>
    </w:p>
    <w:p>
      <w:pPr>
        <w:spacing w:after="0" w:line="172" w:lineRule="exact"/>
        <w:rPr>
          <w:sz w:val="20"/>
          <w:szCs w:val="20"/>
          <w:color w:val="auto"/>
        </w:rPr>
      </w:pPr>
    </w:p>
    <w:p>
      <w:pPr>
        <w:ind w:left="265" w:hanging="265"/>
        <w:spacing w:after="0"/>
        <w:tabs>
          <w:tab w:leader="none" w:pos="265" w:val="left"/>
        </w:tabs>
        <w:numPr>
          <w:ilvl w:val="0"/>
          <w:numId w:val="47"/>
        </w:numPr>
        <w:rPr>
          <w:rFonts w:ascii="Arial" w:cs="Arial" w:eastAsia="Arial" w:hAnsi="Arial"/>
          <w:sz w:val="15"/>
          <w:szCs w:val="15"/>
          <w:color w:val="325889"/>
        </w:rPr>
      </w:pPr>
      <w:r>
        <w:rPr>
          <w:rFonts w:ascii="Arial" w:cs="Arial" w:eastAsia="Arial" w:hAnsi="Arial"/>
          <w:sz w:val="15"/>
          <w:szCs w:val="15"/>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83450" cy="203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25"/>
          </w:cols>
          <w:pgMar w:left="235" w:top="528" w:right="239" w:bottom="1440" w:gutter="0" w:footer="0" w:header="0"/>
        </w:sectPr>
      </w:pPr>
    </w:p>
    <w:bookmarkStart w:id="38" w:name="page39"/>
    <w:bookmarkEnd w:id="38"/>
    <w:p>
      <w:pPr>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ind w:left="9280"/>
        <w:spacing w:after="0"/>
        <w:rPr>
          <w:sz w:val="20"/>
          <w:szCs w:val="20"/>
          <w:color w:val="auto"/>
        </w:rPr>
      </w:pPr>
      <w:r>
        <w:rPr>
          <w:rFonts w:ascii="Arial" w:cs="Arial" w:eastAsia="Arial" w:hAnsi="Arial"/>
          <w:sz w:val="15"/>
          <w:szCs w:val="15"/>
          <w:u w:val="single" w:color="auto"/>
          <w:color w:val="325889"/>
        </w:rPr>
        <w:t>EXECUTIVE COMPENSATION</w:t>
      </w:r>
    </w:p>
    <w:p>
      <w:pPr>
        <w:spacing w:after="0" w:line="195" w:lineRule="exact"/>
        <w:rPr>
          <w:sz w:val="20"/>
          <w:szCs w:val="20"/>
          <w:color w:val="auto"/>
        </w:rPr>
      </w:pPr>
    </w:p>
    <w:p>
      <w:pPr>
        <w:ind w:right="120"/>
        <w:spacing w:after="0" w:line="251" w:lineRule="auto"/>
        <w:rPr>
          <w:sz w:val="20"/>
          <w:szCs w:val="20"/>
          <w:color w:val="auto"/>
        </w:rPr>
      </w:pPr>
      <w:r>
        <w:rPr>
          <w:rFonts w:ascii="Arial" w:cs="Arial" w:eastAsia="Arial" w:hAnsi="Arial"/>
          <w:sz w:val="15"/>
          <w:szCs w:val="15"/>
          <w:color w:val="auto"/>
        </w:rPr>
        <w:t>non-solicitation, non-interference and confidentiality provisions. For each of our executives, we believe that, because the severance level is negotiated up front, it makes it easier for us to terminate these executives without the need for protracted negotiations over severance. We also believe that providing pre-negotiated severance benefits for all of our executives in the event they are terminated without cause or terminate their employment for good reason following a change in control helps to further align the interests of our executives and our stockholders in the event of a potentially attractive proposed change in control transaction following which one or more of our executives may be expected to be terminated. See “Executive Compensation—Executive Compensation Tables—Potential Payments Upon Termination or Change in Control” for a summary of the employment agreements with our named executive officers.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325889"/>
        </w:rPr>
        <w:t>Clawback Policy</w:t>
      </w:r>
    </w:p>
    <w:p>
      <w:pPr>
        <w:spacing w:after="0" w:line="200" w:lineRule="exact"/>
        <w:rPr>
          <w:sz w:val="20"/>
          <w:szCs w:val="20"/>
          <w:color w:val="auto"/>
        </w:rPr>
      </w:pPr>
    </w:p>
    <w:p>
      <w:pPr>
        <w:ind w:right="320"/>
        <w:spacing w:after="0" w:line="265" w:lineRule="auto"/>
        <w:rPr>
          <w:sz w:val="20"/>
          <w:szCs w:val="20"/>
          <w:color w:val="auto"/>
        </w:rPr>
      </w:pPr>
      <w:r>
        <w:rPr>
          <w:rFonts w:ascii="Arial" w:cs="Arial" w:eastAsia="Arial" w:hAnsi="Arial"/>
          <w:sz w:val="15"/>
          <w:szCs w:val="15"/>
          <w:color w:val="auto"/>
        </w:rPr>
        <w:t>The Board adopted a clawback policy under which any incentive payments made to a named executive officer on the basis of having met or exceeded performance targets during a period of fraudulent activity for which such executive is found personally responsible may be recouped by the Company.</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325889"/>
        </w:rPr>
        <w:t>Anti-hedging Policy</w:t>
      </w:r>
    </w:p>
    <w:p>
      <w:pPr>
        <w:spacing w:after="0" w:line="200" w:lineRule="exact"/>
        <w:rPr>
          <w:sz w:val="20"/>
          <w:szCs w:val="20"/>
          <w:color w:val="auto"/>
        </w:rPr>
      </w:pPr>
    </w:p>
    <w:p>
      <w:pPr>
        <w:ind w:right="20"/>
        <w:spacing w:after="0" w:line="252" w:lineRule="auto"/>
        <w:rPr>
          <w:sz w:val="20"/>
          <w:szCs w:val="20"/>
          <w:color w:val="auto"/>
        </w:rPr>
      </w:pPr>
      <w:r>
        <w:rPr>
          <w:rFonts w:ascii="Arial" w:cs="Arial" w:eastAsia="Arial" w:hAnsi="Arial"/>
          <w:sz w:val="15"/>
          <w:szCs w:val="15"/>
          <w:color w:val="auto"/>
        </w:rPr>
        <w:t>The Board has adopted a policy prohibiting all of our executive officers and directors from engaging in hedging transactions with respect to our securities. Pursuant to this policy, our executive officers and directors may not engage in hedging transactions with respect to our securities (including, without limitation, partnership interests in our operating partnership) through puts, calls, covered calls, synthetic purchases, collars, other derivative securities of the Company or otherwise at any time. Prior to the adoption of this policy, none of our executive officers or directors were engaging in any hedging transactions with respect to our securities, and this policy was adopted to formally reflect the practices that our executive officers and directors had already been observing.</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b w:val="1"/>
          <w:bCs w:val="1"/>
          <w:color w:val="325889"/>
        </w:rPr>
        <w:t>Other Matters</w:t>
      </w:r>
    </w:p>
    <w:p>
      <w:pPr>
        <w:spacing w:after="0" w:line="184" w:lineRule="exact"/>
        <w:rPr>
          <w:sz w:val="20"/>
          <w:szCs w:val="20"/>
          <w:color w:val="auto"/>
        </w:rPr>
      </w:pPr>
    </w:p>
    <w:p>
      <w:pPr>
        <w:ind w:right="200"/>
        <w:spacing w:after="0" w:line="255" w:lineRule="auto"/>
        <w:rPr>
          <w:sz w:val="20"/>
          <w:szCs w:val="20"/>
          <w:color w:val="auto"/>
        </w:rPr>
      </w:pPr>
      <w:r>
        <w:rPr>
          <w:rFonts w:ascii="Arial" w:cs="Arial" w:eastAsia="Arial" w:hAnsi="Arial"/>
          <w:sz w:val="15"/>
          <w:szCs w:val="15"/>
          <w:i w:val="1"/>
          <w:iCs w:val="1"/>
          <w:color w:val="auto"/>
        </w:rPr>
        <w:t>Tax Treatment</w:t>
      </w:r>
      <w:r>
        <w:rPr>
          <w:rFonts w:ascii="Arial" w:cs="Arial" w:eastAsia="Arial" w:hAnsi="Arial"/>
          <w:sz w:val="15"/>
          <w:szCs w:val="15"/>
          <w:color w:val="auto"/>
        </w:rPr>
        <w:t>. The Committee reviews and considers the tax efficiency of executive compensation as part of its decision-making process. Section 162(m) of the IRC</w:t>
      </w:r>
      <w:r>
        <w:rPr>
          <w:rFonts w:ascii="Arial" w:cs="Arial" w:eastAsia="Arial" w:hAnsi="Arial"/>
          <w:sz w:val="15"/>
          <w:szCs w:val="15"/>
          <w:i w:val="1"/>
          <w:iCs w:val="1"/>
          <w:color w:val="auto"/>
        </w:rPr>
        <w:t xml:space="preserve"> </w:t>
      </w:r>
      <w:r>
        <w:rPr>
          <w:rFonts w:ascii="Arial" w:cs="Arial" w:eastAsia="Arial" w:hAnsi="Arial"/>
          <w:sz w:val="15"/>
          <w:szCs w:val="15"/>
          <w:color w:val="auto"/>
        </w:rPr>
        <w:t>generally limits the deductibility of compensation over $1 million to a corporation’s named executive officers. We are a real estate investment trust and therefore generally do not pay income taxes. In addition, our named executive officers provide most of their services to our operating partnership. We received a private letter ruling from the Internal Revenue Service to the effect that the deduction limitation of Section 162(m) does not apply with respect to compensation to our named executive officers for services rendered to our operating partnership. As a result, the amounts and form of compensation that we provide to our named executive officers is not materially impacted by Section 162(m) of the IRC.</w:t>
      </w:r>
    </w:p>
    <w:p>
      <w:pPr>
        <w:spacing w:after="0" w:line="158" w:lineRule="exact"/>
        <w:rPr>
          <w:sz w:val="20"/>
          <w:szCs w:val="20"/>
          <w:color w:val="auto"/>
        </w:rPr>
      </w:pPr>
    </w:p>
    <w:p>
      <w:pPr>
        <w:ind w:right="40"/>
        <w:spacing w:after="0" w:line="251" w:lineRule="auto"/>
        <w:rPr>
          <w:sz w:val="20"/>
          <w:szCs w:val="20"/>
          <w:color w:val="auto"/>
        </w:rPr>
      </w:pPr>
      <w:r>
        <w:rPr>
          <w:rFonts w:ascii="Arial" w:cs="Arial" w:eastAsia="Arial" w:hAnsi="Arial"/>
          <w:sz w:val="15"/>
          <w:szCs w:val="15"/>
          <w:i w:val="1"/>
          <w:iCs w:val="1"/>
          <w:color w:val="325889"/>
        </w:rPr>
        <w:t>LTIP units and Class O LTIP units</w:t>
      </w:r>
      <w:r>
        <w:rPr>
          <w:rFonts w:ascii="Arial" w:cs="Arial" w:eastAsia="Arial" w:hAnsi="Arial"/>
          <w:sz w:val="15"/>
          <w:szCs w:val="15"/>
          <w:color w:val="000000"/>
        </w:rPr>
        <w:t>. Under our 2014 Outperformance Plan, in lieu of issuing shares of restricted stock, we issued a separate class of units of limited</w:t>
      </w:r>
      <w:r>
        <w:rPr>
          <w:rFonts w:ascii="Arial" w:cs="Arial" w:eastAsia="Arial" w:hAnsi="Arial"/>
          <w:sz w:val="15"/>
          <w:szCs w:val="15"/>
          <w:i w:val="1"/>
          <w:iCs w:val="1"/>
          <w:color w:val="325889"/>
        </w:rPr>
        <w:t xml:space="preserve"> </w:t>
      </w:r>
      <w:r>
        <w:rPr>
          <w:rFonts w:ascii="Arial" w:cs="Arial" w:eastAsia="Arial" w:hAnsi="Arial"/>
          <w:sz w:val="15"/>
          <w:szCs w:val="15"/>
          <w:color w:val="000000"/>
        </w:rPr>
        <w:t>partnership interest in our operating partnership, which we refer to as LTIP units. We also used LTIP units for the equity bonuses that we granted to our named executive officers for 2016 and as equity awards granted in connection with new or extended employment agreements or the provisions of such agreements. LTIP units are similar to common units in our operating partnership, which generally are economically equivalent to shares of our common stock, except that the LTIP units are structured as “profits interests” for U.S. federal income tax purposes under current federal income tax law. As profits interests, LTIP units generally only have value, other than with respect to the right to receive distributions, if the value of the assets of our operating partnership increases between the issuance of LTIP units and the date of a book-up event for partnership tax purposes. If the value of the assets of our operating partnership increases sufficiently, the LTIP units can achieve full parity with common units in our operating partnership. If such parity is achieved, LTIP units may be converted, subject to the satisfaction of applicable vesting conditions, on a one-for-one basis into common units, which in turn are redeemable by the holder for cash or, at our election, on a one-for-one basis into shares of our common stock. LTIP units are not entitled to distributions prior to being earned based on achievement against the performance-based hurdles contained in these plans. Once earned, these LTIP units, whether vested or unvested, entitle the holder to receive distributions per unit from our operating partnership that are equivalent to the dividends paid per share on our common stock.</w:t>
      </w:r>
    </w:p>
    <w:p>
      <w:pPr>
        <w:spacing w:after="0" w:line="357" w:lineRule="exact"/>
        <w:rPr>
          <w:sz w:val="20"/>
          <w:szCs w:val="20"/>
          <w:color w:val="auto"/>
        </w:rPr>
      </w:pPr>
    </w:p>
    <w:p>
      <w:pPr>
        <w:ind w:right="100"/>
        <w:spacing w:after="0" w:line="252" w:lineRule="auto"/>
        <w:rPr>
          <w:sz w:val="20"/>
          <w:szCs w:val="20"/>
          <w:color w:val="auto"/>
        </w:rPr>
      </w:pPr>
      <w:r>
        <w:rPr>
          <w:rFonts w:ascii="Arial" w:cs="Arial" w:eastAsia="Arial" w:hAnsi="Arial"/>
          <w:sz w:val="15"/>
          <w:szCs w:val="15"/>
          <w:color w:val="auto"/>
        </w:rPr>
        <w:t>In addition to the LTIP units described above that we issued in lieu of shares of restricted stock, we also have issued another class of units of limited partnership interest in our operating partnership that are intended to be similar to stock options from an economic perspective, which we refer to as Class O LTIP units. Class O LTIP units are also intended to qualify as “profits interests” for U.S. federal income tax purposes. During 2016, we used Class O LTIP units as equity awards granted in connection with new or extended employment agreements or the provisions of such agreements, and we also used Class O LTIP units for annual bonuses that we granted to certain of our named executive officers in 2017 for 2016 performance.</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2017 Proxy Statement </w:t>
      </w:r>
      <w:r>
        <w:rPr>
          <w:rFonts w:ascii="Arial" w:cs="Arial" w:eastAsia="Arial" w:hAnsi="Arial"/>
          <w:sz w:val="15"/>
          <w:szCs w:val="15"/>
          <w:color w:val="325889"/>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83450" cy="203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0"/>
          </w:cols>
          <w:pgMar w:left="240" w:top="528" w:right="219" w:bottom="1440" w:gutter="0" w:footer="0" w:header="0"/>
        </w:sectPr>
      </w:pPr>
    </w:p>
    <w:bookmarkStart w:id="39" w:name="page40"/>
    <w:bookmarkEnd w:id="39"/>
    <w:p>
      <w:pPr>
        <w:ind w:left="5"/>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ind w:left="5"/>
        <w:spacing w:after="0"/>
        <w:rPr>
          <w:sz w:val="20"/>
          <w:szCs w:val="20"/>
          <w:color w:val="auto"/>
        </w:rPr>
      </w:pPr>
      <w:r>
        <w:rPr>
          <w:rFonts w:ascii="Arial" w:cs="Arial" w:eastAsia="Arial" w:hAnsi="Arial"/>
          <w:sz w:val="15"/>
          <w:szCs w:val="15"/>
          <w:u w:val="single" w:color="auto"/>
          <w:color w:val="325889"/>
        </w:rPr>
        <w:t>EXECUTIVE COMPENSATION</w:t>
      </w:r>
    </w:p>
    <w:p>
      <w:pPr>
        <w:spacing w:after="0" w:line="195" w:lineRule="exact"/>
        <w:rPr>
          <w:sz w:val="20"/>
          <w:szCs w:val="20"/>
          <w:color w:val="auto"/>
        </w:rPr>
      </w:pPr>
    </w:p>
    <w:p>
      <w:pPr>
        <w:ind w:left="5"/>
        <w:spacing w:after="0" w:line="250" w:lineRule="auto"/>
        <w:rPr>
          <w:sz w:val="20"/>
          <w:szCs w:val="20"/>
          <w:color w:val="auto"/>
        </w:rPr>
      </w:pPr>
      <w:r>
        <w:rPr>
          <w:rFonts w:ascii="Arial" w:cs="Arial" w:eastAsia="Arial" w:hAnsi="Arial"/>
          <w:sz w:val="15"/>
          <w:szCs w:val="15"/>
          <w:color w:val="auto"/>
        </w:rPr>
        <w:t>Like stock options, Class O LTIP units operate in a manner that generally permits holders to realize the benefit of any increase in the per share value of our common stock above the value at the time the Class O LTIP units are granted. At the time of the grant of Class O LTIP units, the operating partnership establishes a conversion threshold, the vesting terms and the mandatory conversion date, if any, for the Class O LTIP units. The conversion threshold corresponds to the exercise price of a stock option while the mandatory conversion date corresponds to the expiration date of a stock option. Similar to the exercise price for stock options, the conversion threshold will equal the per unit value of the common units of our operating partnership on the grant date. Class O LTIP units will receive 10% distributions relating to periods between grant and vesting upon vesting, and will receive 10% distributions from vesting to their conversion as opposed to holders of non-qualified stock options who will not receive any distributions relating to periods between grant and exercise.</w:t>
      </w:r>
    </w:p>
    <w:p>
      <w:pPr>
        <w:spacing w:after="0" w:line="178" w:lineRule="exact"/>
        <w:rPr>
          <w:sz w:val="20"/>
          <w:szCs w:val="20"/>
          <w:color w:val="auto"/>
        </w:rPr>
      </w:pPr>
    </w:p>
    <w:p>
      <w:pPr>
        <w:ind w:left="5"/>
        <w:spacing w:after="0" w:line="250" w:lineRule="auto"/>
        <w:rPr>
          <w:sz w:val="20"/>
          <w:szCs w:val="20"/>
          <w:color w:val="auto"/>
        </w:rPr>
      </w:pPr>
      <w:r>
        <w:rPr>
          <w:rFonts w:ascii="Arial" w:cs="Arial" w:eastAsia="Arial" w:hAnsi="Arial"/>
          <w:sz w:val="15"/>
          <w:szCs w:val="15"/>
          <w:color w:val="auto"/>
        </w:rPr>
        <w:t>Once Class O LTIP units have vested, they may be converted into common units of our operating partnership by the holder at any time prior to their mandatory conversion date in a manner that is similar to a net exercise of stock options. Upon exercise of this conversion right, the Class O LTIP units will convert into a number of common units of the operating partnership that have an aggregate value equal to the aggregate spread of the Class O LTIP units that are converted. The “spread” for each Class O LTIP unit will equal the excess, if any, of the value of our operating partnership’s assets per common unit on the conversion date above the per unit value at the time the Class O LTIP unit was granted (i.e., the conversion threshold). Any Class O LTIP units that have not been voluntarily converted prior to the mandatory conversion date established at the time the Class O LTIP units were granted will automatically convert into common units on such mandatory conversion date, or be forfeited if the value of our operating partnership’s assets per common unit is less than the conversion threshold for the Class O LTIP units.</w:t>
      </w:r>
    </w:p>
    <w:p>
      <w:pPr>
        <w:spacing w:after="0" w:line="178" w:lineRule="exact"/>
        <w:rPr>
          <w:sz w:val="20"/>
          <w:szCs w:val="20"/>
          <w:color w:val="auto"/>
        </w:rPr>
      </w:pPr>
    </w:p>
    <w:p>
      <w:pPr>
        <w:ind w:left="5" w:right="40"/>
        <w:spacing w:after="0" w:line="249" w:lineRule="auto"/>
        <w:rPr>
          <w:sz w:val="20"/>
          <w:szCs w:val="20"/>
          <w:color w:val="auto"/>
        </w:rPr>
      </w:pPr>
      <w:r>
        <w:rPr>
          <w:rFonts w:ascii="Arial" w:cs="Arial" w:eastAsia="Arial" w:hAnsi="Arial"/>
          <w:sz w:val="15"/>
          <w:szCs w:val="15"/>
          <w:color w:val="auto"/>
        </w:rPr>
        <w:t>LTIP units and Class O LTIP units are intended to offer executives substantially the same long-term incentive as shares of restricted stock and stock options, respectively, with more favorable U.S. federal income tax treatment available for “profits interests” under current federal income tax law. More specifically, one key disadvantage of restricted stock is that executives are generally taxed on the full market value of a grant at the time of vesting, even if they choose to hold the stock. Similarly, holders of non-qualified stock options are taxed upon exercise. Conversely, under current federal income tax law, an executive would generally not be subject to tax at the time of issuance or vesting of an LTIP unit or Class O LTIP unit or conversion into common units but only when he or she chooses to liquidate the common units into which his or her LTIP units or Class O LTIP units convert. Therefore, an executive who wishes to hold his or her equity awards for the long term can generally do so in a more tax-efficient manner with LTIP units or Class O LTIP units. In light of the increased tax efficiency, we have chosen to use LTIP units and Class O LTIP units for grants to our executives. We believe that the use of LTIP units and Class O LTIP units has (i) enhanced our equity-based compensation package overall, (ii) advanced the goal of promoting long-term equity ownership by executives, (iii) not adversely impacted dilution as compared to restricted stock, and (iv) further aligned the interests of our executives with the interests of our stockholders. We also believe that these benefits outweigh the loss of the U.S. federal income tax business-expense deduction from the utilization of LTIP units or Class O LTIP units, as compared to restricted stock or stock options.</w:t>
      </w:r>
    </w:p>
    <w:p>
      <w:pPr>
        <w:spacing w:after="0" w:line="179" w:lineRule="exact"/>
        <w:rPr>
          <w:sz w:val="20"/>
          <w:szCs w:val="20"/>
          <w:color w:val="auto"/>
        </w:rPr>
      </w:pPr>
    </w:p>
    <w:p>
      <w:pPr>
        <w:ind w:left="265" w:hanging="265"/>
        <w:spacing w:after="0"/>
        <w:tabs>
          <w:tab w:leader="none" w:pos="265" w:val="left"/>
        </w:tabs>
        <w:numPr>
          <w:ilvl w:val="0"/>
          <w:numId w:val="48"/>
        </w:numPr>
        <w:rPr>
          <w:rFonts w:ascii="Arial" w:cs="Arial" w:eastAsia="Arial" w:hAnsi="Arial"/>
          <w:sz w:val="15"/>
          <w:szCs w:val="15"/>
          <w:color w:val="325889"/>
        </w:rPr>
      </w:pPr>
      <w:r>
        <w:rPr>
          <w:rFonts w:ascii="Arial" w:cs="Arial" w:eastAsia="Arial" w:hAnsi="Arial"/>
          <w:sz w:val="15"/>
          <w:szCs w:val="15"/>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83450" cy="203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25"/>
          </w:cols>
          <w:pgMar w:left="235" w:top="528" w:right="239" w:bottom="1440" w:gutter="0" w:footer="0" w:header="0"/>
        </w:sectPr>
      </w:pPr>
    </w:p>
    <w:bookmarkStart w:id="40" w:name="page41"/>
    <w:bookmarkEnd w:id="40"/>
    <w:p>
      <w:pPr>
        <w:ind w:left="5"/>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325889"/>
        </w:rPr>
        <w:t>EXECUTIVE COMPENSATION</w:t>
      </w:r>
    </w:p>
    <w:p>
      <w:pPr>
        <w:spacing w:after="0" w:line="166"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726313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pacing w:after="0" w:line="215"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325889"/>
        </w:rPr>
        <w:t>Summary Compensation Table</w:t>
      </w:r>
    </w:p>
    <w:p>
      <w:pPr>
        <w:spacing w:after="0" w:line="212" w:lineRule="exact"/>
        <w:rPr>
          <w:sz w:val="20"/>
          <w:szCs w:val="20"/>
          <w:color w:val="auto"/>
        </w:rPr>
      </w:pPr>
    </w:p>
    <w:p>
      <w:pPr>
        <w:ind w:left="5" w:right="60"/>
        <w:spacing w:after="0" w:line="256" w:lineRule="auto"/>
        <w:rPr>
          <w:sz w:val="20"/>
          <w:szCs w:val="20"/>
          <w:color w:val="auto"/>
        </w:rPr>
      </w:pPr>
      <w:r>
        <w:rPr>
          <w:rFonts w:ascii="Arial" w:cs="Arial" w:eastAsia="Arial" w:hAnsi="Arial"/>
          <w:sz w:val="15"/>
          <w:szCs w:val="15"/>
          <w:color w:val="auto"/>
        </w:rPr>
        <w:t>The following table sets forth information regarding the compensation paid to the individuals who served as our Chief Executive Officer and Chief Financial Officer during our 2016 fiscal year and each of our three most highly compensated executive officers, other than our Chief Executive Officer and Chief Financial Officer, whose total compensation exceeded $100,000 during the fiscal year ended December 31, 2016, or collectively, the “named executive officers.”</w:t>
      </w:r>
    </w:p>
    <w:p>
      <w:pPr>
        <w:spacing w:after="0" w:line="147" w:lineRule="exact"/>
        <w:rPr>
          <w:sz w:val="20"/>
          <w:szCs w:val="20"/>
          <w:color w:val="auto"/>
        </w:rPr>
      </w:pPr>
    </w:p>
    <w:tbl>
      <w:tblPr>
        <w:tblLayout w:type="fixed"/>
        <w:tblInd w:w="5" w:type="dxa"/>
        <w:tblCellMar>
          <w:top w:w="0" w:type="dxa"/>
          <w:left w:w="0" w:type="dxa"/>
          <w:bottom w:w="0" w:type="dxa"/>
          <w:right w:w="0" w:type="dxa"/>
        </w:tblCellMar>
      </w:tblPr>
      <w:tr>
        <w:trPr>
          <w:trHeight w:val="138"/>
        </w:trPr>
        <w:tc>
          <w:tcPr>
            <w:tcW w:w="4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b w:val="1"/>
                <w:bCs w:val="1"/>
                <w:color w:val="325889"/>
              </w:rPr>
              <w:t>Non-Equity</w:t>
            </w: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325889"/>
              </w:rPr>
              <w:t>Stock Awards</w:t>
            </w:r>
            <w:r>
              <w:rPr>
                <w:rFonts w:ascii="Arial" w:cs="Arial" w:eastAsia="Arial" w:hAnsi="Arial"/>
                <w:sz w:val="19"/>
                <w:szCs w:val="19"/>
                <w:b w:val="1"/>
                <w:bCs w:val="1"/>
                <w:color w:val="325889"/>
                <w:vertAlign w:val="superscript"/>
              </w:rPr>
              <w:t>(1)</w:t>
            </w:r>
          </w:p>
        </w:tc>
        <w:tc>
          <w:tcPr>
            <w:tcW w:w="120" w:type="dxa"/>
            <w:vAlign w:val="bottom"/>
          </w:tcPr>
          <w:p>
            <w:pPr>
              <w:spacing w:after="0"/>
              <w:rPr>
                <w:sz w:val="11"/>
                <w:szCs w:val="11"/>
                <w:color w:val="auto"/>
              </w:rPr>
            </w:pP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325889"/>
              </w:rPr>
              <w:t>Option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80"/>
              <w:spacing w:after="0" w:line="131" w:lineRule="exact"/>
              <w:rPr>
                <w:sz w:val="20"/>
                <w:szCs w:val="20"/>
                <w:color w:val="auto"/>
              </w:rPr>
            </w:pPr>
            <w:r>
              <w:rPr>
                <w:rFonts w:ascii="Arial" w:cs="Arial" w:eastAsia="Arial" w:hAnsi="Arial"/>
                <w:sz w:val="12"/>
                <w:szCs w:val="12"/>
                <w:b w:val="1"/>
                <w:bCs w:val="1"/>
                <w:color w:val="325889"/>
              </w:rPr>
              <w:t>Incentive Plan</w:t>
            </w:r>
          </w:p>
        </w:tc>
        <w:tc>
          <w:tcPr>
            <w:tcW w:w="340" w:type="dxa"/>
            <w:vAlign w:val="bottom"/>
          </w:tcPr>
          <w:p>
            <w:pPr>
              <w:spacing w:after="0"/>
              <w:rPr>
                <w:sz w:val="11"/>
                <w:szCs w:val="11"/>
                <w:color w:val="auto"/>
              </w:rPr>
            </w:pP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325889"/>
              </w:rPr>
              <w:t>All Other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320" w:type="dxa"/>
            <w:vAlign w:val="bottom"/>
            <w:gridSpan w:val="2"/>
          </w:tcPr>
          <w:p>
            <w:pPr>
              <w:spacing w:after="0" w:line="122" w:lineRule="exact"/>
              <w:rPr>
                <w:sz w:val="20"/>
                <w:szCs w:val="20"/>
                <w:color w:val="auto"/>
              </w:rPr>
            </w:pPr>
            <w:r>
              <w:rPr>
                <w:rFonts w:ascii="Arial" w:cs="Arial" w:eastAsia="Arial" w:hAnsi="Arial"/>
                <w:sz w:val="12"/>
                <w:szCs w:val="12"/>
                <w:b w:val="1"/>
                <w:bCs w:val="1"/>
                <w:color w:val="auto"/>
              </w:rPr>
              <w:t>Name And Principal</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right"/>
              <w:ind w:right="80"/>
              <w:spacing w:after="0" w:line="122" w:lineRule="exact"/>
              <w:rPr>
                <w:sz w:val="20"/>
                <w:szCs w:val="20"/>
                <w:color w:val="auto"/>
              </w:rPr>
            </w:pPr>
            <w:r>
              <w:rPr>
                <w:rFonts w:ascii="Arial" w:cs="Arial" w:eastAsia="Arial" w:hAnsi="Arial"/>
                <w:sz w:val="12"/>
                <w:szCs w:val="12"/>
                <w:b w:val="1"/>
                <w:bCs w:val="1"/>
                <w:color w:val="325889"/>
              </w:rPr>
              <w:t>Salary</w:t>
            </w:r>
          </w:p>
        </w:tc>
        <w:tc>
          <w:tcPr>
            <w:tcW w:w="160" w:type="dxa"/>
            <w:vAlign w:val="bottom"/>
          </w:tcPr>
          <w:p>
            <w:pPr>
              <w:spacing w:after="0"/>
              <w:rPr>
                <w:sz w:val="10"/>
                <w:szCs w:val="10"/>
                <w:color w:val="auto"/>
              </w:rPr>
            </w:pPr>
          </w:p>
        </w:tc>
        <w:tc>
          <w:tcPr>
            <w:tcW w:w="660" w:type="dxa"/>
            <w:vAlign w:val="bottom"/>
            <w:gridSpan w:val="2"/>
          </w:tcPr>
          <w:p>
            <w:pPr>
              <w:ind w:left="260"/>
              <w:spacing w:after="0" w:line="122" w:lineRule="exact"/>
              <w:rPr>
                <w:sz w:val="20"/>
                <w:szCs w:val="20"/>
                <w:color w:val="auto"/>
              </w:rPr>
            </w:pPr>
            <w:r>
              <w:rPr>
                <w:rFonts w:ascii="Arial" w:cs="Arial" w:eastAsia="Arial" w:hAnsi="Arial"/>
                <w:sz w:val="12"/>
                <w:szCs w:val="12"/>
                <w:b w:val="1"/>
                <w:bCs w:val="1"/>
                <w:color w:val="325889"/>
              </w:rPr>
              <w:t>Bonus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80"/>
              <w:spacing w:after="0" w:line="122" w:lineRule="exact"/>
              <w:rPr>
                <w:sz w:val="20"/>
                <w:szCs w:val="20"/>
                <w:color w:val="auto"/>
              </w:rPr>
            </w:pPr>
            <w:r>
              <w:rPr>
                <w:rFonts w:ascii="Arial" w:cs="Arial" w:eastAsia="Arial" w:hAnsi="Arial"/>
                <w:sz w:val="12"/>
                <w:szCs w:val="12"/>
                <w:b w:val="1"/>
                <w:bCs w:val="1"/>
                <w:color w:val="325889"/>
                <w:w w:val="98"/>
              </w:rPr>
              <w:t>Compensation</w:t>
            </w:r>
          </w:p>
        </w:tc>
        <w:tc>
          <w:tcPr>
            <w:tcW w:w="3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4240" w:type="dxa"/>
            <w:vAlign w:val="bottom"/>
          </w:tcPr>
          <w:p>
            <w:pPr>
              <w:spacing w:after="0"/>
              <w:rPr>
                <w:sz w:val="20"/>
                <w:szCs w:val="20"/>
                <w:color w:val="auto"/>
              </w:rPr>
            </w:pPr>
            <w:r>
              <w:rPr>
                <w:rFonts w:ascii="Arial" w:cs="Arial" w:eastAsia="Arial" w:hAnsi="Arial"/>
                <w:sz w:val="12"/>
                <w:szCs w:val="12"/>
                <w:b w:val="1"/>
                <w:bCs w:val="1"/>
                <w:color w:val="auto"/>
              </w:rPr>
              <w:t>Position</w:t>
            </w:r>
          </w:p>
        </w:tc>
        <w:tc>
          <w:tcPr>
            <w:tcW w:w="80" w:type="dxa"/>
            <w:vAlign w:val="bottom"/>
          </w:tcPr>
          <w:p>
            <w:pPr>
              <w:spacing w:after="0"/>
              <w:rPr>
                <w:sz w:val="15"/>
                <w:szCs w:val="15"/>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325889"/>
              </w:rPr>
              <w:t>Year</w:t>
            </w:r>
          </w:p>
        </w:tc>
        <w:tc>
          <w:tcPr>
            <w:tcW w:w="12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325889"/>
              </w:rPr>
              <w:t>($)</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b w:val="1"/>
                <w:bCs w:val="1"/>
                <w:color w:val="325889"/>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b w:val="1"/>
                <w:bCs w:val="1"/>
                <w:color w:val="325889"/>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40"/>
              <w:spacing w:after="0" w:line="178" w:lineRule="exact"/>
              <w:rPr>
                <w:sz w:val="20"/>
                <w:szCs w:val="20"/>
                <w:color w:val="auto"/>
              </w:rPr>
            </w:pPr>
            <w:r>
              <w:rPr>
                <w:rFonts w:ascii="Arial" w:cs="Arial" w:eastAsia="Arial" w:hAnsi="Arial"/>
                <w:sz w:val="12"/>
                <w:szCs w:val="12"/>
                <w:b w:val="1"/>
                <w:bCs w:val="1"/>
                <w:color w:val="325889"/>
                <w:w w:val="98"/>
              </w:rPr>
              <w:t>Awards</w:t>
            </w:r>
            <w:r>
              <w:rPr>
                <w:rFonts w:ascii="Arial" w:cs="Arial" w:eastAsia="Arial" w:hAnsi="Arial"/>
                <w:sz w:val="19"/>
                <w:szCs w:val="19"/>
                <w:b w:val="1"/>
                <w:bCs w:val="1"/>
                <w:color w:val="325889"/>
                <w:w w:val="98"/>
                <w:vertAlign w:val="superscript"/>
              </w:rPr>
              <w:t>(2)</w:t>
            </w:r>
            <w:r>
              <w:rPr>
                <w:rFonts w:ascii="Arial" w:cs="Arial" w:eastAsia="Arial" w:hAnsi="Arial"/>
                <w:sz w:val="12"/>
                <w:szCs w:val="12"/>
                <w:b w:val="1"/>
                <w:bCs w:val="1"/>
                <w:color w:val="325889"/>
                <w:w w:val="98"/>
              </w:rPr>
              <w:t xml:space="preserve"> ($)</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b w:val="1"/>
                <w:bCs w:val="1"/>
                <w:color w:val="325889"/>
              </w:rPr>
              <w:t>($)</w:t>
            </w:r>
          </w:p>
        </w:tc>
        <w:tc>
          <w:tcPr>
            <w:tcW w:w="1200" w:type="dxa"/>
            <w:vAlign w:val="bottom"/>
            <w:gridSpan w:val="3"/>
          </w:tcPr>
          <w:p>
            <w:pPr>
              <w:spacing w:after="0" w:line="178" w:lineRule="exact"/>
              <w:rPr>
                <w:sz w:val="20"/>
                <w:szCs w:val="20"/>
                <w:color w:val="auto"/>
              </w:rPr>
            </w:pPr>
            <w:r>
              <w:rPr>
                <w:rFonts w:ascii="Arial" w:cs="Arial" w:eastAsia="Arial" w:hAnsi="Arial"/>
                <w:sz w:val="12"/>
                <w:szCs w:val="12"/>
                <w:b w:val="1"/>
                <w:bCs w:val="1"/>
                <w:color w:val="325889"/>
              </w:rPr>
              <w:t>Compensation</w:t>
            </w:r>
            <w:r>
              <w:rPr>
                <w:rFonts w:ascii="Arial" w:cs="Arial" w:eastAsia="Arial" w:hAnsi="Arial"/>
                <w:sz w:val="19"/>
                <w:szCs w:val="19"/>
                <w:b w:val="1"/>
                <w:bCs w:val="1"/>
                <w:color w:val="325889"/>
                <w:vertAlign w:val="superscript"/>
              </w:rPr>
              <w:t>(3)</w:t>
            </w:r>
            <w:r>
              <w:rPr>
                <w:rFonts w:ascii="Arial" w:cs="Arial" w:eastAsia="Arial" w:hAnsi="Arial"/>
                <w:sz w:val="12"/>
                <w:szCs w:val="12"/>
                <w:b w:val="1"/>
                <w:bCs w:val="1"/>
                <w:color w:val="325889"/>
              </w:rPr>
              <w:t xml:space="preserve"> ($)</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b w:val="1"/>
                <w:bCs w:val="1"/>
                <w:color w:val="325889"/>
              </w:rPr>
              <w:t>Total ($)</w:t>
            </w:r>
          </w:p>
        </w:tc>
        <w:tc>
          <w:tcPr>
            <w:tcW w:w="0" w:type="dxa"/>
            <w:vAlign w:val="bottom"/>
          </w:tcPr>
          <w:p>
            <w:pPr>
              <w:spacing w:after="0"/>
              <w:rPr>
                <w:sz w:val="1"/>
                <w:szCs w:val="1"/>
                <w:color w:val="auto"/>
              </w:rPr>
            </w:pPr>
          </w:p>
        </w:tc>
      </w:tr>
      <w:tr>
        <w:trPr>
          <w:trHeight w:val="194"/>
        </w:trPr>
        <w:tc>
          <w:tcPr>
            <w:tcW w:w="4240" w:type="dxa"/>
            <w:vAlign w:val="bottom"/>
            <w:tcBorders>
              <w:top w:val="single" w:sz="8" w:color="325889"/>
            </w:tcBorders>
          </w:tcPr>
          <w:p>
            <w:pPr>
              <w:spacing w:after="0"/>
              <w:rPr>
                <w:sz w:val="20"/>
                <w:szCs w:val="20"/>
                <w:color w:val="auto"/>
              </w:rPr>
            </w:pPr>
            <w:r>
              <w:rPr>
                <w:rFonts w:ascii="Arial" w:cs="Arial" w:eastAsia="Arial" w:hAnsi="Arial"/>
                <w:sz w:val="12"/>
                <w:szCs w:val="12"/>
                <w:color w:val="auto"/>
              </w:rPr>
              <w:t>Marc Holliday</w:t>
            </w:r>
          </w:p>
        </w:tc>
        <w:tc>
          <w:tcPr>
            <w:tcW w:w="80" w:type="dxa"/>
            <w:vAlign w:val="bottom"/>
          </w:tcPr>
          <w:p>
            <w:pPr>
              <w:spacing w:after="0"/>
              <w:rPr>
                <w:sz w:val="16"/>
                <w:szCs w:val="16"/>
                <w:color w:val="auto"/>
              </w:rPr>
            </w:pPr>
          </w:p>
        </w:tc>
        <w:tc>
          <w:tcPr>
            <w:tcW w:w="320" w:type="dxa"/>
            <w:vAlign w:val="bottom"/>
            <w:tcBorders>
              <w:top w:val="single" w:sz="8" w:color="325889"/>
              <w:bottom w:val="single" w:sz="8" w:color="CCD2DB"/>
            </w:tcBorders>
            <w:shd w:val="clear" w:color="auto" w:fill="CCD2DB"/>
          </w:tcPr>
          <w:p>
            <w:pPr>
              <w:jc w:val="right"/>
              <w:spacing w:after="0"/>
              <w:rPr>
                <w:sz w:val="20"/>
                <w:szCs w:val="20"/>
                <w:color w:val="auto"/>
              </w:rPr>
            </w:pPr>
            <w:r>
              <w:rPr>
                <w:rFonts w:ascii="Arial" w:cs="Arial" w:eastAsia="Arial" w:hAnsi="Arial"/>
                <w:sz w:val="12"/>
                <w:szCs w:val="12"/>
                <w:color w:val="auto"/>
                <w:highlight w:val="lightGray"/>
              </w:rPr>
              <w:t>2016</w:t>
            </w:r>
          </w:p>
        </w:tc>
        <w:tc>
          <w:tcPr>
            <w:tcW w:w="80" w:type="dxa"/>
            <w:vAlign w:val="bottom"/>
          </w:tcPr>
          <w:p>
            <w:pPr>
              <w:spacing w:after="0"/>
              <w:rPr>
                <w:sz w:val="16"/>
                <w:szCs w:val="16"/>
                <w:color w:val="auto"/>
              </w:rPr>
            </w:pPr>
          </w:p>
        </w:tc>
        <w:tc>
          <w:tcPr>
            <w:tcW w:w="120" w:type="dxa"/>
            <w:vAlign w:val="bottom"/>
            <w:tcBorders>
              <w:top w:val="single" w:sz="8" w:color="325889"/>
              <w:bottom w:val="single" w:sz="8" w:color="CCD2DB"/>
            </w:tcBorders>
            <w:shd w:val="clear" w:color="auto" w:fill="CCD2DB"/>
          </w:tcPr>
          <w:p>
            <w:pPr>
              <w:jc w:val="right"/>
              <w:spacing w:after="0"/>
              <w:rPr>
                <w:sz w:val="20"/>
                <w:szCs w:val="20"/>
                <w:color w:val="auto"/>
              </w:rPr>
            </w:pPr>
            <w:r>
              <w:rPr>
                <w:rFonts w:ascii="Arial" w:cs="Arial" w:eastAsia="Arial" w:hAnsi="Arial"/>
                <w:sz w:val="12"/>
                <w:szCs w:val="12"/>
                <w:color w:val="auto"/>
                <w:highlight w:val="lightGray"/>
                <w:w w:val="89"/>
              </w:rPr>
              <w:t>$</w:t>
            </w:r>
          </w:p>
        </w:tc>
        <w:tc>
          <w:tcPr>
            <w:tcW w:w="560" w:type="dxa"/>
            <w:vAlign w:val="bottom"/>
            <w:tcBorders>
              <w:top w:val="single" w:sz="8" w:color="325889"/>
              <w:bottom w:val="single" w:sz="8" w:color="CCD2DB"/>
            </w:tcBorders>
            <w:shd w:val="clear" w:color="auto" w:fill="CCD2DB"/>
          </w:tcPr>
          <w:p>
            <w:pPr>
              <w:jc w:val="right"/>
              <w:spacing w:after="0"/>
              <w:rPr>
                <w:sz w:val="20"/>
                <w:szCs w:val="20"/>
                <w:color w:val="auto"/>
              </w:rPr>
            </w:pPr>
            <w:r>
              <w:rPr>
                <w:rFonts w:ascii="Arial" w:cs="Arial" w:eastAsia="Arial" w:hAnsi="Arial"/>
                <w:sz w:val="12"/>
                <w:szCs w:val="12"/>
                <w:color w:val="auto"/>
                <w:highlight w:val="lightGray"/>
              </w:rPr>
              <w:t>1,350,000</w:t>
            </w:r>
          </w:p>
        </w:tc>
        <w:tc>
          <w:tcPr>
            <w:tcW w:w="80" w:type="dxa"/>
            <w:vAlign w:val="bottom"/>
          </w:tcPr>
          <w:p>
            <w:pPr>
              <w:spacing w:after="0"/>
              <w:rPr>
                <w:sz w:val="16"/>
                <w:szCs w:val="16"/>
                <w:color w:val="auto"/>
              </w:rPr>
            </w:pPr>
          </w:p>
        </w:tc>
        <w:tc>
          <w:tcPr>
            <w:tcW w:w="160" w:type="dxa"/>
            <w:vAlign w:val="bottom"/>
            <w:tcBorders>
              <w:top w:val="single" w:sz="8" w:color="325889"/>
              <w:bottom w:val="single" w:sz="8" w:color="CCD2DB"/>
            </w:tcBorders>
            <w:shd w:val="clear" w:color="auto" w:fill="CCD2DB"/>
          </w:tcPr>
          <w:p>
            <w:pPr>
              <w:spacing w:after="0"/>
              <w:rPr>
                <w:sz w:val="16"/>
                <w:szCs w:val="16"/>
                <w:color w:val="auto"/>
              </w:rPr>
            </w:pPr>
          </w:p>
        </w:tc>
        <w:tc>
          <w:tcPr>
            <w:tcW w:w="620" w:type="dxa"/>
            <w:vAlign w:val="bottom"/>
            <w:tcBorders>
              <w:top w:val="single" w:sz="8" w:color="325889"/>
              <w:bottom w:val="single" w:sz="8" w:color="CCD2DB"/>
            </w:tcBorders>
            <w:shd w:val="clear" w:color="auto" w:fill="CCD2DB"/>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325889"/>
              <w:bottom w:val="single" w:sz="8" w:color="CCD2DB"/>
            </w:tcBorders>
            <w:shd w:val="clear" w:color="auto" w:fill="CCD2DB"/>
          </w:tcPr>
          <w:p>
            <w:pPr>
              <w:jc w:val="right"/>
              <w:ind w:right="13"/>
              <w:spacing w:after="0"/>
              <w:rPr>
                <w:sz w:val="20"/>
                <w:szCs w:val="20"/>
                <w:color w:val="auto"/>
              </w:rPr>
            </w:pPr>
            <w:r>
              <w:rPr>
                <w:rFonts w:ascii="Arial" w:cs="Arial" w:eastAsia="Arial" w:hAnsi="Arial"/>
                <w:sz w:val="9"/>
                <w:szCs w:val="9"/>
                <w:color w:val="auto"/>
                <w:w w:val="78"/>
              </w:rPr>
              <w:t>$</w:t>
            </w:r>
          </w:p>
        </w:tc>
        <w:tc>
          <w:tcPr>
            <w:tcW w:w="940" w:type="dxa"/>
            <w:vAlign w:val="bottom"/>
            <w:tcBorders>
              <w:top w:val="single" w:sz="8" w:color="325889"/>
              <w:bottom w:val="single" w:sz="8" w:color="CCD2DB"/>
            </w:tcBorders>
            <w:shd w:val="clear" w:color="auto" w:fill="CCD2DB"/>
          </w:tcPr>
          <w:p>
            <w:pPr>
              <w:jc w:val="right"/>
              <w:spacing w:after="0"/>
              <w:rPr>
                <w:sz w:val="20"/>
                <w:szCs w:val="20"/>
                <w:color w:val="auto"/>
              </w:rPr>
            </w:pPr>
            <w:r>
              <w:rPr>
                <w:rFonts w:ascii="Arial" w:cs="Arial" w:eastAsia="Arial" w:hAnsi="Arial"/>
                <w:sz w:val="12"/>
                <w:szCs w:val="12"/>
                <w:color w:val="auto"/>
              </w:rPr>
              <w:t>11,285,597</w:t>
            </w:r>
          </w:p>
        </w:tc>
        <w:tc>
          <w:tcPr>
            <w:tcW w:w="80" w:type="dxa"/>
            <w:vAlign w:val="bottom"/>
          </w:tcPr>
          <w:p>
            <w:pPr>
              <w:spacing w:after="0"/>
              <w:rPr>
                <w:sz w:val="16"/>
                <w:szCs w:val="16"/>
                <w:color w:val="auto"/>
              </w:rPr>
            </w:pPr>
          </w:p>
        </w:tc>
        <w:tc>
          <w:tcPr>
            <w:tcW w:w="120" w:type="dxa"/>
            <w:vAlign w:val="bottom"/>
            <w:tcBorders>
              <w:top w:val="single" w:sz="8" w:color="325889"/>
              <w:bottom w:val="single" w:sz="8" w:color="CCD2DB"/>
            </w:tcBorders>
            <w:shd w:val="clear" w:color="auto" w:fill="CCD2DB"/>
          </w:tcPr>
          <w:p>
            <w:pPr>
              <w:jc w:val="right"/>
              <w:ind w:right="13"/>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325889"/>
              <w:bottom w:val="single" w:sz="8" w:color="CCD2DB"/>
            </w:tcBorders>
            <w:shd w:val="clear" w:color="auto" w:fill="CCD2DB"/>
          </w:tcPr>
          <w:p>
            <w:pPr>
              <w:jc w:val="right"/>
              <w:spacing w:after="0"/>
              <w:rPr>
                <w:sz w:val="20"/>
                <w:szCs w:val="20"/>
                <w:color w:val="auto"/>
              </w:rPr>
            </w:pPr>
            <w:r>
              <w:rPr>
                <w:rFonts w:ascii="Arial" w:cs="Arial" w:eastAsia="Arial" w:hAnsi="Arial"/>
                <w:sz w:val="12"/>
                <w:szCs w:val="12"/>
                <w:color w:val="auto"/>
              </w:rPr>
              <w:t>2,173,500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325889"/>
              <w:bottom w:val="single" w:sz="8" w:color="CCD2DB"/>
            </w:tcBorders>
            <w:shd w:val="clear" w:color="auto" w:fill="CCD2DB"/>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tcBorders>
              <w:top w:val="single" w:sz="8" w:color="325889"/>
              <w:bottom w:val="single" w:sz="8" w:color="CCD2DB"/>
            </w:tcBorders>
            <w:shd w:val="clear" w:color="auto" w:fill="CCD2DB"/>
          </w:tcPr>
          <w:p>
            <w:pPr>
              <w:jc w:val="right"/>
              <w:spacing w:after="0"/>
              <w:rPr>
                <w:sz w:val="20"/>
                <w:szCs w:val="20"/>
                <w:color w:val="auto"/>
              </w:rPr>
            </w:pPr>
            <w:r>
              <w:rPr>
                <w:rFonts w:ascii="Arial" w:cs="Arial" w:eastAsia="Arial" w:hAnsi="Arial"/>
                <w:sz w:val="12"/>
                <w:szCs w:val="12"/>
                <w:color w:val="auto"/>
              </w:rPr>
              <w:t>2,473,125</w:t>
            </w:r>
          </w:p>
        </w:tc>
        <w:tc>
          <w:tcPr>
            <w:tcW w:w="80" w:type="dxa"/>
            <w:vAlign w:val="bottom"/>
          </w:tcPr>
          <w:p>
            <w:pPr>
              <w:spacing w:after="0"/>
              <w:rPr>
                <w:sz w:val="16"/>
                <w:szCs w:val="16"/>
                <w:color w:val="auto"/>
              </w:rPr>
            </w:pPr>
          </w:p>
        </w:tc>
        <w:tc>
          <w:tcPr>
            <w:tcW w:w="340" w:type="dxa"/>
            <w:vAlign w:val="bottom"/>
            <w:tcBorders>
              <w:top w:val="single" w:sz="8" w:color="325889"/>
              <w:bottom w:val="single" w:sz="8" w:color="CCD2DB"/>
            </w:tcBorders>
            <w:shd w:val="clear" w:color="auto" w:fill="CCD2DB"/>
          </w:tcPr>
          <w:p>
            <w:pPr>
              <w:spacing w:after="0"/>
              <w:rPr>
                <w:sz w:val="20"/>
                <w:szCs w:val="20"/>
                <w:color w:val="auto"/>
              </w:rPr>
            </w:pPr>
            <w:r>
              <w:rPr>
                <w:rFonts w:ascii="Arial" w:cs="Arial" w:eastAsia="Arial" w:hAnsi="Arial"/>
                <w:sz w:val="12"/>
                <w:szCs w:val="12"/>
                <w:color w:val="auto"/>
              </w:rPr>
              <w:t>$</w:t>
            </w:r>
          </w:p>
        </w:tc>
        <w:tc>
          <w:tcPr>
            <w:tcW w:w="780" w:type="dxa"/>
            <w:vAlign w:val="bottom"/>
            <w:tcBorders>
              <w:top w:val="single" w:sz="8" w:color="325889"/>
              <w:bottom w:val="single" w:sz="8" w:color="CCD2DB"/>
            </w:tcBorders>
            <w:shd w:val="clear" w:color="auto" w:fill="CCD2DB"/>
          </w:tcPr>
          <w:p>
            <w:pPr>
              <w:jc w:val="right"/>
              <w:spacing w:after="0"/>
              <w:rPr>
                <w:sz w:val="20"/>
                <w:szCs w:val="20"/>
                <w:color w:val="auto"/>
              </w:rPr>
            </w:pPr>
            <w:r>
              <w:rPr>
                <w:rFonts w:ascii="Arial" w:cs="Arial" w:eastAsia="Arial" w:hAnsi="Arial"/>
                <w:sz w:val="12"/>
                <w:szCs w:val="12"/>
                <w:color w:val="auto"/>
              </w:rPr>
              <w:t>44,149</w:t>
            </w:r>
          </w:p>
        </w:tc>
        <w:tc>
          <w:tcPr>
            <w:tcW w:w="80" w:type="dxa"/>
            <w:vAlign w:val="bottom"/>
          </w:tcPr>
          <w:p>
            <w:pPr>
              <w:spacing w:after="0"/>
              <w:rPr>
                <w:sz w:val="16"/>
                <w:szCs w:val="16"/>
                <w:color w:val="auto"/>
              </w:rPr>
            </w:pPr>
          </w:p>
        </w:tc>
        <w:tc>
          <w:tcPr>
            <w:tcW w:w="120" w:type="dxa"/>
            <w:vAlign w:val="bottom"/>
            <w:tcBorders>
              <w:top w:val="single" w:sz="8" w:color="325889"/>
              <w:bottom w:val="single" w:sz="8" w:color="CCD2DB"/>
            </w:tcBorders>
            <w:shd w:val="clear" w:color="auto" w:fill="CCD2DB"/>
          </w:tcPr>
          <w:p>
            <w:pPr>
              <w:jc w:val="right"/>
              <w:spacing w:after="0"/>
              <w:rPr>
                <w:sz w:val="20"/>
                <w:szCs w:val="20"/>
                <w:color w:val="auto"/>
              </w:rPr>
            </w:pPr>
            <w:r>
              <w:rPr>
                <w:rFonts w:ascii="Arial" w:cs="Arial" w:eastAsia="Arial" w:hAnsi="Arial"/>
                <w:sz w:val="12"/>
                <w:szCs w:val="12"/>
                <w:color w:val="auto"/>
                <w:highlight w:val="lightGray"/>
                <w:w w:val="89"/>
              </w:rPr>
              <w:t>$</w:t>
            </w:r>
          </w:p>
        </w:tc>
        <w:tc>
          <w:tcPr>
            <w:tcW w:w="640" w:type="dxa"/>
            <w:vAlign w:val="bottom"/>
            <w:tcBorders>
              <w:top w:val="single" w:sz="8" w:color="325889"/>
              <w:bottom w:val="single" w:sz="8" w:color="CCD2DB"/>
            </w:tcBorders>
            <w:shd w:val="clear" w:color="auto" w:fill="CCD2DB"/>
          </w:tcPr>
          <w:p>
            <w:pPr>
              <w:jc w:val="right"/>
              <w:spacing w:after="0"/>
              <w:rPr>
                <w:sz w:val="20"/>
                <w:szCs w:val="20"/>
                <w:color w:val="auto"/>
              </w:rPr>
            </w:pPr>
            <w:r>
              <w:rPr>
                <w:rFonts w:ascii="Arial" w:cs="Arial" w:eastAsia="Arial" w:hAnsi="Arial"/>
                <w:sz w:val="12"/>
                <w:szCs w:val="12"/>
                <w:color w:val="auto"/>
                <w:highlight w:val="lightGray"/>
              </w:rPr>
              <w:t>17,326,371</w:t>
            </w:r>
          </w:p>
        </w:tc>
        <w:tc>
          <w:tcPr>
            <w:tcW w:w="0" w:type="dxa"/>
            <w:vAlign w:val="bottom"/>
          </w:tcPr>
          <w:p>
            <w:pPr>
              <w:spacing w:after="0"/>
              <w:rPr>
                <w:sz w:val="1"/>
                <w:szCs w:val="1"/>
                <w:color w:val="auto"/>
              </w:rPr>
            </w:pPr>
          </w:p>
        </w:tc>
      </w:tr>
      <w:tr>
        <w:trPr>
          <w:trHeight w:val="20"/>
        </w:trPr>
        <w:tc>
          <w:tcPr>
            <w:tcW w:w="4320" w:type="dxa"/>
            <w:vAlign w:val="bottom"/>
            <w:gridSpan w:val="2"/>
          </w:tcPr>
          <w:p>
            <w:pPr>
              <w:spacing w:after="0" w:line="20" w:lineRule="exact"/>
              <w:rPr>
                <w:sz w:val="1"/>
                <w:szCs w:val="1"/>
                <w:color w:val="auto"/>
              </w:rPr>
            </w:pPr>
          </w:p>
        </w:tc>
        <w:tc>
          <w:tcPr>
            <w:tcW w:w="32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56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94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84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640" w:type="dxa"/>
            <w:vAlign w:val="bottom"/>
            <w:shd w:val="clear" w:color="auto" w:fill="98A3B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320" w:type="dxa"/>
            <w:vAlign w:val="bottom"/>
            <w:gridSpan w:val="2"/>
          </w:tcPr>
          <w:p>
            <w:pPr>
              <w:spacing w:after="0"/>
              <w:rPr>
                <w:sz w:val="20"/>
                <w:szCs w:val="20"/>
                <w:color w:val="auto"/>
              </w:rPr>
            </w:pPr>
            <w:r>
              <w:rPr>
                <w:rFonts w:ascii="Arial" w:cs="Arial" w:eastAsia="Arial" w:hAnsi="Arial"/>
                <w:sz w:val="12"/>
                <w:szCs w:val="12"/>
                <w:color w:val="auto"/>
              </w:rPr>
              <w:t>Chief Executive</w:t>
            </w: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rPr>
              <w:t>2015</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1,050,000</w:t>
            </w:r>
          </w:p>
        </w:tc>
        <w:tc>
          <w:tcPr>
            <w:tcW w:w="160" w:type="dxa"/>
            <w:vAlign w:val="bottom"/>
          </w:tcPr>
          <w:p>
            <w:pPr>
              <w:jc w:val="right"/>
              <w:ind w:right="21"/>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787,500</w:t>
            </w:r>
          </w:p>
        </w:tc>
        <w:tc>
          <w:tcPr>
            <w:tcW w:w="40" w:type="dxa"/>
            <w:vAlign w:val="bottom"/>
          </w:tcPr>
          <w:p>
            <w:pPr>
              <w:spacing w:after="0"/>
              <w:rPr>
                <w:sz w:val="14"/>
                <w:szCs w:val="14"/>
                <w:color w:val="auto"/>
              </w:rPr>
            </w:pPr>
          </w:p>
        </w:tc>
        <w:tc>
          <w:tcPr>
            <w:tcW w:w="160" w:type="dxa"/>
            <w:vAlign w:val="bottom"/>
            <w:gridSpan w:val="2"/>
          </w:tcPr>
          <w:p>
            <w:pPr>
              <w:jc w:val="right"/>
              <w:ind w:right="13"/>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19,159,050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2,008,125</w:t>
            </w:r>
          </w:p>
        </w:tc>
        <w:tc>
          <w:tcPr>
            <w:tcW w:w="8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2"/>
                <w:szCs w:val="12"/>
                <w:color w:val="auto"/>
              </w:rPr>
              <w:t>43,074</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23,047,749</w:t>
            </w:r>
          </w:p>
        </w:tc>
        <w:tc>
          <w:tcPr>
            <w:tcW w:w="0" w:type="dxa"/>
            <w:vAlign w:val="bottom"/>
          </w:tcPr>
          <w:p>
            <w:pPr>
              <w:spacing w:after="0"/>
              <w:rPr>
                <w:sz w:val="1"/>
                <w:szCs w:val="1"/>
                <w:color w:val="auto"/>
              </w:rPr>
            </w:pPr>
          </w:p>
        </w:tc>
      </w:tr>
      <w:tr>
        <w:trPr>
          <w:trHeight w:val="37"/>
        </w:trPr>
        <w:tc>
          <w:tcPr>
            <w:tcW w:w="4320" w:type="dxa"/>
            <w:vAlign w:val="bottom"/>
            <w:gridSpan w:val="2"/>
          </w:tcPr>
          <w:p>
            <w:pPr>
              <w:spacing w:after="0"/>
              <w:rPr>
                <w:sz w:val="3"/>
                <w:szCs w:val="3"/>
                <w:color w:val="auto"/>
              </w:rPr>
            </w:pPr>
          </w:p>
        </w:tc>
        <w:tc>
          <w:tcPr>
            <w:tcW w:w="320" w:type="dxa"/>
            <w:vAlign w:val="bottom"/>
            <w:tcBorders>
              <w:bottom w:val="single" w:sz="8" w:color="98A3B8"/>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98A3B8"/>
            </w:tcBorders>
          </w:tcPr>
          <w:p>
            <w:pPr>
              <w:spacing w:after="0"/>
              <w:rPr>
                <w:sz w:val="3"/>
                <w:szCs w:val="3"/>
                <w:color w:val="auto"/>
              </w:rPr>
            </w:pPr>
          </w:p>
        </w:tc>
        <w:tc>
          <w:tcPr>
            <w:tcW w:w="560" w:type="dxa"/>
            <w:vAlign w:val="bottom"/>
            <w:tcBorders>
              <w:bottom w:val="single" w:sz="8" w:color="98A3B8"/>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98A3B8"/>
            </w:tcBorders>
          </w:tcPr>
          <w:p>
            <w:pPr>
              <w:spacing w:after="0"/>
              <w:rPr>
                <w:sz w:val="3"/>
                <w:szCs w:val="3"/>
                <w:color w:val="auto"/>
              </w:rPr>
            </w:pPr>
          </w:p>
        </w:tc>
        <w:tc>
          <w:tcPr>
            <w:tcW w:w="620" w:type="dxa"/>
            <w:vAlign w:val="bottom"/>
            <w:tcBorders>
              <w:bottom w:val="single" w:sz="8" w:color="98A3B8"/>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Borders>
              <w:bottom w:val="single" w:sz="8" w:color="98A3B8"/>
            </w:tcBorders>
          </w:tcPr>
          <w:p>
            <w:pPr>
              <w:spacing w:after="0"/>
              <w:rPr>
                <w:sz w:val="3"/>
                <w:szCs w:val="3"/>
                <w:color w:val="auto"/>
              </w:rPr>
            </w:pPr>
          </w:p>
        </w:tc>
        <w:tc>
          <w:tcPr>
            <w:tcW w:w="940" w:type="dxa"/>
            <w:vAlign w:val="bottom"/>
            <w:tcBorders>
              <w:bottom w:val="single" w:sz="8" w:color="98A3B8"/>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98A3B8"/>
            </w:tcBorders>
          </w:tcPr>
          <w:p>
            <w:pPr>
              <w:spacing w:after="0"/>
              <w:rPr>
                <w:sz w:val="3"/>
                <w:szCs w:val="3"/>
                <w:color w:val="auto"/>
              </w:rPr>
            </w:pPr>
          </w:p>
        </w:tc>
        <w:tc>
          <w:tcPr>
            <w:tcW w:w="780" w:type="dxa"/>
            <w:vAlign w:val="bottom"/>
            <w:tcBorders>
              <w:bottom w:val="single" w:sz="8" w:color="98A3B8"/>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Borders>
              <w:bottom w:val="single" w:sz="8" w:color="98A3B8"/>
            </w:tcBorders>
          </w:tcPr>
          <w:p>
            <w:pPr>
              <w:spacing w:after="0"/>
              <w:rPr>
                <w:sz w:val="3"/>
                <w:szCs w:val="3"/>
                <w:color w:val="auto"/>
              </w:rPr>
            </w:pPr>
          </w:p>
        </w:tc>
        <w:tc>
          <w:tcPr>
            <w:tcW w:w="840" w:type="dxa"/>
            <w:vAlign w:val="bottom"/>
            <w:tcBorders>
              <w:bottom w:val="single" w:sz="8" w:color="98A3B8"/>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98A3B8"/>
            </w:tcBorders>
          </w:tcPr>
          <w:p>
            <w:pPr>
              <w:spacing w:after="0"/>
              <w:rPr>
                <w:sz w:val="3"/>
                <w:szCs w:val="3"/>
                <w:color w:val="auto"/>
              </w:rPr>
            </w:pPr>
          </w:p>
        </w:tc>
        <w:tc>
          <w:tcPr>
            <w:tcW w:w="780" w:type="dxa"/>
            <w:vAlign w:val="bottom"/>
            <w:tcBorders>
              <w:bottom w:val="single" w:sz="8" w:color="98A3B8"/>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98A3B8"/>
            </w:tcBorders>
          </w:tcPr>
          <w:p>
            <w:pPr>
              <w:spacing w:after="0"/>
              <w:rPr>
                <w:sz w:val="3"/>
                <w:szCs w:val="3"/>
                <w:color w:val="auto"/>
              </w:rPr>
            </w:pPr>
          </w:p>
        </w:tc>
        <w:tc>
          <w:tcPr>
            <w:tcW w:w="640" w:type="dxa"/>
            <w:vAlign w:val="bottom"/>
            <w:tcBorders>
              <w:bottom w:val="single" w:sz="8" w:color="98A3B8"/>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4320" w:type="dxa"/>
            <w:vAlign w:val="bottom"/>
            <w:gridSpan w:val="2"/>
          </w:tcPr>
          <w:p>
            <w:pPr>
              <w:spacing w:after="0"/>
              <w:rPr>
                <w:sz w:val="20"/>
                <w:szCs w:val="20"/>
                <w:color w:val="auto"/>
              </w:rPr>
            </w:pPr>
            <w:r>
              <w:rPr>
                <w:rFonts w:ascii="Arial" w:cs="Arial" w:eastAsia="Arial" w:hAnsi="Arial"/>
                <w:sz w:val="12"/>
                <w:szCs w:val="12"/>
                <w:color w:val="auto"/>
              </w:rPr>
              <w:t>Officer</w:t>
            </w: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rPr>
              <w:t>2014</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1,050,000</w:t>
            </w:r>
          </w:p>
        </w:tc>
        <w:tc>
          <w:tcPr>
            <w:tcW w:w="16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60" w:type="dxa"/>
            <w:vAlign w:val="bottom"/>
            <w:gridSpan w:val="2"/>
          </w:tcPr>
          <w:p>
            <w:pPr>
              <w:jc w:val="right"/>
              <w:ind w:right="13"/>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14,160,346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1,102,500</w:t>
            </w:r>
          </w:p>
        </w:tc>
        <w:tc>
          <w:tcPr>
            <w:tcW w:w="8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2"/>
                <w:szCs w:val="12"/>
                <w:color w:val="auto"/>
              </w:rPr>
              <w:t>41,215</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16,354,061</w:t>
            </w:r>
          </w:p>
        </w:tc>
        <w:tc>
          <w:tcPr>
            <w:tcW w:w="0" w:type="dxa"/>
            <w:vAlign w:val="bottom"/>
          </w:tcPr>
          <w:p>
            <w:pPr>
              <w:spacing w:after="0"/>
              <w:rPr>
                <w:sz w:val="1"/>
                <w:szCs w:val="1"/>
                <w:color w:val="auto"/>
              </w:rPr>
            </w:pPr>
          </w:p>
        </w:tc>
      </w:tr>
      <w:tr>
        <w:trPr>
          <w:trHeight w:val="37"/>
        </w:trPr>
        <w:tc>
          <w:tcPr>
            <w:tcW w:w="4240" w:type="dxa"/>
            <w:vAlign w:val="bottom"/>
            <w:tcBorders>
              <w:bottom w:val="single" w:sz="8" w:color="98A3B8"/>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98A3B8"/>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98A3B8"/>
            </w:tcBorders>
          </w:tcPr>
          <w:p>
            <w:pPr>
              <w:spacing w:after="0"/>
              <w:rPr>
                <w:sz w:val="3"/>
                <w:szCs w:val="3"/>
                <w:color w:val="auto"/>
              </w:rPr>
            </w:pPr>
          </w:p>
        </w:tc>
        <w:tc>
          <w:tcPr>
            <w:tcW w:w="560" w:type="dxa"/>
            <w:vAlign w:val="bottom"/>
            <w:tcBorders>
              <w:bottom w:val="single" w:sz="8" w:color="98A3B8"/>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98A3B8"/>
            </w:tcBorders>
          </w:tcPr>
          <w:p>
            <w:pPr>
              <w:spacing w:after="0"/>
              <w:rPr>
                <w:sz w:val="3"/>
                <w:szCs w:val="3"/>
                <w:color w:val="auto"/>
              </w:rPr>
            </w:pPr>
          </w:p>
        </w:tc>
        <w:tc>
          <w:tcPr>
            <w:tcW w:w="620" w:type="dxa"/>
            <w:vAlign w:val="bottom"/>
            <w:tcBorders>
              <w:bottom w:val="single" w:sz="8" w:color="98A3B8"/>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Borders>
              <w:bottom w:val="single" w:sz="8" w:color="98A3B8"/>
            </w:tcBorders>
          </w:tcPr>
          <w:p>
            <w:pPr>
              <w:spacing w:after="0"/>
              <w:rPr>
                <w:sz w:val="3"/>
                <w:szCs w:val="3"/>
                <w:color w:val="auto"/>
              </w:rPr>
            </w:pPr>
          </w:p>
        </w:tc>
        <w:tc>
          <w:tcPr>
            <w:tcW w:w="940" w:type="dxa"/>
            <w:vAlign w:val="bottom"/>
            <w:tcBorders>
              <w:bottom w:val="single" w:sz="8" w:color="98A3B8"/>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98A3B8"/>
            </w:tcBorders>
          </w:tcPr>
          <w:p>
            <w:pPr>
              <w:spacing w:after="0"/>
              <w:rPr>
                <w:sz w:val="3"/>
                <w:szCs w:val="3"/>
                <w:color w:val="auto"/>
              </w:rPr>
            </w:pPr>
          </w:p>
        </w:tc>
        <w:tc>
          <w:tcPr>
            <w:tcW w:w="780" w:type="dxa"/>
            <w:vAlign w:val="bottom"/>
            <w:tcBorders>
              <w:bottom w:val="single" w:sz="8" w:color="98A3B8"/>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Borders>
              <w:bottom w:val="single" w:sz="8" w:color="98A3B8"/>
            </w:tcBorders>
          </w:tcPr>
          <w:p>
            <w:pPr>
              <w:spacing w:after="0"/>
              <w:rPr>
                <w:sz w:val="3"/>
                <w:szCs w:val="3"/>
                <w:color w:val="auto"/>
              </w:rPr>
            </w:pPr>
          </w:p>
        </w:tc>
        <w:tc>
          <w:tcPr>
            <w:tcW w:w="840" w:type="dxa"/>
            <w:vAlign w:val="bottom"/>
            <w:tcBorders>
              <w:bottom w:val="single" w:sz="8" w:color="98A3B8"/>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98A3B8"/>
            </w:tcBorders>
          </w:tcPr>
          <w:p>
            <w:pPr>
              <w:spacing w:after="0"/>
              <w:rPr>
                <w:sz w:val="3"/>
                <w:szCs w:val="3"/>
                <w:color w:val="auto"/>
              </w:rPr>
            </w:pPr>
          </w:p>
        </w:tc>
        <w:tc>
          <w:tcPr>
            <w:tcW w:w="780" w:type="dxa"/>
            <w:vAlign w:val="bottom"/>
            <w:tcBorders>
              <w:bottom w:val="single" w:sz="8" w:color="98A3B8"/>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98A3B8"/>
            </w:tcBorders>
          </w:tcPr>
          <w:p>
            <w:pPr>
              <w:spacing w:after="0"/>
              <w:rPr>
                <w:sz w:val="3"/>
                <w:szCs w:val="3"/>
                <w:color w:val="auto"/>
              </w:rPr>
            </w:pPr>
          </w:p>
        </w:tc>
        <w:tc>
          <w:tcPr>
            <w:tcW w:w="640" w:type="dxa"/>
            <w:vAlign w:val="bottom"/>
            <w:tcBorders>
              <w:bottom w:val="single" w:sz="8" w:color="98A3B8"/>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4320" w:type="dxa"/>
            <w:vAlign w:val="bottom"/>
            <w:gridSpan w:val="2"/>
          </w:tcPr>
          <w:p>
            <w:pPr>
              <w:spacing w:after="0"/>
              <w:rPr>
                <w:sz w:val="20"/>
                <w:szCs w:val="20"/>
                <w:color w:val="auto"/>
              </w:rPr>
            </w:pPr>
            <w:r>
              <w:rPr>
                <w:rFonts w:ascii="Arial" w:cs="Arial" w:eastAsia="Arial" w:hAnsi="Arial"/>
                <w:sz w:val="12"/>
                <w:szCs w:val="12"/>
                <w:color w:val="auto"/>
              </w:rPr>
              <w:t>Stephen L. Green</w:t>
            </w:r>
          </w:p>
        </w:tc>
        <w:tc>
          <w:tcPr>
            <w:tcW w:w="320" w:type="dxa"/>
            <w:vAlign w:val="bottom"/>
            <w:tcBorders>
              <w:bottom w:val="single" w:sz="8" w:color="CCD2DB"/>
            </w:tcBorders>
            <w:shd w:val="clear" w:color="auto" w:fill="CCD2DB"/>
          </w:tcPr>
          <w:p>
            <w:pPr>
              <w:jc w:val="right"/>
              <w:spacing w:after="0"/>
              <w:rPr>
                <w:sz w:val="20"/>
                <w:szCs w:val="20"/>
                <w:color w:val="auto"/>
              </w:rPr>
            </w:pPr>
            <w:r>
              <w:rPr>
                <w:rFonts w:ascii="Arial" w:cs="Arial" w:eastAsia="Arial" w:hAnsi="Arial"/>
                <w:sz w:val="12"/>
                <w:szCs w:val="12"/>
                <w:color w:val="auto"/>
              </w:rPr>
              <w:t>2016</w:t>
            </w:r>
          </w:p>
        </w:tc>
        <w:tc>
          <w:tcPr>
            <w:tcW w:w="80" w:type="dxa"/>
            <w:vAlign w:val="bottom"/>
          </w:tcPr>
          <w:p>
            <w:pPr>
              <w:spacing w:after="0"/>
              <w:rPr>
                <w:sz w:val="16"/>
                <w:szCs w:val="16"/>
                <w:color w:val="auto"/>
              </w:rPr>
            </w:pPr>
          </w:p>
        </w:tc>
        <w:tc>
          <w:tcPr>
            <w:tcW w:w="120" w:type="dxa"/>
            <w:vAlign w:val="bottom"/>
            <w:tcBorders>
              <w:bottom w:val="single" w:sz="8" w:color="CCD2DB"/>
            </w:tcBorders>
            <w:shd w:val="clear" w:color="auto" w:fill="CCD2DB"/>
          </w:tcPr>
          <w:p>
            <w:pPr>
              <w:jc w:val="right"/>
              <w:spacing w:after="0"/>
              <w:rPr>
                <w:sz w:val="20"/>
                <w:szCs w:val="20"/>
                <w:color w:val="auto"/>
              </w:rPr>
            </w:pPr>
            <w:r>
              <w:rPr>
                <w:rFonts w:ascii="Arial" w:cs="Arial" w:eastAsia="Arial" w:hAnsi="Arial"/>
                <w:sz w:val="12"/>
                <w:szCs w:val="12"/>
                <w:color w:val="auto"/>
                <w:highlight w:val="lightGray"/>
                <w:w w:val="89"/>
              </w:rPr>
              <w:t>$</w:t>
            </w:r>
          </w:p>
        </w:tc>
        <w:tc>
          <w:tcPr>
            <w:tcW w:w="560" w:type="dxa"/>
            <w:vAlign w:val="bottom"/>
            <w:tcBorders>
              <w:bottom w:val="single" w:sz="8" w:color="CCD2DB"/>
            </w:tcBorders>
            <w:shd w:val="clear" w:color="auto" w:fill="CCD2DB"/>
          </w:tcPr>
          <w:p>
            <w:pPr>
              <w:jc w:val="right"/>
              <w:spacing w:after="0"/>
              <w:rPr>
                <w:sz w:val="20"/>
                <w:szCs w:val="20"/>
                <w:color w:val="auto"/>
              </w:rPr>
            </w:pPr>
            <w:r>
              <w:rPr>
                <w:rFonts w:ascii="Arial" w:cs="Arial" w:eastAsia="Arial" w:hAnsi="Arial"/>
                <w:sz w:val="12"/>
                <w:szCs w:val="12"/>
                <w:color w:val="auto"/>
                <w:highlight w:val="lightGray"/>
              </w:rPr>
              <w:t>750,000</w:t>
            </w:r>
          </w:p>
        </w:tc>
        <w:tc>
          <w:tcPr>
            <w:tcW w:w="80" w:type="dxa"/>
            <w:vAlign w:val="bottom"/>
          </w:tcPr>
          <w:p>
            <w:pPr>
              <w:spacing w:after="0"/>
              <w:rPr>
                <w:sz w:val="16"/>
                <w:szCs w:val="16"/>
                <w:color w:val="auto"/>
              </w:rPr>
            </w:pPr>
          </w:p>
        </w:tc>
        <w:tc>
          <w:tcPr>
            <w:tcW w:w="160" w:type="dxa"/>
            <w:vAlign w:val="bottom"/>
            <w:tcBorders>
              <w:bottom w:val="single" w:sz="8" w:color="CCD2DB"/>
            </w:tcBorders>
            <w:shd w:val="clear" w:color="auto" w:fill="CCD2DB"/>
          </w:tcPr>
          <w:p>
            <w:pPr>
              <w:spacing w:after="0"/>
              <w:rPr>
                <w:sz w:val="16"/>
                <w:szCs w:val="16"/>
                <w:color w:val="auto"/>
              </w:rPr>
            </w:pPr>
          </w:p>
        </w:tc>
        <w:tc>
          <w:tcPr>
            <w:tcW w:w="620" w:type="dxa"/>
            <w:vAlign w:val="bottom"/>
            <w:tcBorders>
              <w:bottom w:val="single" w:sz="8" w:color="CCD2DB"/>
            </w:tcBorders>
            <w:shd w:val="clear" w:color="auto" w:fill="CCD2DB"/>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CCD2DB"/>
            </w:tcBorders>
            <w:shd w:val="clear" w:color="auto" w:fill="CCD2DB"/>
          </w:tcPr>
          <w:p>
            <w:pPr>
              <w:jc w:val="right"/>
              <w:ind w:right="13"/>
              <w:spacing w:after="0"/>
              <w:rPr>
                <w:sz w:val="20"/>
                <w:szCs w:val="20"/>
                <w:color w:val="auto"/>
              </w:rPr>
            </w:pPr>
            <w:r>
              <w:rPr>
                <w:rFonts w:ascii="Arial" w:cs="Arial" w:eastAsia="Arial" w:hAnsi="Arial"/>
                <w:sz w:val="9"/>
                <w:szCs w:val="9"/>
                <w:color w:val="auto"/>
                <w:w w:val="78"/>
              </w:rPr>
              <w:t>$</w:t>
            </w:r>
          </w:p>
        </w:tc>
        <w:tc>
          <w:tcPr>
            <w:tcW w:w="940" w:type="dxa"/>
            <w:vAlign w:val="bottom"/>
            <w:tcBorders>
              <w:bottom w:val="single" w:sz="8" w:color="CCD2DB"/>
            </w:tcBorders>
            <w:shd w:val="clear" w:color="auto" w:fill="CCD2DB"/>
          </w:tcPr>
          <w:p>
            <w:pPr>
              <w:jc w:val="right"/>
              <w:spacing w:after="0"/>
              <w:rPr>
                <w:sz w:val="20"/>
                <w:szCs w:val="20"/>
                <w:color w:val="auto"/>
              </w:rPr>
            </w:pPr>
            <w:r>
              <w:rPr>
                <w:rFonts w:ascii="Arial" w:cs="Arial" w:eastAsia="Arial" w:hAnsi="Arial"/>
                <w:sz w:val="12"/>
                <w:szCs w:val="12"/>
                <w:color w:val="auto"/>
              </w:rPr>
              <w:t>1,933,688</w:t>
            </w:r>
          </w:p>
        </w:tc>
        <w:tc>
          <w:tcPr>
            <w:tcW w:w="80" w:type="dxa"/>
            <w:vAlign w:val="bottom"/>
          </w:tcPr>
          <w:p>
            <w:pPr>
              <w:spacing w:after="0"/>
              <w:rPr>
                <w:sz w:val="16"/>
                <w:szCs w:val="16"/>
                <w:color w:val="auto"/>
              </w:rPr>
            </w:pPr>
          </w:p>
        </w:tc>
        <w:tc>
          <w:tcPr>
            <w:tcW w:w="120" w:type="dxa"/>
            <w:vAlign w:val="bottom"/>
            <w:tcBorders>
              <w:bottom w:val="single" w:sz="8" w:color="CCD2DB"/>
            </w:tcBorders>
            <w:shd w:val="clear" w:color="auto" w:fill="CCD2DB"/>
          </w:tcPr>
          <w:p>
            <w:pPr>
              <w:spacing w:after="0"/>
              <w:rPr>
                <w:sz w:val="16"/>
                <w:szCs w:val="16"/>
                <w:color w:val="auto"/>
              </w:rPr>
            </w:pPr>
          </w:p>
        </w:tc>
        <w:tc>
          <w:tcPr>
            <w:tcW w:w="780" w:type="dxa"/>
            <w:vAlign w:val="bottom"/>
            <w:tcBorders>
              <w:bottom w:val="single" w:sz="8" w:color="CCD2DB"/>
            </w:tcBorders>
            <w:shd w:val="clear" w:color="auto" w:fill="CCD2DB"/>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CCD2DB"/>
            </w:tcBorders>
            <w:shd w:val="clear" w:color="auto" w:fill="CCD2DB"/>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tcBorders>
              <w:bottom w:val="single" w:sz="8" w:color="CCD2DB"/>
            </w:tcBorders>
            <w:shd w:val="clear" w:color="auto" w:fill="CCD2DB"/>
          </w:tcPr>
          <w:p>
            <w:pPr>
              <w:jc w:val="right"/>
              <w:spacing w:after="0"/>
              <w:rPr>
                <w:sz w:val="20"/>
                <w:szCs w:val="20"/>
                <w:color w:val="auto"/>
              </w:rPr>
            </w:pPr>
            <w:r>
              <w:rPr>
                <w:rFonts w:ascii="Arial" w:cs="Arial" w:eastAsia="Arial" w:hAnsi="Arial"/>
                <w:sz w:val="12"/>
                <w:szCs w:val="12"/>
                <w:color w:val="auto"/>
              </w:rPr>
              <w:t>1,161,718</w:t>
            </w:r>
          </w:p>
        </w:tc>
        <w:tc>
          <w:tcPr>
            <w:tcW w:w="80" w:type="dxa"/>
            <w:vAlign w:val="bottom"/>
          </w:tcPr>
          <w:p>
            <w:pPr>
              <w:spacing w:after="0"/>
              <w:rPr>
                <w:sz w:val="16"/>
                <w:szCs w:val="16"/>
                <w:color w:val="auto"/>
              </w:rPr>
            </w:pPr>
          </w:p>
        </w:tc>
        <w:tc>
          <w:tcPr>
            <w:tcW w:w="340" w:type="dxa"/>
            <w:vAlign w:val="bottom"/>
            <w:tcBorders>
              <w:bottom w:val="single" w:sz="8" w:color="CCD2DB"/>
            </w:tcBorders>
            <w:shd w:val="clear" w:color="auto" w:fill="CCD2DB"/>
          </w:tcPr>
          <w:p>
            <w:pPr>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CCD2DB"/>
            </w:tcBorders>
            <w:shd w:val="clear" w:color="auto" w:fill="CCD2DB"/>
          </w:tcPr>
          <w:p>
            <w:pPr>
              <w:jc w:val="right"/>
              <w:spacing w:after="0"/>
              <w:rPr>
                <w:sz w:val="20"/>
                <w:szCs w:val="20"/>
                <w:color w:val="auto"/>
              </w:rPr>
            </w:pPr>
            <w:r>
              <w:rPr>
                <w:rFonts w:ascii="Arial" w:cs="Arial" w:eastAsia="Arial" w:hAnsi="Arial"/>
                <w:sz w:val="12"/>
                <w:szCs w:val="12"/>
                <w:color w:val="auto"/>
              </w:rPr>
              <w:t>179,800</w:t>
            </w:r>
          </w:p>
        </w:tc>
        <w:tc>
          <w:tcPr>
            <w:tcW w:w="80" w:type="dxa"/>
            <w:vAlign w:val="bottom"/>
          </w:tcPr>
          <w:p>
            <w:pPr>
              <w:spacing w:after="0"/>
              <w:rPr>
                <w:sz w:val="16"/>
                <w:szCs w:val="16"/>
                <w:color w:val="auto"/>
              </w:rPr>
            </w:pPr>
          </w:p>
        </w:tc>
        <w:tc>
          <w:tcPr>
            <w:tcW w:w="120" w:type="dxa"/>
            <w:vAlign w:val="bottom"/>
            <w:tcBorders>
              <w:bottom w:val="single" w:sz="8" w:color="CCD2DB"/>
            </w:tcBorders>
            <w:shd w:val="clear" w:color="auto" w:fill="CCD2DB"/>
          </w:tcPr>
          <w:p>
            <w:pPr>
              <w:jc w:val="right"/>
              <w:spacing w:after="0"/>
              <w:rPr>
                <w:sz w:val="20"/>
                <w:szCs w:val="20"/>
                <w:color w:val="auto"/>
              </w:rPr>
            </w:pPr>
            <w:r>
              <w:rPr>
                <w:rFonts w:ascii="Arial" w:cs="Arial" w:eastAsia="Arial" w:hAnsi="Arial"/>
                <w:sz w:val="12"/>
                <w:szCs w:val="12"/>
                <w:color w:val="auto"/>
                <w:highlight w:val="lightGray"/>
                <w:w w:val="89"/>
              </w:rPr>
              <w:t>$</w:t>
            </w:r>
          </w:p>
        </w:tc>
        <w:tc>
          <w:tcPr>
            <w:tcW w:w="640" w:type="dxa"/>
            <w:vAlign w:val="bottom"/>
            <w:tcBorders>
              <w:bottom w:val="single" w:sz="8" w:color="CCD2DB"/>
            </w:tcBorders>
            <w:shd w:val="clear" w:color="auto" w:fill="CCD2DB"/>
          </w:tcPr>
          <w:p>
            <w:pPr>
              <w:jc w:val="right"/>
              <w:spacing w:after="0"/>
              <w:rPr>
                <w:sz w:val="20"/>
                <w:szCs w:val="20"/>
                <w:color w:val="auto"/>
              </w:rPr>
            </w:pPr>
            <w:r>
              <w:rPr>
                <w:rFonts w:ascii="Arial" w:cs="Arial" w:eastAsia="Arial" w:hAnsi="Arial"/>
                <w:sz w:val="12"/>
                <w:szCs w:val="12"/>
                <w:color w:val="auto"/>
                <w:highlight w:val="lightGray"/>
              </w:rPr>
              <w:t>4,025,206</w:t>
            </w:r>
          </w:p>
        </w:tc>
        <w:tc>
          <w:tcPr>
            <w:tcW w:w="0" w:type="dxa"/>
            <w:vAlign w:val="bottom"/>
          </w:tcPr>
          <w:p>
            <w:pPr>
              <w:spacing w:after="0"/>
              <w:rPr>
                <w:sz w:val="1"/>
                <w:szCs w:val="1"/>
                <w:color w:val="auto"/>
              </w:rPr>
            </w:pPr>
          </w:p>
        </w:tc>
      </w:tr>
      <w:tr>
        <w:trPr>
          <w:trHeight w:val="20"/>
        </w:trPr>
        <w:tc>
          <w:tcPr>
            <w:tcW w:w="4320" w:type="dxa"/>
            <w:vAlign w:val="bottom"/>
            <w:gridSpan w:val="2"/>
          </w:tcPr>
          <w:p>
            <w:pPr>
              <w:spacing w:after="0" w:line="20" w:lineRule="exact"/>
              <w:rPr>
                <w:sz w:val="1"/>
                <w:szCs w:val="1"/>
                <w:color w:val="auto"/>
              </w:rPr>
            </w:pPr>
          </w:p>
        </w:tc>
        <w:tc>
          <w:tcPr>
            <w:tcW w:w="32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56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94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84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640" w:type="dxa"/>
            <w:vAlign w:val="bottom"/>
            <w:shd w:val="clear" w:color="auto" w:fill="98A3B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320" w:type="dxa"/>
            <w:vAlign w:val="bottom"/>
            <w:gridSpan w:val="2"/>
          </w:tcPr>
          <w:p>
            <w:pPr>
              <w:spacing w:after="0"/>
              <w:rPr>
                <w:sz w:val="20"/>
                <w:szCs w:val="20"/>
                <w:color w:val="auto"/>
              </w:rPr>
            </w:pPr>
            <w:r>
              <w:rPr>
                <w:rFonts w:ascii="Arial" w:cs="Arial" w:eastAsia="Arial" w:hAnsi="Arial"/>
                <w:sz w:val="12"/>
                <w:szCs w:val="12"/>
                <w:color w:val="auto"/>
              </w:rPr>
              <w:t>Chairman of the</w:t>
            </w: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rPr>
              <w:t>2015</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750,000</w:t>
            </w:r>
          </w:p>
        </w:tc>
        <w:tc>
          <w:tcPr>
            <w:tcW w:w="160" w:type="dxa"/>
            <w:vAlign w:val="bottom"/>
          </w:tcPr>
          <w:p>
            <w:pPr>
              <w:jc w:val="right"/>
              <w:ind w:right="21"/>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468,750</w:t>
            </w:r>
          </w:p>
        </w:tc>
        <w:tc>
          <w:tcPr>
            <w:tcW w:w="40" w:type="dxa"/>
            <w:vAlign w:val="bottom"/>
          </w:tcPr>
          <w:p>
            <w:pPr>
              <w:spacing w:after="0"/>
              <w:rPr>
                <w:sz w:val="14"/>
                <w:szCs w:val="14"/>
                <w:color w:val="auto"/>
              </w:rPr>
            </w:pPr>
          </w:p>
        </w:tc>
        <w:tc>
          <w:tcPr>
            <w:tcW w:w="160" w:type="dxa"/>
            <w:vAlign w:val="bottom"/>
            <w:gridSpan w:val="2"/>
          </w:tcPr>
          <w:p>
            <w:pPr>
              <w:jc w:val="right"/>
              <w:ind w:right="13"/>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3,962,493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1,202,343</w:t>
            </w:r>
          </w:p>
        </w:tc>
        <w:tc>
          <w:tcPr>
            <w:tcW w:w="8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2"/>
                <w:szCs w:val="12"/>
                <w:color w:val="auto"/>
              </w:rPr>
              <w:t>170,490</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6,554,076</w:t>
            </w:r>
          </w:p>
        </w:tc>
        <w:tc>
          <w:tcPr>
            <w:tcW w:w="0" w:type="dxa"/>
            <w:vAlign w:val="bottom"/>
          </w:tcPr>
          <w:p>
            <w:pPr>
              <w:spacing w:after="0"/>
              <w:rPr>
                <w:sz w:val="1"/>
                <w:szCs w:val="1"/>
                <w:color w:val="auto"/>
              </w:rPr>
            </w:pPr>
          </w:p>
        </w:tc>
      </w:tr>
      <w:tr>
        <w:trPr>
          <w:trHeight w:val="37"/>
        </w:trPr>
        <w:tc>
          <w:tcPr>
            <w:tcW w:w="4320" w:type="dxa"/>
            <w:vAlign w:val="bottom"/>
            <w:gridSpan w:val="2"/>
          </w:tcPr>
          <w:p>
            <w:pPr>
              <w:spacing w:after="0"/>
              <w:rPr>
                <w:sz w:val="3"/>
                <w:szCs w:val="3"/>
                <w:color w:val="auto"/>
              </w:rPr>
            </w:pPr>
          </w:p>
        </w:tc>
        <w:tc>
          <w:tcPr>
            <w:tcW w:w="320" w:type="dxa"/>
            <w:vAlign w:val="bottom"/>
            <w:tcBorders>
              <w:bottom w:val="single" w:sz="8" w:color="98A3B8"/>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98A3B8"/>
            </w:tcBorders>
          </w:tcPr>
          <w:p>
            <w:pPr>
              <w:spacing w:after="0"/>
              <w:rPr>
                <w:sz w:val="3"/>
                <w:szCs w:val="3"/>
                <w:color w:val="auto"/>
              </w:rPr>
            </w:pPr>
          </w:p>
        </w:tc>
        <w:tc>
          <w:tcPr>
            <w:tcW w:w="560" w:type="dxa"/>
            <w:vAlign w:val="bottom"/>
            <w:tcBorders>
              <w:bottom w:val="single" w:sz="8" w:color="98A3B8"/>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98A3B8"/>
            </w:tcBorders>
          </w:tcPr>
          <w:p>
            <w:pPr>
              <w:spacing w:after="0"/>
              <w:rPr>
                <w:sz w:val="3"/>
                <w:szCs w:val="3"/>
                <w:color w:val="auto"/>
              </w:rPr>
            </w:pPr>
          </w:p>
        </w:tc>
        <w:tc>
          <w:tcPr>
            <w:tcW w:w="620" w:type="dxa"/>
            <w:vAlign w:val="bottom"/>
            <w:tcBorders>
              <w:bottom w:val="single" w:sz="8" w:color="98A3B8"/>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Borders>
              <w:bottom w:val="single" w:sz="8" w:color="98A3B8"/>
            </w:tcBorders>
          </w:tcPr>
          <w:p>
            <w:pPr>
              <w:spacing w:after="0"/>
              <w:rPr>
                <w:sz w:val="3"/>
                <w:szCs w:val="3"/>
                <w:color w:val="auto"/>
              </w:rPr>
            </w:pPr>
          </w:p>
        </w:tc>
        <w:tc>
          <w:tcPr>
            <w:tcW w:w="940" w:type="dxa"/>
            <w:vAlign w:val="bottom"/>
            <w:tcBorders>
              <w:bottom w:val="single" w:sz="8" w:color="98A3B8"/>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98A3B8"/>
            </w:tcBorders>
          </w:tcPr>
          <w:p>
            <w:pPr>
              <w:spacing w:after="0"/>
              <w:rPr>
                <w:sz w:val="3"/>
                <w:szCs w:val="3"/>
                <w:color w:val="auto"/>
              </w:rPr>
            </w:pPr>
          </w:p>
        </w:tc>
        <w:tc>
          <w:tcPr>
            <w:tcW w:w="780" w:type="dxa"/>
            <w:vAlign w:val="bottom"/>
            <w:tcBorders>
              <w:bottom w:val="single" w:sz="8" w:color="98A3B8"/>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Borders>
              <w:bottom w:val="single" w:sz="8" w:color="98A3B8"/>
            </w:tcBorders>
          </w:tcPr>
          <w:p>
            <w:pPr>
              <w:spacing w:after="0"/>
              <w:rPr>
                <w:sz w:val="3"/>
                <w:szCs w:val="3"/>
                <w:color w:val="auto"/>
              </w:rPr>
            </w:pPr>
          </w:p>
        </w:tc>
        <w:tc>
          <w:tcPr>
            <w:tcW w:w="840" w:type="dxa"/>
            <w:vAlign w:val="bottom"/>
            <w:tcBorders>
              <w:bottom w:val="single" w:sz="8" w:color="98A3B8"/>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98A3B8"/>
            </w:tcBorders>
          </w:tcPr>
          <w:p>
            <w:pPr>
              <w:spacing w:after="0"/>
              <w:rPr>
                <w:sz w:val="3"/>
                <w:szCs w:val="3"/>
                <w:color w:val="auto"/>
              </w:rPr>
            </w:pPr>
          </w:p>
        </w:tc>
        <w:tc>
          <w:tcPr>
            <w:tcW w:w="780" w:type="dxa"/>
            <w:vAlign w:val="bottom"/>
            <w:tcBorders>
              <w:bottom w:val="single" w:sz="8" w:color="98A3B8"/>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98A3B8"/>
            </w:tcBorders>
          </w:tcPr>
          <w:p>
            <w:pPr>
              <w:spacing w:after="0"/>
              <w:rPr>
                <w:sz w:val="3"/>
                <w:szCs w:val="3"/>
                <w:color w:val="auto"/>
              </w:rPr>
            </w:pPr>
          </w:p>
        </w:tc>
        <w:tc>
          <w:tcPr>
            <w:tcW w:w="640" w:type="dxa"/>
            <w:vAlign w:val="bottom"/>
            <w:tcBorders>
              <w:bottom w:val="single" w:sz="8" w:color="98A3B8"/>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4320" w:type="dxa"/>
            <w:vAlign w:val="bottom"/>
            <w:gridSpan w:val="2"/>
          </w:tcPr>
          <w:p>
            <w:pPr>
              <w:spacing w:after="0"/>
              <w:rPr>
                <w:sz w:val="20"/>
                <w:szCs w:val="20"/>
                <w:color w:val="auto"/>
              </w:rPr>
            </w:pPr>
            <w:r>
              <w:rPr>
                <w:rFonts w:ascii="Arial" w:cs="Arial" w:eastAsia="Arial" w:hAnsi="Arial"/>
                <w:sz w:val="12"/>
                <w:szCs w:val="12"/>
                <w:color w:val="auto"/>
              </w:rPr>
              <w:t>Board</w:t>
            </w: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rPr>
              <w:t>2014</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750,000</w:t>
            </w:r>
          </w:p>
        </w:tc>
        <w:tc>
          <w:tcPr>
            <w:tcW w:w="16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60" w:type="dxa"/>
            <w:vAlign w:val="bottom"/>
            <w:gridSpan w:val="2"/>
          </w:tcPr>
          <w:p>
            <w:pPr>
              <w:jc w:val="right"/>
              <w:ind w:right="13"/>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4,468,371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2"/>
                <w:szCs w:val="12"/>
                <w:color w:val="auto"/>
              </w:rPr>
              <w:t>173,992</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5,392,363</w:t>
            </w:r>
          </w:p>
        </w:tc>
        <w:tc>
          <w:tcPr>
            <w:tcW w:w="0" w:type="dxa"/>
            <w:vAlign w:val="bottom"/>
          </w:tcPr>
          <w:p>
            <w:pPr>
              <w:spacing w:after="0"/>
              <w:rPr>
                <w:sz w:val="1"/>
                <w:szCs w:val="1"/>
                <w:color w:val="auto"/>
              </w:rPr>
            </w:pPr>
          </w:p>
        </w:tc>
      </w:tr>
      <w:tr>
        <w:trPr>
          <w:trHeight w:val="37"/>
        </w:trPr>
        <w:tc>
          <w:tcPr>
            <w:tcW w:w="4240" w:type="dxa"/>
            <w:vAlign w:val="bottom"/>
            <w:tcBorders>
              <w:bottom w:val="single" w:sz="8" w:color="98A3B8"/>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98A3B8"/>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98A3B8"/>
            </w:tcBorders>
          </w:tcPr>
          <w:p>
            <w:pPr>
              <w:spacing w:after="0"/>
              <w:rPr>
                <w:sz w:val="3"/>
                <w:szCs w:val="3"/>
                <w:color w:val="auto"/>
              </w:rPr>
            </w:pPr>
          </w:p>
        </w:tc>
        <w:tc>
          <w:tcPr>
            <w:tcW w:w="560" w:type="dxa"/>
            <w:vAlign w:val="bottom"/>
            <w:tcBorders>
              <w:bottom w:val="single" w:sz="8" w:color="98A3B8"/>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98A3B8"/>
            </w:tcBorders>
          </w:tcPr>
          <w:p>
            <w:pPr>
              <w:spacing w:after="0"/>
              <w:rPr>
                <w:sz w:val="3"/>
                <w:szCs w:val="3"/>
                <w:color w:val="auto"/>
              </w:rPr>
            </w:pPr>
          </w:p>
        </w:tc>
        <w:tc>
          <w:tcPr>
            <w:tcW w:w="620" w:type="dxa"/>
            <w:vAlign w:val="bottom"/>
            <w:tcBorders>
              <w:bottom w:val="single" w:sz="8" w:color="98A3B8"/>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Borders>
              <w:bottom w:val="single" w:sz="8" w:color="98A3B8"/>
            </w:tcBorders>
          </w:tcPr>
          <w:p>
            <w:pPr>
              <w:spacing w:after="0"/>
              <w:rPr>
                <w:sz w:val="3"/>
                <w:szCs w:val="3"/>
                <w:color w:val="auto"/>
              </w:rPr>
            </w:pPr>
          </w:p>
        </w:tc>
        <w:tc>
          <w:tcPr>
            <w:tcW w:w="940" w:type="dxa"/>
            <w:vAlign w:val="bottom"/>
            <w:tcBorders>
              <w:bottom w:val="single" w:sz="8" w:color="98A3B8"/>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98A3B8"/>
            </w:tcBorders>
          </w:tcPr>
          <w:p>
            <w:pPr>
              <w:spacing w:after="0"/>
              <w:rPr>
                <w:sz w:val="3"/>
                <w:szCs w:val="3"/>
                <w:color w:val="auto"/>
              </w:rPr>
            </w:pPr>
          </w:p>
        </w:tc>
        <w:tc>
          <w:tcPr>
            <w:tcW w:w="780" w:type="dxa"/>
            <w:vAlign w:val="bottom"/>
            <w:tcBorders>
              <w:bottom w:val="single" w:sz="8" w:color="98A3B8"/>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Borders>
              <w:bottom w:val="single" w:sz="8" w:color="98A3B8"/>
            </w:tcBorders>
          </w:tcPr>
          <w:p>
            <w:pPr>
              <w:spacing w:after="0"/>
              <w:rPr>
                <w:sz w:val="3"/>
                <w:szCs w:val="3"/>
                <w:color w:val="auto"/>
              </w:rPr>
            </w:pPr>
          </w:p>
        </w:tc>
        <w:tc>
          <w:tcPr>
            <w:tcW w:w="840" w:type="dxa"/>
            <w:vAlign w:val="bottom"/>
            <w:tcBorders>
              <w:bottom w:val="single" w:sz="8" w:color="98A3B8"/>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98A3B8"/>
            </w:tcBorders>
          </w:tcPr>
          <w:p>
            <w:pPr>
              <w:spacing w:after="0"/>
              <w:rPr>
                <w:sz w:val="3"/>
                <w:szCs w:val="3"/>
                <w:color w:val="auto"/>
              </w:rPr>
            </w:pPr>
          </w:p>
        </w:tc>
        <w:tc>
          <w:tcPr>
            <w:tcW w:w="780" w:type="dxa"/>
            <w:vAlign w:val="bottom"/>
            <w:tcBorders>
              <w:bottom w:val="single" w:sz="8" w:color="98A3B8"/>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98A3B8"/>
            </w:tcBorders>
          </w:tcPr>
          <w:p>
            <w:pPr>
              <w:spacing w:after="0"/>
              <w:rPr>
                <w:sz w:val="3"/>
                <w:szCs w:val="3"/>
                <w:color w:val="auto"/>
              </w:rPr>
            </w:pPr>
          </w:p>
        </w:tc>
        <w:tc>
          <w:tcPr>
            <w:tcW w:w="640" w:type="dxa"/>
            <w:vAlign w:val="bottom"/>
            <w:tcBorders>
              <w:bottom w:val="single" w:sz="8" w:color="98A3B8"/>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4320" w:type="dxa"/>
            <w:vAlign w:val="bottom"/>
            <w:gridSpan w:val="2"/>
          </w:tcPr>
          <w:p>
            <w:pPr>
              <w:spacing w:after="0"/>
              <w:rPr>
                <w:sz w:val="20"/>
                <w:szCs w:val="20"/>
                <w:color w:val="auto"/>
              </w:rPr>
            </w:pPr>
            <w:r>
              <w:rPr>
                <w:rFonts w:ascii="Arial" w:cs="Arial" w:eastAsia="Arial" w:hAnsi="Arial"/>
                <w:sz w:val="12"/>
                <w:szCs w:val="12"/>
                <w:color w:val="auto"/>
              </w:rPr>
              <w:t>Andrew Mathias</w:t>
            </w:r>
          </w:p>
        </w:tc>
        <w:tc>
          <w:tcPr>
            <w:tcW w:w="320" w:type="dxa"/>
            <w:vAlign w:val="bottom"/>
            <w:tcBorders>
              <w:bottom w:val="single" w:sz="8" w:color="CCD2DB"/>
            </w:tcBorders>
            <w:shd w:val="clear" w:color="auto" w:fill="CCD2DB"/>
          </w:tcPr>
          <w:p>
            <w:pPr>
              <w:jc w:val="right"/>
              <w:spacing w:after="0"/>
              <w:rPr>
                <w:sz w:val="20"/>
                <w:szCs w:val="20"/>
                <w:color w:val="auto"/>
              </w:rPr>
            </w:pPr>
            <w:r>
              <w:rPr>
                <w:rFonts w:ascii="Arial" w:cs="Arial" w:eastAsia="Arial" w:hAnsi="Arial"/>
                <w:sz w:val="12"/>
                <w:szCs w:val="12"/>
                <w:color w:val="auto"/>
              </w:rPr>
              <w:t>2016</w:t>
            </w:r>
          </w:p>
        </w:tc>
        <w:tc>
          <w:tcPr>
            <w:tcW w:w="80" w:type="dxa"/>
            <w:vAlign w:val="bottom"/>
          </w:tcPr>
          <w:p>
            <w:pPr>
              <w:spacing w:after="0"/>
              <w:rPr>
                <w:sz w:val="16"/>
                <w:szCs w:val="16"/>
                <w:color w:val="auto"/>
              </w:rPr>
            </w:pPr>
          </w:p>
        </w:tc>
        <w:tc>
          <w:tcPr>
            <w:tcW w:w="120" w:type="dxa"/>
            <w:vAlign w:val="bottom"/>
            <w:tcBorders>
              <w:bottom w:val="single" w:sz="8" w:color="CCD2DB"/>
            </w:tcBorders>
            <w:shd w:val="clear" w:color="auto" w:fill="CCD2DB"/>
          </w:tcPr>
          <w:p>
            <w:pPr>
              <w:jc w:val="right"/>
              <w:spacing w:after="0"/>
              <w:rPr>
                <w:sz w:val="20"/>
                <w:szCs w:val="20"/>
                <w:color w:val="auto"/>
              </w:rPr>
            </w:pPr>
            <w:r>
              <w:rPr>
                <w:rFonts w:ascii="Arial" w:cs="Arial" w:eastAsia="Arial" w:hAnsi="Arial"/>
                <w:sz w:val="12"/>
                <w:szCs w:val="12"/>
                <w:color w:val="auto"/>
                <w:highlight w:val="lightGray"/>
                <w:w w:val="89"/>
              </w:rPr>
              <w:t>$</w:t>
            </w:r>
          </w:p>
        </w:tc>
        <w:tc>
          <w:tcPr>
            <w:tcW w:w="560" w:type="dxa"/>
            <w:vAlign w:val="bottom"/>
            <w:tcBorders>
              <w:bottom w:val="single" w:sz="8" w:color="CCD2DB"/>
            </w:tcBorders>
            <w:shd w:val="clear" w:color="auto" w:fill="CCD2DB"/>
          </w:tcPr>
          <w:p>
            <w:pPr>
              <w:jc w:val="right"/>
              <w:spacing w:after="0"/>
              <w:rPr>
                <w:sz w:val="20"/>
                <w:szCs w:val="20"/>
                <w:color w:val="auto"/>
              </w:rPr>
            </w:pPr>
            <w:r>
              <w:rPr>
                <w:rFonts w:ascii="Arial" w:cs="Arial" w:eastAsia="Arial" w:hAnsi="Arial"/>
                <w:sz w:val="12"/>
                <w:szCs w:val="12"/>
                <w:color w:val="auto"/>
                <w:highlight w:val="lightGray"/>
              </w:rPr>
              <w:t>800,000</w:t>
            </w:r>
          </w:p>
        </w:tc>
        <w:tc>
          <w:tcPr>
            <w:tcW w:w="80" w:type="dxa"/>
            <w:vAlign w:val="bottom"/>
          </w:tcPr>
          <w:p>
            <w:pPr>
              <w:spacing w:after="0"/>
              <w:rPr>
                <w:sz w:val="16"/>
                <w:szCs w:val="16"/>
                <w:color w:val="auto"/>
              </w:rPr>
            </w:pPr>
          </w:p>
        </w:tc>
        <w:tc>
          <w:tcPr>
            <w:tcW w:w="160" w:type="dxa"/>
            <w:vAlign w:val="bottom"/>
            <w:tcBorders>
              <w:bottom w:val="single" w:sz="8" w:color="CCD2DB"/>
            </w:tcBorders>
            <w:shd w:val="clear" w:color="auto" w:fill="CCD2DB"/>
          </w:tcPr>
          <w:p>
            <w:pPr>
              <w:spacing w:after="0"/>
              <w:rPr>
                <w:sz w:val="16"/>
                <w:szCs w:val="16"/>
                <w:color w:val="auto"/>
              </w:rPr>
            </w:pPr>
          </w:p>
        </w:tc>
        <w:tc>
          <w:tcPr>
            <w:tcW w:w="620" w:type="dxa"/>
            <w:vAlign w:val="bottom"/>
            <w:tcBorders>
              <w:bottom w:val="single" w:sz="8" w:color="CCD2DB"/>
            </w:tcBorders>
            <w:shd w:val="clear" w:color="auto" w:fill="CCD2DB"/>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CCD2DB"/>
            </w:tcBorders>
            <w:shd w:val="clear" w:color="auto" w:fill="CCD2DB"/>
          </w:tcPr>
          <w:p>
            <w:pPr>
              <w:jc w:val="right"/>
              <w:ind w:right="13"/>
              <w:spacing w:after="0"/>
              <w:rPr>
                <w:sz w:val="20"/>
                <w:szCs w:val="20"/>
                <w:color w:val="auto"/>
              </w:rPr>
            </w:pPr>
            <w:r>
              <w:rPr>
                <w:rFonts w:ascii="Arial" w:cs="Arial" w:eastAsia="Arial" w:hAnsi="Arial"/>
                <w:sz w:val="9"/>
                <w:szCs w:val="9"/>
                <w:color w:val="auto"/>
                <w:w w:val="78"/>
              </w:rPr>
              <w:t>$</w:t>
            </w:r>
          </w:p>
        </w:tc>
        <w:tc>
          <w:tcPr>
            <w:tcW w:w="940" w:type="dxa"/>
            <w:vAlign w:val="bottom"/>
            <w:tcBorders>
              <w:bottom w:val="single" w:sz="8" w:color="CCD2DB"/>
            </w:tcBorders>
            <w:shd w:val="clear" w:color="auto" w:fill="CCD2DB"/>
          </w:tcPr>
          <w:p>
            <w:pPr>
              <w:jc w:val="right"/>
              <w:spacing w:after="0"/>
              <w:rPr>
                <w:sz w:val="20"/>
                <w:szCs w:val="20"/>
                <w:color w:val="auto"/>
              </w:rPr>
            </w:pPr>
            <w:r>
              <w:rPr>
                <w:rFonts w:ascii="Arial" w:cs="Arial" w:eastAsia="Arial" w:hAnsi="Arial"/>
                <w:sz w:val="12"/>
                <w:szCs w:val="12"/>
                <w:color w:val="auto"/>
              </w:rPr>
              <w:t>9,120,896</w:t>
            </w:r>
          </w:p>
        </w:tc>
        <w:tc>
          <w:tcPr>
            <w:tcW w:w="80" w:type="dxa"/>
            <w:vAlign w:val="bottom"/>
          </w:tcPr>
          <w:p>
            <w:pPr>
              <w:spacing w:after="0"/>
              <w:rPr>
                <w:sz w:val="16"/>
                <w:szCs w:val="16"/>
                <w:color w:val="auto"/>
              </w:rPr>
            </w:pPr>
          </w:p>
        </w:tc>
        <w:tc>
          <w:tcPr>
            <w:tcW w:w="120" w:type="dxa"/>
            <w:vAlign w:val="bottom"/>
            <w:tcBorders>
              <w:bottom w:val="single" w:sz="8" w:color="CCD2DB"/>
            </w:tcBorders>
            <w:shd w:val="clear" w:color="auto" w:fill="CCD2DB"/>
          </w:tcPr>
          <w:p>
            <w:pPr>
              <w:spacing w:after="0"/>
              <w:rPr>
                <w:sz w:val="16"/>
                <w:szCs w:val="16"/>
                <w:color w:val="auto"/>
              </w:rPr>
            </w:pPr>
          </w:p>
        </w:tc>
        <w:tc>
          <w:tcPr>
            <w:tcW w:w="780" w:type="dxa"/>
            <w:vAlign w:val="bottom"/>
            <w:tcBorders>
              <w:bottom w:val="single" w:sz="8" w:color="CCD2DB"/>
            </w:tcBorders>
            <w:shd w:val="clear" w:color="auto" w:fill="CCD2DB"/>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CCD2DB"/>
            </w:tcBorders>
            <w:shd w:val="clear" w:color="auto" w:fill="CCD2DB"/>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tcBorders>
              <w:bottom w:val="single" w:sz="8" w:color="CCD2DB"/>
            </w:tcBorders>
            <w:shd w:val="clear" w:color="auto" w:fill="CCD2DB"/>
          </w:tcPr>
          <w:p>
            <w:pPr>
              <w:jc w:val="right"/>
              <w:spacing w:after="0"/>
              <w:rPr>
                <w:sz w:val="20"/>
                <w:szCs w:val="20"/>
                <w:color w:val="auto"/>
              </w:rPr>
            </w:pPr>
            <w:r>
              <w:rPr>
                <w:rFonts w:ascii="Arial" w:cs="Arial" w:eastAsia="Arial" w:hAnsi="Arial"/>
                <w:sz w:val="12"/>
                <w:szCs w:val="12"/>
                <w:color w:val="auto"/>
              </w:rPr>
              <w:t>1,239,166</w:t>
            </w:r>
          </w:p>
        </w:tc>
        <w:tc>
          <w:tcPr>
            <w:tcW w:w="80" w:type="dxa"/>
            <w:vAlign w:val="bottom"/>
          </w:tcPr>
          <w:p>
            <w:pPr>
              <w:spacing w:after="0"/>
              <w:rPr>
                <w:sz w:val="16"/>
                <w:szCs w:val="16"/>
                <w:color w:val="auto"/>
              </w:rPr>
            </w:pPr>
          </w:p>
        </w:tc>
        <w:tc>
          <w:tcPr>
            <w:tcW w:w="340" w:type="dxa"/>
            <w:vAlign w:val="bottom"/>
            <w:tcBorders>
              <w:bottom w:val="single" w:sz="8" w:color="CCD2DB"/>
            </w:tcBorders>
            <w:shd w:val="clear" w:color="auto" w:fill="CCD2DB"/>
          </w:tcPr>
          <w:p>
            <w:pPr>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CCD2DB"/>
            </w:tcBorders>
            <w:shd w:val="clear" w:color="auto" w:fill="CCD2DB"/>
          </w:tcPr>
          <w:p>
            <w:pPr>
              <w:jc w:val="right"/>
              <w:spacing w:after="0"/>
              <w:rPr>
                <w:sz w:val="20"/>
                <w:szCs w:val="20"/>
                <w:color w:val="auto"/>
              </w:rPr>
            </w:pPr>
            <w:r>
              <w:rPr>
                <w:rFonts w:ascii="Arial" w:cs="Arial" w:eastAsia="Arial" w:hAnsi="Arial"/>
                <w:sz w:val="12"/>
                <w:szCs w:val="12"/>
                <w:color w:val="auto"/>
              </w:rPr>
              <w:t>38,823</w:t>
            </w:r>
          </w:p>
        </w:tc>
        <w:tc>
          <w:tcPr>
            <w:tcW w:w="80" w:type="dxa"/>
            <w:vAlign w:val="bottom"/>
          </w:tcPr>
          <w:p>
            <w:pPr>
              <w:spacing w:after="0"/>
              <w:rPr>
                <w:sz w:val="16"/>
                <w:szCs w:val="16"/>
                <w:color w:val="auto"/>
              </w:rPr>
            </w:pPr>
          </w:p>
        </w:tc>
        <w:tc>
          <w:tcPr>
            <w:tcW w:w="120" w:type="dxa"/>
            <w:vAlign w:val="bottom"/>
            <w:tcBorders>
              <w:bottom w:val="single" w:sz="8" w:color="CCD2DB"/>
            </w:tcBorders>
            <w:shd w:val="clear" w:color="auto" w:fill="CCD2DB"/>
          </w:tcPr>
          <w:p>
            <w:pPr>
              <w:jc w:val="right"/>
              <w:spacing w:after="0"/>
              <w:rPr>
                <w:sz w:val="20"/>
                <w:szCs w:val="20"/>
                <w:color w:val="auto"/>
              </w:rPr>
            </w:pPr>
            <w:r>
              <w:rPr>
                <w:rFonts w:ascii="Arial" w:cs="Arial" w:eastAsia="Arial" w:hAnsi="Arial"/>
                <w:sz w:val="12"/>
                <w:szCs w:val="12"/>
                <w:color w:val="auto"/>
                <w:highlight w:val="lightGray"/>
                <w:w w:val="89"/>
              </w:rPr>
              <w:t>$</w:t>
            </w:r>
          </w:p>
        </w:tc>
        <w:tc>
          <w:tcPr>
            <w:tcW w:w="640" w:type="dxa"/>
            <w:vAlign w:val="bottom"/>
            <w:tcBorders>
              <w:bottom w:val="single" w:sz="8" w:color="CCD2DB"/>
            </w:tcBorders>
            <w:shd w:val="clear" w:color="auto" w:fill="CCD2DB"/>
          </w:tcPr>
          <w:p>
            <w:pPr>
              <w:jc w:val="right"/>
              <w:spacing w:after="0"/>
              <w:rPr>
                <w:sz w:val="20"/>
                <w:szCs w:val="20"/>
                <w:color w:val="auto"/>
              </w:rPr>
            </w:pPr>
            <w:r>
              <w:rPr>
                <w:rFonts w:ascii="Arial" w:cs="Arial" w:eastAsia="Arial" w:hAnsi="Arial"/>
                <w:sz w:val="12"/>
                <w:szCs w:val="12"/>
                <w:color w:val="auto"/>
                <w:highlight w:val="lightGray"/>
              </w:rPr>
              <w:t>11,198,885</w:t>
            </w:r>
          </w:p>
        </w:tc>
        <w:tc>
          <w:tcPr>
            <w:tcW w:w="0" w:type="dxa"/>
            <w:vAlign w:val="bottom"/>
          </w:tcPr>
          <w:p>
            <w:pPr>
              <w:spacing w:after="0"/>
              <w:rPr>
                <w:sz w:val="1"/>
                <w:szCs w:val="1"/>
                <w:color w:val="auto"/>
              </w:rPr>
            </w:pPr>
          </w:p>
        </w:tc>
      </w:tr>
      <w:tr>
        <w:trPr>
          <w:trHeight w:val="20"/>
        </w:trPr>
        <w:tc>
          <w:tcPr>
            <w:tcW w:w="4320" w:type="dxa"/>
            <w:vAlign w:val="bottom"/>
            <w:gridSpan w:val="2"/>
          </w:tcPr>
          <w:p>
            <w:pPr>
              <w:spacing w:after="0" w:line="20" w:lineRule="exact"/>
              <w:rPr>
                <w:sz w:val="1"/>
                <w:szCs w:val="1"/>
                <w:color w:val="auto"/>
              </w:rPr>
            </w:pPr>
          </w:p>
        </w:tc>
        <w:tc>
          <w:tcPr>
            <w:tcW w:w="32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56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94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84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640" w:type="dxa"/>
            <w:vAlign w:val="bottom"/>
            <w:shd w:val="clear" w:color="auto" w:fill="98A3B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320" w:type="dxa"/>
            <w:vAlign w:val="bottom"/>
            <w:gridSpan w:val="2"/>
          </w:tcPr>
          <w:p>
            <w:pPr>
              <w:spacing w:after="0"/>
              <w:rPr>
                <w:sz w:val="20"/>
                <w:szCs w:val="20"/>
                <w:color w:val="auto"/>
              </w:rPr>
            </w:pPr>
            <w:r>
              <w:rPr>
                <w:rFonts w:ascii="Arial" w:cs="Arial" w:eastAsia="Arial" w:hAnsi="Arial"/>
                <w:sz w:val="12"/>
                <w:szCs w:val="12"/>
                <w:color w:val="auto"/>
              </w:rPr>
              <w:t>President</w:t>
            </w: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rPr>
              <w:t>2015</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800,000</w:t>
            </w:r>
          </w:p>
        </w:tc>
        <w:tc>
          <w:tcPr>
            <w:tcW w:w="160" w:type="dxa"/>
            <w:vAlign w:val="bottom"/>
          </w:tcPr>
          <w:p>
            <w:pPr>
              <w:jc w:val="right"/>
              <w:ind w:right="21"/>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500,000</w:t>
            </w:r>
          </w:p>
        </w:tc>
        <w:tc>
          <w:tcPr>
            <w:tcW w:w="40" w:type="dxa"/>
            <w:vAlign w:val="bottom"/>
          </w:tcPr>
          <w:p>
            <w:pPr>
              <w:spacing w:after="0"/>
              <w:rPr>
                <w:sz w:val="14"/>
                <w:szCs w:val="14"/>
                <w:color w:val="auto"/>
              </w:rPr>
            </w:pPr>
          </w:p>
        </w:tc>
        <w:tc>
          <w:tcPr>
            <w:tcW w:w="160" w:type="dxa"/>
            <w:vAlign w:val="bottom"/>
            <w:gridSpan w:val="2"/>
          </w:tcPr>
          <w:p>
            <w:pPr>
              <w:jc w:val="right"/>
              <w:ind w:right="13"/>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13,436,852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1,282,500</w:t>
            </w:r>
          </w:p>
        </w:tc>
        <w:tc>
          <w:tcPr>
            <w:tcW w:w="8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2"/>
                <w:szCs w:val="12"/>
                <w:color w:val="auto"/>
              </w:rPr>
              <w:t>26,790</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16,046,132</w:t>
            </w:r>
          </w:p>
        </w:tc>
        <w:tc>
          <w:tcPr>
            <w:tcW w:w="0" w:type="dxa"/>
            <w:vAlign w:val="bottom"/>
          </w:tcPr>
          <w:p>
            <w:pPr>
              <w:spacing w:after="0"/>
              <w:rPr>
                <w:sz w:val="1"/>
                <w:szCs w:val="1"/>
                <w:color w:val="auto"/>
              </w:rPr>
            </w:pPr>
          </w:p>
        </w:tc>
      </w:tr>
      <w:tr>
        <w:trPr>
          <w:trHeight w:val="37"/>
        </w:trPr>
        <w:tc>
          <w:tcPr>
            <w:tcW w:w="4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98A3B8"/>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98A3B8"/>
            </w:tcBorders>
          </w:tcPr>
          <w:p>
            <w:pPr>
              <w:spacing w:after="0"/>
              <w:rPr>
                <w:sz w:val="3"/>
                <w:szCs w:val="3"/>
                <w:color w:val="auto"/>
              </w:rPr>
            </w:pPr>
          </w:p>
        </w:tc>
        <w:tc>
          <w:tcPr>
            <w:tcW w:w="560" w:type="dxa"/>
            <w:vAlign w:val="bottom"/>
            <w:tcBorders>
              <w:bottom w:val="single" w:sz="8" w:color="98A3B8"/>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98A3B8"/>
            </w:tcBorders>
          </w:tcPr>
          <w:p>
            <w:pPr>
              <w:spacing w:after="0"/>
              <w:rPr>
                <w:sz w:val="3"/>
                <w:szCs w:val="3"/>
                <w:color w:val="auto"/>
              </w:rPr>
            </w:pPr>
          </w:p>
        </w:tc>
        <w:tc>
          <w:tcPr>
            <w:tcW w:w="620" w:type="dxa"/>
            <w:vAlign w:val="bottom"/>
            <w:tcBorders>
              <w:bottom w:val="single" w:sz="8" w:color="98A3B8"/>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Borders>
              <w:bottom w:val="single" w:sz="8" w:color="98A3B8"/>
            </w:tcBorders>
          </w:tcPr>
          <w:p>
            <w:pPr>
              <w:spacing w:after="0"/>
              <w:rPr>
                <w:sz w:val="3"/>
                <w:szCs w:val="3"/>
                <w:color w:val="auto"/>
              </w:rPr>
            </w:pPr>
          </w:p>
        </w:tc>
        <w:tc>
          <w:tcPr>
            <w:tcW w:w="940" w:type="dxa"/>
            <w:vAlign w:val="bottom"/>
            <w:tcBorders>
              <w:bottom w:val="single" w:sz="8" w:color="98A3B8"/>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98A3B8"/>
            </w:tcBorders>
          </w:tcPr>
          <w:p>
            <w:pPr>
              <w:spacing w:after="0"/>
              <w:rPr>
                <w:sz w:val="3"/>
                <w:szCs w:val="3"/>
                <w:color w:val="auto"/>
              </w:rPr>
            </w:pPr>
          </w:p>
        </w:tc>
        <w:tc>
          <w:tcPr>
            <w:tcW w:w="780" w:type="dxa"/>
            <w:vAlign w:val="bottom"/>
            <w:tcBorders>
              <w:bottom w:val="single" w:sz="8" w:color="98A3B8"/>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Borders>
              <w:bottom w:val="single" w:sz="8" w:color="98A3B8"/>
            </w:tcBorders>
          </w:tcPr>
          <w:p>
            <w:pPr>
              <w:spacing w:after="0"/>
              <w:rPr>
                <w:sz w:val="3"/>
                <w:szCs w:val="3"/>
                <w:color w:val="auto"/>
              </w:rPr>
            </w:pPr>
          </w:p>
        </w:tc>
        <w:tc>
          <w:tcPr>
            <w:tcW w:w="840" w:type="dxa"/>
            <w:vAlign w:val="bottom"/>
            <w:tcBorders>
              <w:bottom w:val="single" w:sz="8" w:color="98A3B8"/>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98A3B8"/>
            </w:tcBorders>
          </w:tcPr>
          <w:p>
            <w:pPr>
              <w:spacing w:after="0"/>
              <w:rPr>
                <w:sz w:val="3"/>
                <w:szCs w:val="3"/>
                <w:color w:val="auto"/>
              </w:rPr>
            </w:pPr>
          </w:p>
        </w:tc>
        <w:tc>
          <w:tcPr>
            <w:tcW w:w="780" w:type="dxa"/>
            <w:vAlign w:val="bottom"/>
            <w:tcBorders>
              <w:bottom w:val="single" w:sz="8" w:color="98A3B8"/>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98A3B8"/>
            </w:tcBorders>
          </w:tcPr>
          <w:p>
            <w:pPr>
              <w:spacing w:after="0"/>
              <w:rPr>
                <w:sz w:val="3"/>
                <w:szCs w:val="3"/>
                <w:color w:val="auto"/>
              </w:rPr>
            </w:pPr>
          </w:p>
        </w:tc>
        <w:tc>
          <w:tcPr>
            <w:tcW w:w="640" w:type="dxa"/>
            <w:vAlign w:val="bottom"/>
            <w:tcBorders>
              <w:bottom w:val="single" w:sz="8" w:color="98A3B8"/>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4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rPr>
              <w:t>2014</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800,000</w:t>
            </w:r>
          </w:p>
        </w:tc>
        <w:tc>
          <w:tcPr>
            <w:tcW w:w="16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60" w:type="dxa"/>
            <w:vAlign w:val="bottom"/>
            <w:gridSpan w:val="2"/>
          </w:tcPr>
          <w:p>
            <w:pPr>
              <w:jc w:val="right"/>
              <w:ind w:right="13"/>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10,188,264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2"/>
                <w:szCs w:val="12"/>
                <w:color w:val="auto"/>
              </w:rPr>
              <w:t>7,800</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10,996,064</w:t>
            </w:r>
          </w:p>
        </w:tc>
        <w:tc>
          <w:tcPr>
            <w:tcW w:w="0" w:type="dxa"/>
            <w:vAlign w:val="bottom"/>
          </w:tcPr>
          <w:p>
            <w:pPr>
              <w:spacing w:after="0"/>
              <w:rPr>
                <w:sz w:val="1"/>
                <w:szCs w:val="1"/>
                <w:color w:val="auto"/>
              </w:rPr>
            </w:pPr>
          </w:p>
        </w:tc>
      </w:tr>
      <w:tr>
        <w:trPr>
          <w:trHeight w:val="37"/>
        </w:trPr>
        <w:tc>
          <w:tcPr>
            <w:tcW w:w="4240" w:type="dxa"/>
            <w:vAlign w:val="bottom"/>
            <w:tcBorders>
              <w:bottom w:val="single" w:sz="8" w:color="98A3B8"/>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98A3B8"/>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98A3B8"/>
            </w:tcBorders>
          </w:tcPr>
          <w:p>
            <w:pPr>
              <w:spacing w:after="0"/>
              <w:rPr>
                <w:sz w:val="3"/>
                <w:szCs w:val="3"/>
                <w:color w:val="auto"/>
              </w:rPr>
            </w:pPr>
          </w:p>
        </w:tc>
        <w:tc>
          <w:tcPr>
            <w:tcW w:w="560" w:type="dxa"/>
            <w:vAlign w:val="bottom"/>
            <w:tcBorders>
              <w:bottom w:val="single" w:sz="8" w:color="98A3B8"/>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98A3B8"/>
            </w:tcBorders>
          </w:tcPr>
          <w:p>
            <w:pPr>
              <w:spacing w:after="0"/>
              <w:rPr>
                <w:sz w:val="3"/>
                <w:szCs w:val="3"/>
                <w:color w:val="auto"/>
              </w:rPr>
            </w:pPr>
          </w:p>
        </w:tc>
        <w:tc>
          <w:tcPr>
            <w:tcW w:w="620" w:type="dxa"/>
            <w:vAlign w:val="bottom"/>
            <w:tcBorders>
              <w:bottom w:val="single" w:sz="8" w:color="98A3B8"/>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Borders>
              <w:bottom w:val="single" w:sz="8" w:color="98A3B8"/>
            </w:tcBorders>
          </w:tcPr>
          <w:p>
            <w:pPr>
              <w:spacing w:after="0"/>
              <w:rPr>
                <w:sz w:val="3"/>
                <w:szCs w:val="3"/>
                <w:color w:val="auto"/>
              </w:rPr>
            </w:pPr>
          </w:p>
        </w:tc>
        <w:tc>
          <w:tcPr>
            <w:tcW w:w="940" w:type="dxa"/>
            <w:vAlign w:val="bottom"/>
            <w:tcBorders>
              <w:bottom w:val="single" w:sz="8" w:color="98A3B8"/>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98A3B8"/>
            </w:tcBorders>
          </w:tcPr>
          <w:p>
            <w:pPr>
              <w:spacing w:after="0"/>
              <w:rPr>
                <w:sz w:val="3"/>
                <w:szCs w:val="3"/>
                <w:color w:val="auto"/>
              </w:rPr>
            </w:pPr>
          </w:p>
        </w:tc>
        <w:tc>
          <w:tcPr>
            <w:tcW w:w="780" w:type="dxa"/>
            <w:vAlign w:val="bottom"/>
            <w:tcBorders>
              <w:bottom w:val="single" w:sz="8" w:color="98A3B8"/>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Borders>
              <w:bottom w:val="single" w:sz="8" w:color="98A3B8"/>
            </w:tcBorders>
          </w:tcPr>
          <w:p>
            <w:pPr>
              <w:spacing w:after="0"/>
              <w:rPr>
                <w:sz w:val="3"/>
                <w:szCs w:val="3"/>
                <w:color w:val="auto"/>
              </w:rPr>
            </w:pPr>
          </w:p>
        </w:tc>
        <w:tc>
          <w:tcPr>
            <w:tcW w:w="840" w:type="dxa"/>
            <w:vAlign w:val="bottom"/>
            <w:tcBorders>
              <w:bottom w:val="single" w:sz="8" w:color="98A3B8"/>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98A3B8"/>
            </w:tcBorders>
          </w:tcPr>
          <w:p>
            <w:pPr>
              <w:spacing w:after="0"/>
              <w:rPr>
                <w:sz w:val="3"/>
                <w:szCs w:val="3"/>
                <w:color w:val="auto"/>
              </w:rPr>
            </w:pPr>
          </w:p>
        </w:tc>
        <w:tc>
          <w:tcPr>
            <w:tcW w:w="780" w:type="dxa"/>
            <w:vAlign w:val="bottom"/>
            <w:tcBorders>
              <w:bottom w:val="single" w:sz="8" w:color="98A3B8"/>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98A3B8"/>
            </w:tcBorders>
          </w:tcPr>
          <w:p>
            <w:pPr>
              <w:spacing w:after="0"/>
              <w:rPr>
                <w:sz w:val="3"/>
                <w:szCs w:val="3"/>
                <w:color w:val="auto"/>
              </w:rPr>
            </w:pPr>
          </w:p>
        </w:tc>
        <w:tc>
          <w:tcPr>
            <w:tcW w:w="640" w:type="dxa"/>
            <w:vAlign w:val="bottom"/>
            <w:tcBorders>
              <w:bottom w:val="single" w:sz="8" w:color="98A3B8"/>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4320" w:type="dxa"/>
            <w:vAlign w:val="bottom"/>
            <w:gridSpan w:val="2"/>
          </w:tcPr>
          <w:p>
            <w:pPr>
              <w:spacing w:after="0"/>
              <w:rPr>
                <w:sz w:val="20"/>
                <w:szCs w:val="20"/>
                <w:color w:val="auto"/>
              </w:rPr>
            </w:pPr>
            <w:r>
              <w:rPr>
                <w:rFonts w:ascii="Arial" w:cs="Arial" w:eastAsia="Arial" w:hAnsi="Arial"/>
                <w:sz w:val="12"/>
                <w:szCs w:val="12"/>
                <w:color w:val="auto"/>
              </w:rPr>
              <w:t>Matthew J.</w:t>
            </w:r>
          </w:p>
        </w:tc>
        <w:tc>
          <w:tcPr>
            <w:tcW w:w="320" w:type="dxa"/>
            <w:vAlign w:val="bottom"/>
            <w:tcBorders>
              <w:bottom w:val="single" w:sz="8" w:color="CCD2DB"/>
            </w:tcBorders>
            <w:shd w:val="clear" w:color="auto" w:fill="CCD2DB"/>
          </w:tcPr>
          <w:p>
            <w:pPr>
              <w:jc w:val="right"/>
              <w:spacing w:after="0"/>
              <w:rPr>
                <w:sz w:val="20"/>
                <w:szCs w:val="20"/>
                <w:color w:val="auto"/>
              </w:rPr>
            </w:pPr>
            <w:r>
              <w:rPr>
                <w:rFonts w:ascii="Arial" w:cs="Arial" w:eastAsia="Arial" w:hAnsi="Arial"/>
                <w:sz w:val="12"/>
                <w:szCs w:val="12"/>
                <w:color w:val="auto"/>
              </w:rPr>
              <w:t>2016</w:t>
            </w:r>
          </w:p>
        </w:tc>
        <w:tc>
          <w:tcPr>
            <w:tcW w:w="80" w:type="dxa"/>
            <w:vAlign w:val="bottom"/>
          </w:tcPr>
          <w:p>
            <w:pPr>
              <w:spacing w:after="0"/>
              <w:rPr>
                <w:sz w:val="16"/>
                <w:szCs w:val="16"/>
                <w:color w:val="auto"/>
              </w:rPr>
            </w:pPr>
          </w:p>
        </w:tc>
        <w:tc>
          <w:tcPr>
            <w:tcW w:w="120" w:type="dxa"/>
            <w:vAlign w:val="bottom"/>
            <w:tcBorders>
              <w:bottom w:val="single" w:sz="8" w:color="CCD2DB"/>
            </w:tcBorders>
            <w:shd w:val="clear" w:color="auto" w:fill="CCD2DB"/>
          </w:tcPr>
          <w:p>
            <w:pPr>
              <w:jc w:val="right"/>
              <w:spacing w:after="0"/>
              <w:rPr>
                <w:sz w:val="20"/>
                <w:szCs w:val="20"/>
                <w:color w:val="auto"/>
              </w:rPr>
            </w:pPr>
            <w:r>
              <w:rPr>
                <w:rFonts w:ascii="Arial" w:cs="Arial" w:eastAsia="Arial" w:hAnsi="Arial"/>
                <w:sz w:val="12"/>
                <w:szCs w:val="12"/>
                <w:color w:val="auto"/>
                <w:highlight w:val="lightGray"/>
                <w:w w:val="89"/>
              </w:rPr>
              <w:t>$</w:t>
            </w:r>
          </w:p>
        </w:tc>
        <w:tc>
          <w:tcPr>
            <w:tcW w:w="560" w:type="dxa"/>
            <w:vAlign w:val="bottom"/>
            <w:tcBorders>
              <w:bottom w:val="single" w:sz="8" w:color="CCD2DB"/>
            </w:tcBorders>
            <w:shd w:val="clear" w:color="auto" w:fill="CCD2DB"/>
          </w:tcPr>
          <w:p>
            <w:pPr>
              <w:jc w:val="right"/>
              <w:spacing w:after="0"/>
              <w:rPr>
                <w:sz w:val="20"/>
                <w:szCs w:val="20"/>
                <w:color w:val="auto"/>
              </w:rPr>
            </w:pPr>
            <w:r>
              <w:rPr>
                <w:rFonts w:ascii="Arial" w:cs="Arial" w:eastAsia="Arial" w:hAnsi="Arial"/>
                <w:sz w:val="12"/>
                <w:szCs w:val="12"/>
                <w:color w:val="auto"/>
                <w:highlight w:val="lightGray"/>
              </w:rPr>
              <w:t>400,000</w:t>
            </w:r>
          </w:p>
        </w:tc>
        <w:tc>
          <w:tcPr>
            <w:tcW w:w="80" w:type="dxa"/>
            <w:vAlign w:val="bottom"/>
          </w:tcPr>
          <w:p>
            <w:pPr>
              <w:spacing w:after="0"/>
              <w:rPr>
                <w:sz w:val="16"/>
                <w:szCs w:val="16"/>
                <w:color w:val="auto"/>
              </w:rPr>
            </w:pPr>
          </w:p>
        </w:tc>
        <w:tc>
          <w:tcPr>
            <w:tcW w:w="160" w:type="dxa"/>
            <w:vAlign w:val="bottom"/>
            <w:tcBorders>
              <w:bottom w:val="single" w:sz="8" w:color="CCD2DB"/>
            </w:tcBorders>
            <w:shd w:val="clear" w:color="auto" w:fill="CCD2DB"/>
          </w:tcPr>
          <w:p>
            <w:pPr>
              <w:jc w:val="right"/>
              <w:ind w:right="21"/>
              <w:spacing w:after="0"/>
              <w:rPr>
                <w:sz w:val="20"/>
                <w:szCs w:val="20"/>
                <w:color w:val="auto"/>
              </w:rPr>
            </w:pPr>
            <w:r>
              <w:rPr>
                <w:rFonts w:ascii="Arial" w:cs="Arial" w:eastAsia="Arial" w:hAnsi="Arial"/>
                <w:sz w:val="12"/>
                <w:szCs w:val="12"/>
                <w:color w:val="auto"/>
                <w:highlight w:val="lightGray"/>
                <w:w w:val="89"/>
              </w:rPr>
              <w:t>$</w:t>
            </w:r>
          </w:p>
        </w:tc>
        <w:tc>
          <w:tcPr>
            <w:tcW w:w="620" w:type="dxa"/>
            <w:vAlign w:val="bottom"/>
            <w:tcBorders>
              <w:bottom w:val="single" w:sz="8" w:color="CCD2DB"/>
            </w:tcBorders>
            <w:shd w:val="clear" w:color="auto" w:fill="CCD2DB"/>
          </w:tcPr>
          <w:p>
            <w:pPr>
              <w:jc w:val="right"/>
              <w:spacing w:after="0"/>
              <w:rPr>
                <w:sz w:val="20"/>
                <w:szCs w:val="20"/>
                <w:color w:val="auto"/>
              </w:rPr>
            </w:pPr>
            <w:r>
              <w:rPr>
                <w:rFonts w:ascii="Arial" w:cs="Arial" w:eastAsia="Arial" w:hAnsi="Arial"/>
                <w:sz w:val="12"/>
                <w:szCs w:val="12"/>
                <w:color w:val="auto"/>
                <w:highlight w:val="lightGray"/>
              </w:rPr>
              <w:t>1,400,000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CCD2DB"/>
            </w:tcBorders>
            <w:shd w:val="clear" w:color="auto" w:fill="CCD2DB"/>
          </w:tcPr>
          <w:p>
            <w:pPr>
              <w:spacing w:after="0"/>
              <w:rPr>
                <w:sz w:val="16"/>
                <w:szCs w:val="16"/>
                <w:color w:val="auto"/>
              </w:rPr>
            </w:pPr>
          </w:p>
        </w:tc>
        <w:tc>
          <w:tcPr>
            <w:tcW w:w="940" w:type="dxa"/>
            <w:vAlign w:val="bottom"/>
            <w:tcBorders>
              <w:bottom w:val="single" w:sz="8" w:color="CCD2DB"/>
            </w:tcBorders>
            <w:shd w:val="clear" w:color="auto" w:fill="CCD2DB"/>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6"/>
                <w:szCs w:val="16"/>
                <w:color w:val="auto"/>
              </w:rPr>
            </w:pPr>
          </w:p>
        </w:tc>
        <w:tc>
          <w:tcPr>
            <w:tcW w:w="120" w:type="dxa"/>
            <w:vAlign w:val="bottom"/>
            <w:tcBorders>
              <w:bottom w:val="single" w:sz="8" w:color="CCD2DB"/>
            </w:tcBorders>
            <w:shd w:val="clear" w:color="auto" w:fill="CCD2DB"/>
          </w:tcPr>
          <w:p>
            <w:pPr>
              <w:spacing w:after="0"/>
              <w:rPr>
                <w:sz w:val="16"/>
                <w:szCs w:val="16"/>
                <w:color w:val="auto"/>
              </w:rPr>
            </w:pPr>
          </w:p>
        </w:tc>
        <w:tc>
          <w:tcPr>
            <w:tcW w:w="780" w:type="dxa"/>
            <w:vAlign w:val="bottom"/>
            <w:tcBorders>
              <w:bottom w:val="single" w:sz="8" w:color="CCD2DB"/>
            </w:tcBorders>
            <w:shd w:val="clear" w:color="auto" w:fill="CCD2DB"/>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CCD2DB"/>
            </w:tcBorders>
            <w:shd w:val="clear" w:color="auto" w:fill="CCD2DB"/>
          </w:tcPr>
          <w:p>
            <w:pPr>
              <w:spacing w:after="0"/>
              <w:rPr>
                <w:sz w:val="16"/>
                <w:szCs w:val="16"/>
                <w:color w:val="auto"/>
              </w:rPr>
            </w:pPr>
          </w:p>
        </w:tc>
        <w:tc>
          <w:tcPr>
            <w:tcW w:w="840" w:type="dxa"/>
            <w:vAlign w:val="bottom"/>
            <w:tcBorders>
              <w:bottom w:val="single" w:sz="8" w:color="CCD2DB"/>
            </w:tcBorders>
            <w:shd w:val="clear" w:color="auto" w:fill="CCD2DB"/>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6"/>
                <w:szCs w:val="16"/>
                <w:color w:val="auto"/>
              </w:rPr>
            </w:pPr>
          </w:p>
        </w:tc>
        <w:tc>
          <w:tcPr>
            <w:tcW w:w="340" w:type="dxa"/>
            <w:vAlign w:val="bottom"/>
            <w:tcBorders>
              <w:bottom w:val="single" w:sz="8" w:color="CCD2DB"/>
            </w:tcBorders>
            <w:shd w:val="clear" w:color="auto" w:fill="CCD2DB"/>
          </w:tcPr>
          <w:p>
            <w:pPr>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CCD2DB"/>
            </w:tcBorders>
            <w:shd w:val="clear" w:color="auto" w:fill="CCD2DB"/>
          </w:tcPr>
          <w:p>
            <w:pPr>
              <w:jc w:val="right"/>
              <w:spacing w:after="0"/>
              <w:rPr>
                <w:sz w:val="20"/>
                <w:szCs w:val="20"/>
                <w:color w:val="auto"/>
              </w:rPr>
            </w:pPr>
            <w:r>
              <w:rPr>
                <w:rFonts w:ascii="Arial" w:cs="Arial" w:eastAsia="Arial" w:hAnsi="Arial"/>
                <w:sz w:val="12"/>
                <w:szCs w:val="12"/>
                <w:color w:val="auto"/>
              </w:rPr>
              <w:t>7,950</w:t>
            </w:r>
          </w:p>
        </w:tc>
        <w:tc>
          <w:tcPr>
            <w:tcW w:w="80" w:type="dxa"/>
            <w:vAlign w:val="bottom"/>
          </w:tcPr>
          <w:p>
            <w:pPr>
              <w:spacing w:after="0"/>
              <w:rPr>
                <w:sz w:val="16"/>
                <w:szCs w:val="16"/>
                <w:color w:val="auto"/>
              </w:rPr>
            </w:pPr>
          </w:p>
        </w:tc>
        <w:tc>
          <w:tcPr>
            <w:tcW w:w="120" w:type="dxa"/>
            <w:vAlign w:val="bottom"/>
            <w:tcBorders>
              <w:bottom w:val="single" w:sz="8" w:color="CCD2DB"/>
            </w:tcBorders>
            <w:shd w:val="clear" w:color="auto" w:fill="CCD2DB"/>
          </w:tcPr>
          <w:p>
            <w:pPr>
              <w:jc w:val="right"/>
              <w:spacing w:after="0"/>
              <w:rPr>
                <w:sz w:val="20"/>
                <w:szCs w:val="20"/>
                <w:color w:val="auto"/>
              </w:rPr>
            </w:pPr>
            <w:r>
              <w:rPr>
                <w:rFonts w:ascii="Arial" w:cs="Arial" w:eastAsia="Arial" w:hAnsi="Arial"/>
                <w:sz w:val="12"/>
                <w:szCs w:val="12"/>
                <w:color w:val="auto"/>
                <w:highlight w:val="lightGray"/>
                <w:w w:val="89"/>
              </w:rPr>
              <w:t>$</w:t>
            </w:r>
          </w:p>
        </w:tc>
        <w:tc>
          <w:tcPr>
            <w:tcW w:w="640" w:type="dxa"/>
            <w:vAlign w:val="bottom"/>
            <w:tcBorders>
              <w:bottom w:val="single" w:sz="8" w:color="CCD2DB"/>
            </w:tcBorders>
            <w:shd w:val="clear" w:color="auto" w:fill="CCD2DB"/>
          </w:tcPr>
          <w:p>
            <w:pPr>
              <w:jc w:val="right"/>
              <w:spacing w:after="0"/>
              <w:rPr>
                <w:sz w:val="20"/>
                <w:szCs w:val="20"/>
                <w:color w:val="auto"/>
              </w:rPr>
            </w:pPr>
            <w:r>
              <w:rPr>
                <w:rFonts w:ascii="Arial" w:cs="Arial" w:eastAsia="Arial" w:hAnsi="Arial"/>
                <w:sz w:val="12"/>
                <w:szCs w:val="12"/>
                <w:color w:val="auto"/>
                <w:highlight w:val="lightGray"/>
              </w:rPr>
              <w:t>1,807,950</w:t>
            </w:r>
          </w:p>
        </w:tc>
        <w:tc>
          <w:tcPr>
            <w:tcW w:w="0" w:type="dxa"/>
            <w:vAlign w:val="bottom"/>
          </w:tcPr>
          <w:p>
            <w:pPr>
              <w:spacing w:after="0"/>
              <w:rPr>
                <w:sz w:val="1"/>
                <w:szCs w:val="1"/>
                <w:color w:val="auto"/>
              </w:rPr>
            </w:pPr>
          </w:p>
        </w:tc>
      </w:tr>
      <w:tr>
        <w:trPr>
          <w:trHeight w:val="20"/>
        </w:trPr>
        <w:tc>
          <w:tcPr>
            <w:tcW w:w="4320" w:type="dxa"/>
            <w:vAlign w:val="bottom"/>
            <w:gridSpan w:val="2"/>
          </w:tcPr>
          <w:p>
            <w:pPr>
              <w:spacing w:after="0" w:line="20" w:lineRule="exact"/>
              <w:rPr>
                <w:sz w:val="1"/>
                <w:szCs w:val="1"/>
                <w:color w:val="auto"/>
              </w:rPr>
            </w:pPr>
          </w:p>
        </w:tc>
        <w:tc>
          <w:tcPr>
            <w:tcW w:w="32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56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94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84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640" w:type="dxa"/>
            <w:vAlign w:val="bottom"/>
            <w:shd w:val="clear" w:color="auto" w:fill="98A3B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320" w:type="dxa"/>
            <w:vAlign w:val="bottom"/>
            <w:gridSpan w:val="2"/>
          </w:tcPr>
          <w:p>
            <w:pPr>
              <w:spacing w:after="0"/>
              <w:rPr>
                <w:sz w:val="20"/>
                <w:szCs w:val="20"/>
                <w:color w:val="auto"/>
              </w:rPr>
            </w:pPr>
            <w:r>
              <w:rPr>
                <w:rFonts w:ascii="Arial" w:cs="Arial" w:eastAsia="Arial" w:hAnsi="Arial"/>
                <w:sz w:val="12"/>
                <w:szCs w:val="12"/>
                <w:color w:val="auto"/>
              </w:rPr>
              <w:t>DiLiberto</w:t>
            </w: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rPr>
              <w:t>2015</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400,000</w:t>
            </w:r>
          </w:p>
        </w:tc>
        <w:tc>
          <w:tcPr>
            <w:tcW w:w="80" w:type="dxa"/>
            <w:vAlign w:val="bottom"/>
          </w:tcPr>
          <w:p>
            <w:pPr>
              <w:spacing w:after="0"/>
              <w:rPr>
                <w:sz w:val="14"/>
                <w:szCs w:val="14"/>
                <w:color w:val="auto"/>
              </w:rPr>
            </w:pPr>
          </w:p>
        </w:tc>
        <w:tc>
          <w:tcPr>
            <w:tcW w:w="160" w:type="dxa"/>
            <w:vAlign w:val="bottom"/>
          </w:tcPr>
          <w:p>
            <w:pPr>
              <w:jc w:val="right"/>
              <w:ind w:right="21"/>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1,400,000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2"/>
                <w:szCs w:val="12"/>
                <w:color w:val="auto"/>
              </w:rPr>
              <w:t>7,950</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1,807,950</w:t>
            </w:r>
          </w:p>
        </w:tc>
        <w:tc>
          <w:tcPr>
            <w:tcW w:w="0" w:type="dxa"/>
            <w:vAlign w:val="bottom"/>
          </w:tcPr>
          <w:p>
            <w:pPr>
              <w:spacing w:after="0"/>
              <w:rPr>
                <w:sz w:val="1"/>
                <w:szCs w:val="1"/>
                <w:color w:val="auto"/>
              </w:rPr>
            </w:pPr>
          </w:p>
        </w:tc>
      </w:tr>
      <w:tr>
        <w:trPr>
          <w:trHeight w:val="214"/>
        </w:trPr>
        <w:tc>
          <w:tcPr>
            <w:tcW w:w="4320" w:type="dxa"/>
            <w:vAlign w:val="bottom"/>
            <w:gridSpan w:val="2"/>
          </w:tcPr>
          <w:p>
            <w:pPr>
              <w:spacing w:after="0"/>
              <w:rPr>
                <w:sz w:val="20"/>
                <w:szCs w:val="20"/>
                <w:color w:val="auto"/>
              </w:rPr>
            </w:pPr>
            <w:r>
              <w:rPr>
                <w:rFonts w:ascii="Arial" w:cs="Arial" w:eastAsia="Arial" w:hAnsi="Arial"/>
                <w:sz w:val="12"/>
                <w:szCs w:val="12"/>
                <w:color w:val="auto"/>
              </w:rPr>
              <w:t>Chief Financial</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320" w:type="dxa"/>
            <w:vAlign w:val="bottom"/>
            <w:gridSpan w:val="2"/>
          </w:tcPr>
          <w:p>
            <w:pPr>
              <w:spacing w:after="0"/>
              <w:rPr>
                <w:sz w:val="20"/>
                <w:szCs w:val="20"/>
                <w:color w:val="auto"/>
              </w:rPr>
            </w:pPr>
            <w:r>
              <w:rPr>
                <w:rFonts w:ascii="Arial" w:cs="Arial" w:eastAsia="Arial" w:hAnsi="Arial"/>
                <w:sz w:val="12"/>
                <w:szCs w:val="12"/>
                <w:color w:val="auto"/>
              </w:rPr>
              <w:t>Officer</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4240" w:type="dxa"/>
            <w:vAlign w:val="bottom"/>
            <w:tcBorders>
              <w:bottom w:val="single" w:sz="8" w:color="98A3B8"/>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98A3B8"/>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98A3B8"/>
            </w:tcBorders>
          </w:tcPr>
          <w:p>
            <w:pPr>
              <w:spacing w:after="0"/>
              <w:rPr>
                <w:sz w:val="3"/>
                <w:szCs w:val="3"/>
                <w:color w:val="auto"/>
              </w:rPr>
            </w:pPr>
          </w:p>
        </w:tc>
        <w:tc>
          <w:tcPr>
            <w:tcW w:w="560" w:type="dxa"/>
            <w:vAlign w:val="bottom"/>
            <w:tcBorders>
              <w:bottom w:val="single" w:sz="8" w:color="98A3B8"/>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98A3B8"/>
            </w:tcBorders>
          </w:tcPr>
          <w:p>
            <w:pPr>
              <w:spacing w:after="0"/>
              <w:rPr>
                <w:sz w:val="3"/>
                <w:szCs w:val="3"/>
                <w:color w:val="auto"/>
              </w:rPr>
            </w:pPr>
          </w:p>
        </w:tc>
        <w:tc>
          <w:tcPr>
            <w:tcW w:w="620" w:type="dxa"/>
            <w:vAlign w:val="bottom"/>
            <w:tcBorders>
              <w:bottom w:val="single" w:sz="8" w:color="98A3B8"/>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Borders>
              <w:bottom w:val="single" w:sz="8" w:color="98A3B8"/>
            </w:tcBorders>
          </w:tcPr>
          <w:p>
            <w:pPr>
              <w:spacing w:after="0"/>
              <w:rPr>
                <w:sz w:val="3"/>
                <w:szCs w:val="3"/>
                <w:color w:val="auto"/>
              </w:rPr>
            </w:pPr>
          </w:p>
        </w:tc>
        <w:tc>
          <w:tcPr>
            <w:tcW w:w="940" w:type="dxa"/>
            <w:vAlign w:val="bottom"/>
            <w:tcBorders>
              <w:bottom w:val="single" w:sz="8" w:color="98A3B8"/>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98A3B8"/>
            </w:tcBorders>
          </w:tcPr>
          <w:p>
            <w:pPr>
              <w:spacing w:after="0"/>
              <w:rPr>
                <w:sz w:val="3"/>
                <w:szCs w:val="3"/>
                <w:color w:val="auto"/>
              </w:rPr>
            </w:pPr>
          </w:p>
        </w:tc>
        <w:tc>
          <w:tcPr>
            <w:tcW w:w="780" w:type="dxa"/>
            <w:vAlign w:val="bottom"/>
            <w:tcBorders>
              <w:bottom w:val="single" w:sz="8" w:color="98A3B8"/>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Borders>
              <w:bottom w:val="single" w:sz="8" w:color="98A3B8"/>
            </w:tcBorders>
          </w:tcPr>
          <w:p>
            <w:pPr>
              <w:spacing w:after="0"/>
              <w:rPr>
                <w:sz w:val="3"/>
                <w:szCs w:val="3"/>
                <w:color w:val="auto"/>
              </w:rPr>
            </w:pPr>
          </w:p>
        </w:tc>
        <w:tc>
          <w:tcPr>
            <w:tcW w:w="840" w:type="dxa"/>
            <w:vAlign w:val="bottom"/>
            <w:tcBorders>
              <w:bottom w:val="single" w:sz="8" w:color="98A3B8"/>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98A3B8"/>
            </w:tcBorders>
          </w:tcPr>
          <w:p>
            <w:pPr>
              <w:spacing w:after="0"/>
              <w:rPr>
                <w:sz w:val="3"/>
                <w:szCs w:val="3"/>
                <w:color w:val="auto"/>
              </w:rPr>
            </w:pPr>
          </w:p>
        </w:tc>
        <w:tc>
          <w:tcPr>
            <w:tcW w:w="780" w:type="dxa"/>
            <w:vAlign w:val="bottom"/>
            <w:tcBorders>
              <w:bottom w:val="single" w:sz="8" w:color="98A3B8"/>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98A3B8"/>
            </w:tcBorders>
          </w:tcPr>
          <w:p>
            <w:pPr>
              <w:spacing w:after="0"/>
              <w:rPr>
                <w:sz w:val="3"/>
                <w:szCs w:val="3"/>
                <w:color w:val="auto"/>
              </w:rPr>
            </w:pPr>
          </w:p>
        </w:tc>
        <w:tc>
          <w:tcPr>
            <w:tcW w:w="640" w:type="dxa"/>
            <w:vAlign w:val="bottom"/>
            <w:tcBorders>
              <w:bottom w:val="single" w:sz="8" w:color="98A3B8"/>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4320" w:type="dxa"/>
            <w:vAlign w:val="bottom"/>
            <w:gridSpan w:val="2"/>
          </w:tcPr>
          <w:p>
            <w:pPr>
              <w:spacing w:after="0"/>
              <w:rPr>
                <w:sz w:val="20"/>
                <w:szCs w:val="20"/>
                <w:color w:val="auto"/>
              </w:rPr>
            </w:pPr>
            <w:r>
              <w:rPr>
                <w:rFonts w:ascii="Arial" w:cs="Arial" w:eastAsia="Arial" w:hAnsi="Arial"/>
                <w:sz w:val="12"/>
                <w:szCs w:val="12"/>
                <w:color w:val="auto"/>
              </w:rPr>
              <w:t>Andrew S. Levine</w:t>
            </w:r>
          </w:p>
        </w:tc>
        <w:tc>
          <w:tcPr>
            <w:tcW w:w="320" w:type="dxa"/>
            <w:vAlign w:val="bottom"/>
            <w:tcBorders>
              <w:bottom w:val="single" w:sz="8" w:color="CCD2DB"/>
            </w:tcBorders>
            <w:shd w:val="clear" w:color="auto" w:fill="CCD2DB"/>
          </w:tcPr>
          <w:p>
            <w:pPr>
              <w:jc w:val="right"/>
              <w:spacing w:after="0"/>
              <w:rPr>
                <w:sz w:val="20"/>
                <w:szCs w:val="20"/>
                <w:color w:val="auto"/>
              </w:rPr>
            </w:pPr>
            <w:r>
              <w:rPr>
                <w:rFonts w:ascii="Arial" w:cs="Arial" w:eastAsia="Arial" w:hAnsi="Arial"/>
                <w:sz w:val="12"/>
                <w:szCs w:val="12"/>
                <w:color w:val="auto"/>
              </w:rPr>
              <w:t>2016</w:t>
            </w:r>
          </w:p>
        </w:tc>
        <w:tc>
          <w:tcPr>
            <w:tcW w:w="80" w:type="dxa"/>
            <w:vAlign w:val="bottom"/>
          </w:tcPr>
          <w:p>
            <w:pPr>
              <w:spacing w:after="0"/>
              <w:rPr>
                <w:sz w:val="16"/>
                <w:szCs w:val="16"/>
                <w:color w:val="auto"/>
              </w:rPr>
            </w:pPr>
          </w:p>
        </w:tc>
        <w:tc>
          <w:tcPr>
            <w:tcW w:w="120" w:type="dxa"/>
            <w:vAlign w:val="bottom"/>
            <w:tcBorders>
              <w:bottom w:val="single" w:sz="8" w:color="CCD2DB"/>
            </w:tcBorders>
            <w:shd w:val="clear" w:color="auto" w:fill="CCD2DB"/>
          </w:tcPr>
          <w:p>
            <w:pPr>
              <w:jc w:val="right"/>
              <w:spacing w:after="0"/>
              <w:rPr>
                <w:sz w:val="20"/>
                <w:szCs w:val="20"/>
                <w:color w:val="auto"/>
              </w:rPr>
            </w:pPr>
            <w:r>
              <w:rPr>
                <w:rFonts w:ascii="Arial" w:cs="Arial" w:eastAsia="Arial" w:hAnsi="Arial"/>
                <w:sz w:val="12"/>
                <w:szCs w:val="12"/>
                <w:color w:val="auto"/>
                <w:highlight w:val="lightGray"/>
                <w:w w:val="89"/>
              </w:rPr>
              <w:t>$</w:t>
            </w:r>
          </w:p>
        </w:tc>
        <w:tc>
          <w:tcPr>
            <w:tcW w:w="560" w:type="dxa"/>
            <w:vAlign w:val="bottom"/>
            <w:tcBorders>
              <w:bottom w:val="single" w:sz="8" w:color="CCD2DB"/>
            </w:tcBorders>
            <w:shd w:val="clear" w:color="auto" w:fill="CCD2DB"/>
          </w:tcPr>
          <w:p>
            <w:pPr>
              <w:jc w:val="right"/>
              <w:spacing w:after="0"/>
              <w:rPr>
                <w:sz w:val="20"/>
                <w:szCs w:val="20"/>
                <w:color w:val="auto"/>
              </w:rPr>
            </w:pPr>
            <w:r>
              <w:rPr>
                <w:rFonts w:ascii="Arial" w:cs="Arial" w:eastAsia="Arial" w:hAnsi="Arial"/>
                <w:sz w:val="12"/>
                <w:szCs w:val="12"/>
                <w:color w:val="auto"/>
                <w:highlight w:val="lightGray"/>
              </w:rPr>
              <w:t>550,000</w:t>
            </w:r>
          </w:p>
        </w:tc>
        <w:tc>
          <w:tcPr>
            <w:tcW w:w="80" w:type="dxa"/>
            <w:vAlign w:val="bottom"/>
          </w:tcPr>
          <w:p>
            <w:pPr>
              <w:spacing w:after="0"/>
              <w:rPr>
                <w:sz w:val="16"/>
                <w:szCs w:val="16"/>
                <w:color w:val="auto"/>
              </w:rPr>
            </w:pPr>
          </w:p>
        </w:tc>
        <w:tc>
          <w:tcPr>
            <w:tcW w:w="160" w:type="dxa"/>
            <w:vAlign w:val="bottom"/>
            <w:tcBorders>
              <w:bottom w:val="single" w:sz="8" w:color="CCD2DB"/>
            </w:tcBorders>
            <w:shd w:val="clear" w:color="auto" w:fill="CCD2DB"/>
          </w:tcPr>
          <w:p>
            <w:pPr>
              <w:spacing w:after="0"/>
              <w:rPr>
                <w:sz w:val="16"/>
                <w:szCs w:val="16"/>
                <w:color w:val="auto"/>
              </w:rPr>
            </w:pPr>
          </w:p>
        </w:tc>
        <w:tc>
          <w:tcPr>
            <w:tcW w:w="620" w:type="dxa"/>
            <w:vAlign w:val="bottom"/>
            <w:tcBorders>
              <w:bottom w:val="single" w:sz="8" w:color="CCD2DB"/>
            </w:tcBorders>
            <w:shd w:val="clear" w:color="auto" w:fill="CCD2DB"/>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CCD2DB"/>
            </w:tcBorders>
            <w:shd w:val="clear" w:color="auto" w:fill="CCD2DB"/>
          </w:tcPr>
          <w:p>
            <w:pPr>
              <w:jc w:val="right"/>
              <w:ind w:right="13"/>
              <w:spacing w:after="0"/>
              <w:rPr>
                <w:sz w:val="20"/>
                <w:szCs w:val="20"/>
                <w:color w:val="auto"/>
              </w:rPr>
            </w:pPr>
            <w:r>
              <w:rPr>
                <w:rFonts w:ascii="Arial" w:cs="Arial" w:eastAsia="Arial" w:hAnsi="Arial"/>
                <w:sz w:val="9"/>
                <w:szCs w:val="9"/>
                <w:color w:val="auto"/>
                <w:w w:val="78"/>
              </w:rPr>
              <w:t>$</w:t>
            </w:r>
          </w:p>
        </w:tc>
        <w:tc>
          <w:tcPr>
            <w:tcW w:w="940" w:type="dxa"/>
            <w:vAlign w:val="bottom"/>
            <w:tcBorders>
              <w:bottom w:val="single" w:sz="8" w:color="CCD2DB"/>
            </w:tcBorders>
            <w:shd w:val="clear" w:color="auto" w:fill="CCD2DB"/>
          </w:tcPr>
          <w:p>
            <w:pPr>
              <w:jc w:val="right"/>
              <w:spacing w:after="0"/>
              <w:rPr>
                <w:sz w:val="20"/>
                <w:szCs w:val="20"/>
                <w:color w:val="auto"/>
              </w:rPr>
            </w:pPr>
            <w:r>
              <w:rPr>
                <w:rFonts w:ascii="Arial" w:cs="Arial" w:eastAsia="Arial" w:hAnsi="Arial"/>
                <w:sz w:val="12"/>
                <w:szCs w:val="12"/>
                <w:color w:val="auto"/>
              </w:rPr>
              <w:t>3,709,007</w:t>
            </w:r>
          </w:p>
        </w:tc>
        <w:tc>
          <w:tcPr>
            <w:tcW w:w="80" w:type="dxa"/>
            <w:vAlign w:val="bottom"/>
          </w:tcPr>
          <w:p>
            <w:pPr>
              <w:spacing w:after="0"/>
              <w:rPr>
                <w:sz w:val="16"/>
                <w:szCs w:val="16"/>
                <w:color w:val="auto"/>
              </w:rPr>
            </w:pPr>
          </w:p>
        </w:tc>
        <w:tc>
          <w:tcPr>
            <w:tcW w:w="120" w:type="dxa"/>
            <w:vAlign w:val="bottom"/>
            <w:tcBorders>
              <w:bottom w:val="single" w:sz="8" w:color="CCD2DB"/>
            </w:tcBorders>
            <w:shd w:val="clear" w:color="auto" w:fill="CCD2DB"/>
          </w:tcPr>
          <w:p>
            <w:pPr>
              <w:spacing w:after="0"/>
              <w:rPr>
                <w:sz w:val="16"/>
                <w:szCs w:val="16"/>
                <w:color w:val="auto"/>
              </w:rPr>
            </w:pPr>
          </w:p>
        </w:tc>
        <w:tc>
          <w:tcPr>
            <w:tcW w:w="780" w:type="dxa"/>
            <w:vAlign w:val="bottom"/>
            <w:tcBorders>
              <w:bottom w:val="single" w:sz="8" w:color="CCD2DB"/>
            </w:tcBorders>
            <w:shd w:val="clear" w:color="auto" w:fill="CCD2DB"/>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CCD2DB"/>
            </w:tcBorders>
            <w:shd w:val="clear" w:color="auto" w:fill="CCD2DB"/>
          </w:tcPr>
          <w:p>
            <w:pPr>
              <w:spacing w:after="0"/>
              <w:rPr>
                <w:sz w:val="16"/>
                <w:szCs w:val="16"/>
                <w:color w:val="auto"/>
              </w:rPr>
            </w:pPr>
          </w:p>
        </w:tc>
        <w:tc>
          <w:tcPr>
            <w:tcW w:w="840" w:type="dxa"/>
            <w:vAlign w:val="bottom"/>
            <w:tcBorders>
              <w:bottom w:val="single" w:sz="8" w:color="CCD2DB"/>
            </w:tcBorders>
            <w:shd w:val="clear" w:color="auto" w:fill="CCD2DB"/>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6"/>
                <w:szCs w:val="16"/>
                <w:color w:val="auto"/>
              </w:rPr>
            </w:pPr>
          </w:p>
        </w:tc>
        <w:tc>
          <w:tcPr>
            <w:tcW w:w="340" w:type="dxa"/>
            <w:vAlign w:val="bottom"/>
            <w:tcBorders>
              <w:bottom w:val="single" w:sz="8" w:color="CCD2DB"/>
            </w:tcBorders>
            <w:shd w:val="clear" w:color="auto" w:fill="CCD2DB"/>
          </w:tcPr>
          <w:p>
            <w:pPr>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CCD2DB"/>
            </w:tcBorders>
            <w:shd w:val="clear" w:color="auto" w:fill="CCD2DB"/>
          </w:tcPr>
          <w:p>
            <w:pPr>
              <w:jc w:val="right"/>
              <w:spacing w:after="0"/>
              <w:rPr>
                <w:sz w:val="20"/>
                <w:szCs w:val="20"/>
                <w:color w:val="auto"/>
              </w:rPr>
            </w:pPr>
            <w:r>
              <w:rPr>
                <w:rFonts w:ascii="Arial" w:cs="Arial" w:eastAsia="Arial" w:hAnsi="Arial"/>
                <w:sz w:val="12"/>
                <w:szCs w:val="12"/>
                <w:color w:val="auto"/>
              </w:rPr>
              <w:t>7,950</w:t>
            </w:r>
          </w:p>
        </w:tc>
        <w:tc>
          <w:tcPr>
            <w:tcW w:w="80" w:type="dxa"/>
            <w:vAlign w:val="bottom"/>
          </w:tcPr>
          <w:p>
            <w:pPr>
              <w:spacing w:after="0"/>
              <w:rPr>
                <w:sz w:val="16"/>
                <w:szCs w:val="16"/>
                <w:color w:val="auto"/>
              </w:rPr>
            </w:pPr>
          </w:p>
        </w:tc>
        <w:tc>
          <w:tcPr>
            <w:tcW w:w="120" w:type="dxa"/>
            <w:vAlign w:val="bottom"/>
            <w:tcBorders>
              <w:bottom w:val="single" w:sz="8" w:color="CCD2DB"/>
            </w:tcBorders>
            <w:shd w:val="clear" w:color="auto" w:fill="CCD2DB"/>
          </w:tcPr>
          <w:p>
            <w:pPr>
              <w:jc w:val="right"/>
              <w:spacing w:after="0"/>
              <w:rPr>
                <w:sz w:val="20"/>
                <w:szCs w:val="20"/>
                <w:color w:val="auto"/>
              </w:rPr>
            </w:pPr>
            <w:r>
              <w:rPr>
                <w:rFonts w:ascii="Arial" w:cs="Arial" w:eastAsia="Arial" w:hAnsi="Arial"/>
                <w:sz w:val="12"/>
                <w:szCs w:val="12"/>
                <w:color w:val="auto"/>
                <w:highlight w:val="lightGray"/>
                <w:w w:val="89"/>
              </w:rPr>
              <w:t>$</w:t>
            </w:r>
          </w:p>
        </w:tc>
        <w:tc>
          <w:tcPr>
            <w:tcW w:w="640" w:type="dxa"/>
            <w:vAlign w:val="bottom"/>
            <w:tcBorders>
              <w:bottom w:val="single" w:sz="8" w:color="CCD2DB"/>
            </w:tcBorders>
            <w:shd w:val="clear" w:color="auto" w:fill="CCD2DB"/>
          </w:tcPr>
          <w:p>
            <w:pPr>
              <w:jc w:val="right"/>
              <w:spacing w:after="0"/>
              <w:rPr>
                <w:sz w:val="20"/>
                <w:szCs w:val="20"/>
                <w:color w:val="auto"/>
              </w:rPr>
            </w:pPr>
            <w:r>
              <w:rPr>
                <w:rFonts w:ascii="Arial" w:cs="Arial" w:eastAsia="Arial" w:hAnsi="Arial"/>
                <w:sz w:val="12"/>
                <w:szCs w:val="12"/>
                <w:color w:val="auto"/>
                <w:highlight w:val="lightGray"/>
              </w:rPr>
              <w:t>4,266,957</w:t>
            </w:r>
          </w:p>
        </w:tc>
        <w:tc>
          <w:tcPr>
            <w:tcW w:w="0" w:type="dxa"/>
            <w:vAlign w:val="bottom"/>
          </w:tcPr>
          <w:p>
            <w:pPr>
              <w:spacing w:after="0"/>
              <w:rPr>
                <w:sz w:val="1"/>
                <w:szCs w:val="1"/>
                <w:color w:val="auto"/>
              </w:rPr>
            </w:pPr>
          </w:p>
        </w:tc>
      </w:tr>
      <w:tr>
        <w:trPr>
          <w:trHeight w:val="20"/>
        </w:trPr>
        <w:tc>
          <w:tcPr>
            <w:tcW w:w="4320" w:type="dxa"/>
            <w:vAlign w:val="bottom"/>
            <w:gridSpan w:val="2"/>
          </w:tcPr>
          <w:p>
            <w:pPr>
              <w:spacing w:after="0" w:line="20" w:lineRule="exact"/>
              <w:rPr>
                <w:sz w:val="1"/>
                <w:szCs w:val="1"/>
                <w:color w:val="auto"/>
              </w:rPr>
            </w:pPr>
          </w:p>
        </w:tc>
        <w:tc>
          <w:tcPr>
            <w:tcW w:w="32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56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94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84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640" w:type="dxa"/>
            <w:vAlign w:val="bottom"/>
            <w:shd w:val="clear" w:color="auto" w:fill="98A3B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320" w:type="dxa"/>
            <w:vAlign w:val="bottom"/>
            <w:gridSpan w:val="2"/>
          </w:tcPr>
          <w:p>
            <w:pPr>
              <w:spacing w:after="0"/>
              <w:rPr>
                <w:sz w:val="20"/>
                <w:szCs w:val="20"/>
                <w:color w:val="auto"/>
              </w:rPr>
            </w:pPr>
            <w:r>
              <w:rPr>
                <w:rFonts w:ascii="Arial" w:cs="Arial" w:eastAsia="Arial" w:hAnsi="Arial"/>
                <w:sz w:val="12"/>
                <w:szCs w:val="12"/>
                <w:color w:val="auto"/>
              </w:rPr>
              <w:t>Chief Legal Officer</w:t>
            </w: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rPr>
              <w:t>2015</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500,000</w:t>
            </w:r>
          </w:p>
        </w:tc>
        <w:tc>
          <w:tcPr>
            <w:tcW w:w="16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60" w:type="dxa"/>
            <w:vAlign w:val="bottom"/>
            <w:gridSpan w:val="2"/>
          </w:tcPr>
          <w:p>
            <w:pPr>
              <w:jc w:val="right"/>
              <w:ind w:right="13"/>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873,342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2"/>
                <w:szCs w:val="12"/>
                <w:color w:val="auto"/>
              </w:rPr>
              <w:t>7,950</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1,381,292</w:t>
            </w:r>
          </w:p>
        </w:tc>
        <w:tc>
          <w:tcPr>
            <w:tcW w:w="0" w:type="dxa"/>
            <w:vAlign w:val="bottom"/>
          </w:tcPr>
          <w:p>
            <w:pPr>
              <w:spacing w:after="0"/>
              <w:rPr>
                <w:sz w:val="1"/>
                <w:szCs w:val="1"/>
                <w:color w:val="auto"/>
              </w:rPr>
            </w:pPr>
          </w:p>
        </w:tc>
      </w:tr>
      <w:tr>
        <w:trPr>
          <w:trHeight w:val="37"/>
        </w:trPr>
        <w:tc>
          <w:tcPr>
            <w:tcW w:w="4320" w:type="dxa"/>
            <w:vAlign w:val="bottom"/>
            <w:gridSpan w:val="2"/>
          </w:tcPr>
          <w:p>
            <w:pPr>
              <w:spacing w:after="0"/>
              <w:rPr>
                <w:sz w:val="3"/>
                <w:szCs w:val="3"/>
                <w:color w:val="auto"/>
              </w:rPr>
            </w:pPr>
          </w:p>
        </w:tc>
        <w:tc>
          <w:tcPr>
            <w:tcW w:w="320" w:type="dxa"/>
            <w:vAlign w:val="bottom"/>
            <w:tcBorders>
              <w:bottom w:val="single" w:sz="8" w:color="98A3B8"/>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98A3B8"/>
            </w:tcBorders>
          </w:tcPr>
          <w:p>
            <w:pPr>
              <w:spacing w:after="0"/>
              <w:rPr>
                <w:sz w:val="3"/>
                <w:szCs w:val="3"/>
                <w:color w:val="auto"/>
              </w:rPr>
            </w:pPr>
          </w:p>
        </w:tc>
        <w:tc>
          <w:tcPr>
            <w:tcW w:w="560" w:type="dxa"/>
            <w:vAlign w:val="bottom"/>
            <w:tcBorders>
              <w:bottom w:val="single" w:sz="8" w:color="98A3B8"/>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98A3B8"/>
            </w:tcBorders>
          </w:tcPr>
          <w:p>
            <w:pPr>
              <w:spacing w:after="0"/>
              <w:rPr>
                <w:sz w:val="3"/>
                <w:szCs w:val="3"/>
                <w:color w:val="auto"/>
              </w:rPr>
            </w:pPr>
          </w:p>
        </w:tc>
        <w:tc>
          <w:tcPr>
            <w:tcW w:w="620" w:type="dxa"/>
            <w:vAlign w:val="bottom"/>
            <w:tcBorders>
              <w:bottom w:val="single" w:sz="8" w:color="98A3B8"/>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Borders>
              <w:bottom w:val="single" w:sz="8" w:color="98A3B8"/>
            </w:tcBorders>
          </w:tcPr>
          <w:p>
            <w:pPr>
              <w:spacing w:after="0"/>
              <w:rPr>
                <w:sz w:val="3"/>
                <w:szCs w:val="3"/>
                <w:color w:val="auto"/>
              </w:rPr>
            </w:pPr>
          </w:p>
        </w:tc>
        <w:tc>
          <w:tcPr>
            <w:tcW w:w="940" w:type="dxa"/>
            <w:vAlign w:val="bottom"/>
            <w:tcBorders>
              <w:bottom w:val="single" w:sz="8" w:color="98A3B8"/>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98A3B8"/>
            </w:tcBorders>
          </w:tcPr>
          <w:p>
            <w:pPr>
              <w:spacing w:after="0"/>
              <w:rPr>
                <w:sz w:val="3"/>
                <w:szCs w:val="3"/>
                <w:color w:val="auto"/>
              </w:rPr>
            </w:pPr>
          </w:p>
        </w:tc>
        <w:tc>
          <w:tcPr>
            <w:tcW w:w="780" w:type="dxa"/>
            <w:vAlign w:val="bottom"/>
            <w:tcBorders>
              <w:bottom w:val="single" w:sz="8" w:color="98A3B8"/>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Borders>
              <w:bottom w:val="single" w:sz="8" w:color="98A3B8"/>
            </w:tcBorders>
          </w:tcPr>
          <w:p>
            <w:pPr>
              <w:spacing w:after="0"/>
              <w:rPr>
                <w:sz w:val="3"/>
                <w:szCs w:val="3"/>
                <w:color w:val="auto"/>
              </w:rPr>
            </w:pPr>
          </w:p>
        </w:tc>
        <w:tc>
          <w:tcPr>
            <w:tcW w:w="840" w:type="dxa"/>
            <w:vAlign w:val="bottom"/>
            <w:tcBorders>
              <w:bottom w:val="single" w:sz="8" w:color="98A3B8"/>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98A3B8"/>
            </w:tcBorders>
          </w:tcPr>
          <w:p>
            <w:pPr>
              <w:spacing w:after="0"/>
              <w:rPr>
                <w:sz w:val="3"/>
                <w:szCs w:val="3"/>
                <w:color w:val="auto"/>
              </w:rPr>
            </w:pPr>
          </w:p>
        </w:tc>
        <w:tc>
          <w:tcPr>
            <w:tcW w:w="780" w:type="dxa"/>
            <w:vAlign w:val="bottom"/>
            <w:tcBorders>
              <w:bottom w:val="single" w:sz="8" w:color="98A3B8"/>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98A3B8"/>
            </w:tcBorders>
          </w:tcPr>
          <w:p>
            <w:pPr>
              <w:spacing w:after="0"/>
              <w:rPr>
                <w:sz w:val="3"/>
                <w:szCs w:val="3"/>
                <w:color w:val="auto"/>
              </w:rPr>
            </w:pPr>
          </w:p>
        </w:tc>
        <w:tc>
          <w:tcPr>
            <w:tcW w:w="640" w:type="dxa"/>
            <w:vAlign w:val="bottom"/>
            <w:tcBorders>
              <w:bottom w:val="single" w:sz="8" w:color="98A3B8"/>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4320" w:type="dxa"/>
            <w:vAlign w:val="bottom"/>
            <w:gridSpan w:val="2"/>
          </w:tcPr>
          <w:p>
            <w:pPr>
              <w:spacing w:after="0"/>
              <w:rPr>
                <w:sz w:val="20"/>
                <w:szCs w:val="20"/>
                <w:color w:val="auto"/>
              </w:rPr>
            </w:pPr>
            <w:r>
              <w:rPr>
                <w:rFonts w:ascii="Arial" w:cs="Arial" w:eastAsia="Arial" w:hAnsi="Arial"/>
                <w:sz w:val="12"/>
                <w:szCs w:val="12"/>
                <w:color w:val="auto"/>
              </w:rPr>
              <w:t>and General</w:t>
            </w: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rPr>
              <w:t>2014</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490,000</w:t>
            </w:r>
          </w:p>
        </w:tc>
        <w:tc>
          <w:tcPr>
            <w:tcW w:w="16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60" w:type="dxa"/>
            <w:vAlign w:val="bottom"/>
            <w:gridSpan w:val="2"/>
          </w:tcPr>
          <w:p>
            <w:pPr>
              <w:jc w:val="right"/>
              <w:ind w:right="13"/>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2,033,308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2"/>
                <w:szCs w:val="12"/>
                <w:color w:val="auto"/>
              </w:rPr>
              <w:t>7,800</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2,531,108</w:t>
            </w:r>
          </w:p>
        </w:tc>
        <w:tc>
          <w:tcPr>
            <w:tcW w:w="0" w:type="dxa"/>
            <w:vAlign w:val="bottom"/>
          </w:tcPr>
          <w:p>
            <w:pPr>
              <w:spacing w:after="0"/>
              <w:rPr>
                <w:sz w:val="1"/>
                <w:szCs w:val="1"/>
                <w:color w:val="auto"/>
              </w:rPr>
            </w:pPr>
          </w:p>
        </w:tc>
      </w:tr>
      <w:tr>
        <w:trPr>
          <w:trHeight w:val="214"/>
        </w:trPr>
        <w:tc>
          <w:tcPr>
            <w:tcW w:w="4320" w:type="dxa"/>
            <w:vAlign w:val="bottom"/>
            <w:gridSpan w:val="2"/>
          </w:tcPr>
          <w:p>
            <w:pPr>
              <w:spacing w:after="0"/>
              <w:rPr>
                <w:sz w:val="20"/>
                <w:szCs w:val="20"/>
                <w:color w:val="auto"/>
              </w:rPr>
            </w:pPr>
            <w:r>
              <w:rPr>
                <w:rFonts w:ascii="Arial" w:cs="Arial" w:eastAsia="Arial" w:hAnsi="Arial"/>
                <w:sz w:val="12"/>
                <w:szCs w:val="12"/>
                <w:color w:val="auto"/>
              </w:rPr>
              <w:t>Counsel</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4240" w:type="dxa"/>
            <w:vAlign w:val="bottom"/>
            <w:tcBorders>
              <w:bottom w:val="single" w:sz="8" w:color="325889"/>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325889"/>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325889"/>
            </w:tcBorders>
          </w:tcPr>
          <w:p>
            <w:pPr>
              <w:spacing w:after="0"/>
              <w:rPr>
                <w:sz w:val="3"/>
                <w:szCs w:val="3"/>
                <w:color w:val="auto"/>
              </w:rPr>
            </w:pPr>
          </w:p>
        </w:tc>
        <w:tc>
          <w:tcPr>
            <w:tcW w:w="560" w:type="dxa"/>
            <w:vAlign w:val="bottom"/>
            <w:tcBorders>
              <w:bottom w:val="single" w:sz="8" w:color="325889"/>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325889"/>
            </w:tcBorders>
          </w:tcPr>
          <w:p>
            <w:pPr>
              <w:spacing w:after="0"/>
              <w:rPr>
                <w:sz w:val="3"/>
                <w:szCs w:val="3"/>
                <w:color w:val="auto"/>
              </w:rPr>
            </w:pPr>
          </w:p>
        </w:tc>
        <w:tc>
          <w:tcPr>
            <w:tcW w:w="620" w:type="dxa"/>
            <w:vAlign w:val="bottom"/>
            <w:tcBorders>
              <w:bottom w:val="single" w:sz="8" w:color="325889"/>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Borders>
              <w:bottom w:val="single" w:sz="8" w:color="325889"/>
            </w:tcBorders>
          </w:tcPr>
          <w:p>
            <w:pPr>
              <w:spacing w:after="0"/>
              <w:rPr>
                <w:sz w:val="3"/>
                <w:szCs w:val="3"/>
                <w:color w:val="auto"/>
              </w:rPr>
            </w:pPr>
          </w:p>
        </w:tc>
        <w:tc>
          <w:tcPr>
            <w:tcW w:w="940" w:type="dxa"/>
            <w:vAlign w:val="bottom"/>
            <w:tcBorders>
              <w:bottom w:val="single" w:sz="8" w:color="325889"/>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325889"/>
            </w:tcBorders>
          </w:tcPr>
          <w:p>
            <w:pPr>
              <w:spacing w:after="0"/>
              <w:rPr>
                <w:sz w:val="3"/>
                <w:szCs w:val="3"/>
                <w:color w:val="auto"/>
              </w:rPr>
            </w:pPr>
          </w:p>
        </w:tc>
        <w:tc>
          <w:tcPr>
            <w:tcW w:w="780" w:type="dxa"/>
            <w:vAlign w:val="bottom"/>
            <w:tcBorders>
              <w:bottom w:val="single" w:sz="8" w:color="325889"/>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Borders>
              <w:bottom w:val="single" w:sz="8" w:color="325889"/>
            </w:tcBorders>
          </w:tcPr>
          <w:p>
            <w:pPr>
              <w:spacing w:after="0"/>
              <w:rPr>
                <w:sz w:val="3"/>
                <w:szCs w:val="3"/>
                <w:color w:val="auto"/>
              </w:rPr>
            </w:pPr>
          </w:p>
        </w:tc>
        <w:tc>
          <w:tcPr>
            <w:tcW w:w="840" w:type="dxa"/>
            <w:vAlign w:val="bottom"/>
            <w:tcBorders>
              <w:bottom w:val="single" w:sz="8" w:color="325889"/>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325889"/>
            </w:tcBorders>
          </w:tcPr>
          <w:p>
            <w:pPr>
              <w:spacing w:after="0"/>
              <w:rPr>
                <w:sz w:val="3"/>
                <w:szCs w:val="3"/>
                <w:color w:val="auto"/>
              </w:rPr>
            </w:pPr>
          </w:p>
        </w:tc>
        <w:tc>
          <w:tcPr>
            <w:tcW w:w="780" w:type="dxa"/>
            <w:vAlign w:val="bottom"/>
            <w:tcBorders>
              <w:bottom w:val="single" w:sz="8" w:color="325889"/>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325889"/>
            </w:tcBorders>
          </w:tcPr>
          <w:p>
            <w:pPr>
              <w:spacing w:after="0"/>
              <w:rPr>
                <w:sz w:val="3"/>
                <w:szCs w:val="3"/>
                <w:color w:val="auto"/>
              </w:rPr>
            </w:pPr>
          </w:p>
        </w:tc>
        <w:tc>
          <w:tcPr>
            <w:tcW w:w="640" w:type="dxa"/>
            <w:vAlign w:val="bottom"/>
            <w:tcBorders>
              <w:bottom w:val="single" w:sz="8" w:color="325889"/>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305" w:right="60" w:hanging="305"/>
        <w:spacing w:after="0" w:line="229" w:lineRule="auto"/>
        <w:tabs>
          <w:tab w:leader="none" w:pos="305" w:val="left"/>
        </w:tabs>
        <w:numPr>
          <w:ilvl w:val="0"/>
          <w:numId w:val="49"/>
        </w:numPr>
        <w:rPr>
          <w:rFonts w:ascii="Arial" w:cs="Arial" w:eastAsia="Arial" w:hAnsi="Arial"/>
          <w:sz w:val="12"/>
          <w:szCs w:val="12"/>
          <w:color w:val="auto"/>
        </w:rPr>
      </w:pPr>
      <w:r>
        <w:rPr>
          <w:rFonts w:ascii="Arial" w:cs="Arial" w:eastAsia="Arial" w:hAnsi="Arial"/>
          <w:sz w:val="12"/>
          <w:szCs w:val="12"/>
          <w:color w:val="auto"/>
        </w:rPr>
        <w:t>Amounts shown do not reflect compensation actually received by the named executive officer. Instead, the amounts shown are the full grant date fair value of stock awards issued to the executives in 2016, 2015 and 2014, respectively. In accordance with SEC disclosure requirements, the amounts for 2015 and 2014 include the full grant date fair value of the executives' allocations in our 2014 Outperformance Plan and our 2011 Outperformance Plan granted during such years. The grant date fair value of such awards is computed in accordance with ASC 718, “Compensation-Stock Compensation,” or ASC 718, by the use of Monte Carlo simulation models that consider the probable outcomes of the market-based performance conditions governing such awards. For the awards granted under our 2014 Outperformance Plan during 2015, the Monte Carlo simulation model used an assumed stock price volatility level of 21.0% on our common stock and a risk-free interest rate of 0.88%. For the awards granted under our 2011 Outperformance Plan during 2014, the Monte Carlo simulation model used an assumed stock price volatility level of 19.0% on our common stock and a risk-free interest rate of 0.08%. The actual value of awards with respect to (i) our 2014 Outperformance Plan will be contingent upon our attainment of absolute and relative stockholder return metrics over a three-year measurement period ending August 31, 2017 and (ii) our 2011 Outperformance Plan was contingent upon the attainment of stockholder return targets over a three-year measurement period that ended August 31, 2014.</w:t>
      </w:r>
    </w:p>
    <w:p>
      <w:pPr>
        <w:spacing w:after="0" w:line="50" w:lineRule="exact"/>
        <w:rPr>
          <w:rFonts w:ascii="Arial" w:cs="Arial" w:eastAsia="Arial" w:hAnsi="Arial"/>
          <w:sz w:val="12"/>
          <w:szCs w:val="12"/>
          <w:color w:val="auto"/>
        </w:rPr>
      </w:pPr>
    </w:p>
    <w:p>
      <w:pPr>
        <w:ind w:left="305" w:right="20" w:hanging="305"/>
        <w:spacing w:after="0" w:line="231" w:lineRule="auto"/>
        <w:tabs>
          <w:tab w:leader="none" w:pos="305" w:val="left"/>
        </w:tabs>
        <w:numPr>
          <w:ilvl w:val="0"/>
          <w:numId w:val="49"/>
        </w:numPr>
        <w:rPr>
          <w:rFonts w:ascii="Arial" w:cs="Arial" w:eastAsia="Arial" w:hAnsi="Arial"/>
          <w:sz w:val="12"/>
          <w:szCs w:val="12"/>
          <w:color w:val="auto"/>
        </w:rPr>
      </w:pPr>
      <w:r>
        <w:rPr>
          <w:rFonts w:ascii="Arial" w:cs="Arial" w:eastAsia="Arial" w:hAnsi="Arial"/>
          <w:sz w:val="12"/>
          <w:szCs w:val="12"/>
          <w:color w:val="auto"/>
        </w:rPr>
        <w:t>Amounts shown do not reflect compensation actually received by the named executive officer. Instead, the amounts shown are the full grant date fair value of Class O LTIP units as computed in accordance with ASC 718 by the use of the Black-Scholes option pricing model. For Class O LTIP units granted during 2016 with a mandatory conversion date that is 5 years after the date of grant, the Black-Scholes simulation model assumed volatility of 23%, an annual dividend yield of 2.3%, a risk free interest rate of 0.89% and an expected term of 3 years. For Class O LTIP units granted during 2016 with a mandatory conversion date that is 10 years after the date of grant, the Black-Scholes simulation model assumed volatility of 35%, an annual dividend yield of 2.3%, a risk free interest rate of 1.26% and an expected term of 5.5 years.</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2017 Proxy Statement </w:t>
      </w:r>
      <w:r>
        <w:rPr>
          <w:rFonts w:ascii="Arial" w:cs="Arial" w:eastAsia="Arial" w:hAnsi="Arial"/>
          <w:sz w:val="15"/>
          <w:szCs w:val="15"/>
          <w:color w:val="325889"/>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83450" cy="203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5"/>
          </w:cols>
          <w:pgMar w:left="235" w:top="528" w:right="219" w:bottom="1440" w:gutter="0" w:footer="0" w:header="0"/>
        </w:sectPr>
      </w:pPr>
    </w:p>
    <w:bookmarkStart w:id="41" w:name="page42"/>
    <w:bookmarkEnd w:id="41"/>
    <w:p>
      <w:pPr>
        <w:ind w:left="5"/>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ind w:left="5"/>
        <w:spacing w:after="0"/>
        <w:rPr>
          <w:sz w:val="20"/>
          <w:szCs w:val="20"/>
          <w:color w:val="auto"/>
        </w:rPr>
      </w:pPr>
      <w:r>
        <w:rPr>
          <w:rFonts w:ascii="Arial" w:cs="Arial" w:eastAsia="Arial" w:hAnsi="Arial"/>
          <w:sz w:val="15"/>
          <w:szCs w:val="15"/>
          <w:u w:val="single" w:color="auto"/>
          <w:color w:val="325889"/>
        </w:rPr>
        <w:t>EXECUTIVE COMPENSATION</w:t>
      </w:r>
    </w:p>
    <w:p>
      <w:pPr>
        <w:spacing w:after="0" w:line="192" w:lineRule="exact"/>
        <w:rPr>
          <w:sz w:val="20"/>
          <w:szCs w:val="20"/>
          <w:color w:val="auto"/>
        </w:rPr>
      </w:pPr>
    </w:p>
    <w:p>
      <w:pPr>
        <w:ind w:left="305" w:hanging="305"/>
        <w:spacing w:after="0"/>
        <w:tabs>
          <w:tab w:leader="none" w:pos="305"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table and footnotes below show the components of this column for 2016, which include certain perquisites such as Company 401(k) matching contributions.</w:t>
      </w:r>
    </w:p>
    <w:p>
      <w:pPr>
        <w:spacing w:after="0" w:line="185" w:lineRule="exact"/>
        <w:rPr>
          <w:sz w:val="20"/>
          <w:szCs w:val="20"/>
          <w:color w:val="auto"/>
        </w:rPr>
      </w:pPr>
    </w:p>
    <w:tbl>
      <w:tblPr>
        <w:tblLayout w:type="fixed"/>
        <w:tblInd w:w="285" w:type="dxa"/>
        <w:tblCellMar>
          <w:top w:w="0" w:type="dxa"/>
          <w:left w:w="0" w:type="dxa"/>
          <w:bottom w:w="0" w:type="dxa"/>
          <w:right w:w="0" w:type="dxa"/>
        </w:tblCellMar>
      </w:tblPr>
      <w:tr>
        <w:trPr>
          <w:trHeight w:val="138"/>
        </w:trPr>
        <w:tc>
          <w:tcPr>
            <w:tcW w:w="9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325889"/>
              </w:rPr>
              <w:t>All Other</w:t>
            </w:r>
          </w:p>
        </w:tc>
      </w:tr>
      <w:tr>
        <w:trPr>
          <w:trHeight w:val="145"/>
        </w:trPr>
        <w:tc>
          <w:tcPr>
            <w:tcW w:w="9480" w:type="dxa"/>
            <w:vAlign w:val="bottom"/>
          </w:tcPr>
          <w:p>
            <w:pPr>
              <w:spacing w:after="0"/>
              <w:rPr>
                <w:sz w:val="20"/>
                <w:szCs w:val="20"/>
                <w:color w:val="auto"/>
              </w:rPr>
            </w:pPr>
            <w:r>
              <w:rPr>
                <w:rFonts w:ascii="Arial" w:cs="Arial" w:eastAsia="Arial" w:hAnsi="Arial"/>
                <w:sz w:val="12"/>
                <w:szCs w:val="12"/>
                <w:b w:val="1"/>
                <w:bCs w:val="1"/>
                <w:color w:val="auto"/>
              </w:rPr>
              <w:t>Name</w:t>
            </w:r>
          </w:p>
        </w:tc>
        <w:tc>
          <w:tcPr>
            <w:tcW w:w="140" w:type="dxa"/>
            <w:vAlign w:val="bottom"/>
          </w:tcPr>
          <w:p>
            <w:pPr>
              <w:spacing w:after="0"/>
              <w:rPr>
                <w:sz w:val="12"/>
                <w:szCs w:val="12"/>
                <w:color w:val="auto"/>
              </w:rPr>
            </w:pPr>
          </w:p>
        </w:tc>
        <w:tc>
          <w:tcPr>
            <w:tcW w:w="1540" w:type="dxa"/>
            <w:vAlign w:val="bottom"/>
            <w:gridSpan w:val="4"/>
          </w:tcPr>
          <w:p>
            <w:pPr>
              <w:jc w:val="right"/>
              <w:spacing w:after="0"/>
              <w:rPr>
                <w:sz w:val="20"/>
                <w:szCs w:val="20"/>
                <w:color w:val="auto"/>
              </w:rPr>
            </w:pPr>
            <w:r>
              <w:rPr>
                <w:rFonts w:ascii="Arial" w:cs="Arial" w:eastAsia="Arial" w:hAnsi="Arial"/>
                <w:sz w:val="12"/>
                <w:szCs w:val="12"/>
                <w:b w:val="1"/>
                <w:bCs w:val="1"/>
                <w:color w:val="325889"/>
              </w:rPr>
              <w:t xml:space="preserve">Year   Compensation </w:t>
            </w:r>
            <w:r>
              <w:rPr>
                <w:rFonts w:ascii="Arial" w:cs="Arial" w:eastAsia="Arial" w:hAnsi="Arial"/>
                <w:sz w:val="12"/>
                <w:szCs w:val="12"/>
                <w:b w:val="1"/>
                <w:bCs w:val="1"/>
                <w:u w:val="single" w:color="auto"/>
                <w:color w:val="325889"/>
              </w:rPr>
              <w:t>($</w:t>
            </w:r>
            <w:r>
              <w:rPr>
                <w:rFonts w:ascii="Arial" w:cs="Arial" w:eastAsia="Arial" w:hAnsi="Arial"/>
                <w:sz w:val="12"/>
                <w:szCs w:val="12"/>
                <w:b w:val="1"/>
                <w:bCs w:val="1"/>
                <w:color w:val="325889"/>
              </w:rPr>
              <w:t>)</w:t>
            </w:r>
          </w:p>
        </w:tc>
      </w:tr>
      <w:tr>
        <w:trPr>
          <w:trHeight w:val="24"/>
        </w:trPr>
        <w:tc>
          <w:tcPr>
            <w:tcW w:w="948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325889"/>
          </w:tcPr>
          <w:p>
            <w:pPr>
              <w:spacing w:after="0"/>
              <w:rPr>
                <w:sz w:val="2"/>
                <w:szCs w:val="2"/>
                <w:color w:val="auto"/>
              </w:rPr>
            </w:pPr>
          </w:p>
        </w:tc>
        <w:tc>
          <w:tcPr>
            <w:tcW w:w="840" w:type="dxa"/>
            <w:vAlign w:val="bottom"/>
            <w:shd w:val="clear" w:color="auto" w:fill="325889"/>
          </w:tcPr>
          <w:p>
            <w:pPr>
              <w:spacing w:after="0"/>
              <w:rPr>
                <w:sz w:val="2"/>
                <w:szCs w:val="2"/>
                <w:color w:val="auto"/>
              </w:rPr>
            </w:pPr>
          </w:p>
        </w:tc>
      </w:tr>
      <w:tr>
        <w:trPr>
          <w:trHeight w:val="273"/>
        </w:trPr>
        <w:tc>
          <w:tcPr>
            <w:tcW w:w="9480" w:type="dxa"/>
            <w:vAlign w:val="bottom"/>
          </w:tcPr>
          <w:p>
            <w:pPr>
              <w:spacing w:after="0"/>
              <w:rPr>
                <w:sz w:val="20"/>
                <w:szCs w:val="20"/>
                <w:color w:val="auto"/>
              </w:rPr>
            </w:pPr>
            <w:r>
              <w:rPr>
                <w:rFonts w:ascii="Arial" w:cs="Arial" w:eastAsia="Arial" w:hAnsi="Arial"/>
                <w:sz w:val="15"/>
                <w:szCs w:val="15"/>
                <w:color w:val="auto"/>
              </w:rPr>
              <w:t>Marc Holliday</w:t>
            </w:r>
          </w:p>
        </w:tc>
        <w:tc>
          <w:tcPr>
            <w:tcW w:w="140" w:type="dxa"/>
            <w:vAlign w:val="bottom"/>
          </w:tcPr>
          <w:p>
            <w:pPr>
              <w:spacing w:after="0"/>
              <w:rPr>
                <w:sz w:val="23"/>
                <w:szCs w:val="2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5"/>
                <w:szCs w:val="15"/>
                <w:color w:val="auto"/>
                <w:w w:val="95"/>
              </w:rPr>
              <w:t>2016</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line="272" w:lineRule="exact"/>
              <w:rPr>
                <w:sz w:val="20"/>
                <w:szCs w:val="20"/>
                <w:color w:val="auto"/>
              </w:rPr>
            </w:pPr>
            <w:r>
              <w:rPr>
                <w:rFonts w:ascii="Arial" w:cs="Arial" w:eastAsia="Arial" w:hAnsi="Arial"/>
                <w:sz w:val="15"/>
                <w:szCs w:val="15"/>
                <w:color w:val="auto"/>
              </w:rPr>
              <w:t>44,149</w:t>
            </w:r>
            <w:r>
              <w:rPr>
                <w:rFonts w:ascii="Arial" w:cs="Arial" w:eastAsia="Arial" w:hAnsi="Arial"/>
                <w:sz w:val="25"/>
                <w:szCs w:val="25"/>
                <w:color w:val="auto"/>
                <w:vertAlign w:val="superscript"/>
              </w:rPr>
              <w:t>(a)</w:t>
            </w:r>
          </w:p>
        </w:tc>
      </w:tr>
      <w:tr>
        <w:trPr>
          <w:trHeight w:val="20"/>
        </w:trPr>
        <w:tc>
          <w:tcPr>
            <w:tcW w:w="94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98A3B8"/>
          </w:tcPr>
          <w:p>
            <w:pPr>
              <w:spacing w:after="0" w:line="20" w:lineRule="exact"/>
              <w:rPr>
                <w:sz w:val="1"/>
                <w:szCs w:val="1"/>
                <w:color w:val="auto"/>
              </w:rPr>
            </w:pPr>
          </w:p>
        </w:tc>
        <w:tc>
          <w:tcPr>
            <w:tcW w:w="840" w:type="dxa"/>
            <w:vAlign w:val="bottom"/>
            <w:shd w:val="clear" w:color="auto" w:fill="98A3B8"/>
          </w:tcPr>
          <w:p>
            <w:pPr>
              <w:spacing w:after="0" w:line="20" w:lineRule="exact"/>
              <w:rPr>
                <w:sz w:val="1"/>
                <w:szCs w:val="1"/>
                <w:color w:val="auto"/>
              </w:rPr>
            </w:pPr>
          </w:p>
        </w:tc>
      </w:tr>
      <w:tr>
        <w:trPr>
          <w:trHeight w:val="265"/>
        </w:trPr>
        <w:tc>
          <w:tcPr>
            <w:tcW w:w="9480" w:type="dxa"/>
            <w:vAlign w:val="bottom"/>
          </w:tcPr>
          <w:p>
            <w:pPr>
              <w:spacing w:after="0"/>
              <w:rPr>
                <w:sz w:val="20"/>
                <w:szCs w:val="20"/>
                <w:color w:val="auto"/>
              </w:rPr>
            </w:pPr>
            <w:r>
              <w:rPr>
                <w:rFonts w:ascii="Arial" w:cs="Arial" w:eastAsia="Arial" w:hAnsi="Arial"/>
                <w:sz w:val="15"/>
                <w:szCs w:val="15"/>
                <w:color w:val="auto"/>
              </w:rPr>
              <w:t>Stephen L. Green</w:t>
            </w:r>
          </w:p>
        </w:tc>
        <w:tc>
          <w:tcPr>
            <w:tcW w:w="140" w:type="dxa"/>
            <w:vAlign w:val="bottom"/>
          </w:tcPr>
          <w:p>
            <w:pPr>
              <w:spacing w:after="0"/>
              <w:rPr>
                <w:sz w:val="23"/>
                <w:szCs w:val="2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5"/>
                <w:szCs w:val="15"/>
                <w:color w:val="auto"/>
                <w:w w:val="95"/>
              </w:rPr>
              <w:t>2016</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line="265" w:lineRule="exact"/>
              <w:rPr>
                <w:sz w:val="20"/>
                <w:szCs w:val="20"/>
                <w:color w:val="auto"/>
              </w:rPr>
            </w:pPr>
            <w:r>
              <w:rPr>
                <w:rFonts w:ascii="Arial" w:cs="Arial" w:eastAsia="Arial" w:hAnsi="Arial"/>
                <w:sz w:val="15"/>
                <w:szCs w:val="15"/>
                <w:color w:val="auto"/>
              </w:rPr>
              <w:t>179,800</w:t>
            </w:r>
            <w:r>
              <w:rPr>
                <w:rFonts w:ascii="Arial" w:cs="Arial" w:eastAsia="Arial" w:hAnsi="Arial"/>
                <w:sz w:val="25"/>
                <w:szCs w:val="25"/>
                <w:color w:val="auto"/>
                <w:vertAlign w:val="superscript"/>
              </w:rPr>
              <w:t>(b)</w:t>
            </w:r>
          </w:p>
        </w:tc>
      </w:tr>
      <w:tr>
        <w:trPr>
          <w:trHeight w:val="20"/>
        </w:trPr>
        <w:tc>
          <w:tcPr>
            <w:tcW w:w="94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98A3B8"/>
          </w:tcPr>
          <w:p>
            <w:pPr>
              <w:spacing w:after="0" w:line="20" w:lineRule="exact"/>
              <w:rPr>
                <w:sz w:val="1"/>
                <w:szCs w:val="1"/>
                <w:color w:val="auto"/>
              </w:rPr>
            </w:pPr>
          </w:p>
        </w:tc>
        <w:tc>
          <w:tcPr>
            <w:tcW w:w="840" w:type="dxa"/>
            <w:vAlign w:val="bottom"/>
            <w:shd w:val="clear" w:color="auto" w:fill="98A3B8"/>
          </w:tcPr>
          <w:p>
            <w:pPr>
              <w:spacing w:after="0" w:line="20" w:lineRule="exact"/>
              <w:rPr>
                <w:sz w:val="1"/>
                <w:szCs w:val="1"/>
                <w:color w:val="auto"/>
              </w:rPr>
            </w:pPr>
          </w:p>
        </w:tc>
      </w:tr>
      <w:tr>
        <w:trPr>
          <w:trHeight w:val="265"/>
        </w:trPr>
        <w:tc>
          <w:tcPr>
            <w:tcW w:w="9480" w:type="dxa"/>
            <w:vAlign w:val="bottom"/>
          </w:tcPr>
          <w:p>
            <w:pPr>
              <w:spacing w:after="0"/>
              <w:rPr>
                <w:sz w:val="20"/>
                <w:szCs w:val="20"/>
                <w:color w:val="auto"/>
              </w:rPr>
            </w:pPr>
            <w:r>
              <w:rPr>
                <w:rFonts w:ascii="Arial" w:cs="Arial" w:eastAsia="Arial" w:hAnsi="Arial"/>
                <w:sz w:val="15"/>
                <w:szCs w:val="15"/>
                <w:color w:val="auto"/>
              </w:rPr>
              <w:t>Andrew Mathias</w:t>
            </w:r>
          </w:p>
        </w:tc>
        <w:tc>
          <w:tcPr>
            <w:tcW w:w="140" w:type="dxa"/>
            <w:vAlign w:val="bottom"/>
          </w:tcPr>
          <w:p>
            <w:pPr>
              <w:spacing w:after="0"/>
              <w:rPr>
                <w:sz w:val="23"/>
                <w:szCs w:val="2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5"/>
                <w:szCs w:val="15"/>
                <w:color w:val="auto"/>
                <w:w w:val="95"/>
              </w:rPr>
              <w:t>2016</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line="265" w:lineRule="exact"/>
              <w:rPr>
                <w:sz w:val="20"/>
                <w:szCs w:val="20"/>
                <w:color w:val="auto"/>
              </w:rPr>
            </w:pPr>
            <w:r>
              <w:rPr>
                <w:rFonts w:ascii="Arial" w:cs="Arial" w:eastAsia="Arial" w:hAnsi="Arial"/>
                <w:sz w:val="15"/>
                <w:szCs w:val="15"/>
                <w:color w:val="auto"/>
              </w:rPr>
              <w:t>38,823</w:t>
            </w:r>
            <w:r>
              <w:rPr>
                <w:rFonts w:ascii="Arial" w:cs="Arial" w:eastAsia="Arial" w:hAnsi="Arial"/>
                <w:sz w:val="25"/>
                <w:szCs w:val="25"/>
                <w:color w:val="auto"/>
                <w:vertAlign w:val="superscript"/>
              </w:rPr>
              <w:t>(c)</w:t>
            </w:r>
          </w:p>
        </w:tc>
      </w:tr>
      <w:tr>
        <w:trPr>
          <w:trHeight w:val="20"/>
        </w:trPr>
        <w:tc>
          <w:tcPr>
            <w:tcW w:w="94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98A3B8"/>
          </w:tcPr>
          <w:p>
            <w:pPr>
              <w:spacing w:after="0" w:line="20" w:lineRule="exact"/>
              <w:rPr>
                <w:sz w:val="1"/>
                <w:szCs w:val="1"/>
                <w:color w:val="auto"/>
              </w:rPr>
            </w:pPr>
          </w:p>
        </w:tc>
        <w:tc>
          <w:tcPr>
            <w:tcW w:w="840" w:type="dxa"/>
            <w:vAlign w:val="bottom"/>
            <w:shd w:val="clear" w:color="auto" w:fill="98A3B8"/>
          </w:tcPr>
          <w:p>
            <w:pPr>
              <w:spacing w:after="0" w:line="20" w:lineRule="exact"/>
              <w:rPr>
                <w:sz w:val="1"/>
                <w:szCs w:val="1"/>
                <w:color w:val="auto"/>
              </w:rPr>
            </w:pPr>
          </w:p>
        </w:tc>
      </w:tr>
      <w:tr>
        <w:trPr>
          <w:trHeight w:val="265"/>
        </w:trPr>
        <w:tc>
          <w:tcPr>
            <w:tcW w:w="9480" w:type="dxa"/>
            <w:vAlign w:val="bottom"/>
          </w:tcPr>
          <w:p>
            <w:pPr>
              <w:spacing w:after="0"/>
              <w:rPr>
                <w:sz w:val="20"/>
                <w:szCs w:val="20"/>
                <w:color w:val="auto"/>
              </w:rPr>
            </w:pPr>
            <w:r>
              <w:rPr>
                <w:rFonts w:ascii="Arial" w:cs="Arial" w:eastAsia="Arial" w:hAnsi="Arial"/>
                <w:sz w:val="15"/>
                <w:szCs w:val="15"/>
                <w:color w:val="auto"/>
              </w:rPr>
              <w:t>Matthew J. DiLiberto</w:t>
            </w:r>
          </w:p>
        </w:tc>
        <w:tc>
          <w:tcPr>
            <w:tcW w:w="140" w:type="dxa"/>
            <w:vAlign w:val="bottom"/>
          </w:tcPr>
          <w:p>
            <w:pPr>
              <w:spacing w:after="0"/>
              <w:rPr>
                <w:sz w:val="23"/>
                <w:szCs w:val="2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5"/>
                <w:szCs w:val="15"/>
                <w:color w:val="auto"/>
                <w:w w:val="95"/>
              </w:rPr>
              <w:t>2016</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line="265" w:lineRule="exact"/>
              <w:rPr>
                <w:sz w:val="20"/>
                <w:szCs w:val="20"/>
                <w:color w:val="auto"/>
              </w:rPr>
            </w:pPr>
            <w:r>
              <w:rPr>
                <w:rFonts w:ascii="Arial" w:cs="Arial" w:eastAsia="Arial" w:hAnsi="Arial"/>
                <w:sz w:val="15"/>
                <w:szCs w:val="15"/>
                <w:color w:val="auto"/>
              </w:rPr>
              <w:t>7,950</w:t>
            </w:r>
            <w:r>
              <w:rPr>
                <w:rFonts w:ascii="Arial" w:cs="Arial" w:eastAsia="Arial" w:hAnsi="Arial"/>
                <w:sz w:val="25"/>
                <w:szCs w:val="25"/>
                <w:color w:val="auto"/>
                <w:vertAlign w:val="superscript"/>
              </w:rPr>
              <w:t>(d)</w:t>
            </w:r>
          </w:p>
        </w:tc>
      </w:tr>
      <w:tr>
        <w:trPr>
          <w:trHeight w:val="20"/>
        </w:trPr>
        <w:tc>
          <w:tcPr>
            <w:tcW w:w="94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98A3B8"/>
          </w:tcPr>
          <w:p>
            <w:pPr>
              <w:spacing w:after="0" w:line="20" w:lineRule="exact"/>
              <w:rPr>
                <w:sz w:val="1"/>
                <w:szCs w:val="1"/>
                <w:color w:val="auto"/>
              </w:rPr>
            </w:pPr>
          </w:p>
        </w:tc>
        <w:tc>
          <w:tcPr>
            <w:tcW w:w="840" w:type="dxa"/>
            <w:vAlign w:val="bottom"/>
            <w:shd w:val="clear" w:color="auto" w:fill="98A3B8"/>
          </w:tcPr>
          <w:p>
            <w:pPr>
              <w:spacing w:after="0" w:line="20" w:lineRule="exact"/>
              <w:rPr>
                <w:sz w:val="1"/>
                <w:szCs w:val="1"/>
                <w:color w:val="auto"/>
              </w:rPr>
            </w:pPr>
          </w:p>
        </w:tc>
      </w:tr>
      <w:tr>
        <w:trPr>
          <w:trHeight w:val="265"/>
        </w:trPr>
        <w:tc>
          <w:tcPr>
            <w:tcW w:w="9480" w:type="dxa"/>
            <w:vAlign w:val="bottom"/>
          </w:tcPr>
          <w:p>
            <w:pPr>
              <w:spacing w:after="0"/>
              <w:rPr>
                <w:sz w:val="20"/>
                <w:szCs w:val="20"/>
                <w:color w:val="auto"/>
              </w:rPr>
            </w:pPr>
            <w:r>
              <w:rPr>
                <w:rFonts w:ascii="Arial" w:cs="Arial" w:eastAsia="Arial" w:hAnsi="Arial"/>
                <w:sz w:val="15"/>
                <w:szCs w:val="15"/>
                <w:color w:val="auto"/>
              </w:rPr>
              <w:t>Andrew S. Levine</w:t>
            </w:r>
          </w:p>
        </w:tc>
        <w:tc>
          <w:tcPr>
            <w:tcW w:w="140" w:type="dxa"/>
            <w:vAlign w:val="bottom"/>
          </w:tcPr>
          <w:p>
            <w:pPr>
              <w:spacing w:after="0"/>
              <w:rPr>
                <w:sz w:val="23"/>
                <w:szCs w:val="2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5"/>
                <w:szCs w:val="15"/>
                <w:color w:val="auto"/>
                <w:w w:val="95"/>
              </w:rPr>
              <w:t>2016</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line="265" w:lineRule="exact"/>
              <w:rPr>
                <w:sz w:val="20"/>
                <w:szCs w:val="20"/>
                <w:color w:val="auto"/>
              </w:rPr>
            </w:pPr>
            <w:r>
              <w:rPr>
                <w:rFonts w:ascii="Arial" w:cs="Arial" w:eastAsia="Arial" w:hAnsi="Arial"/>
                <w:sz w:val="15"/>
                <w:szCs w:val="15"/>
                <w:color w:val="auto"/>
              </w:rPr>
              <w:t>7,950</w:t>
            </w:r>
            <w:r>
              <w:rPr>
                <w:rFonts w:ascii="Arial" w:cs="Arial" w:eastAsia="Arial" w:hAnsi="Arial"/>
                <w:sz w:val="25"/>
                <w:szCs w:val="25"/>
                <w:color w:val="auto"/>
                <w:vertAlign w:val="superscript"/>
              </w:rPr>
              <w:t>(d)</w:t>
            </w:r>
          </w:p>
        </w:tc>
      </w:tr>
      <w:tr>
        <w:trPr>
          <w:trHeight w:val="24"/>
        </w:trPr>
        <w:tc>
          <w:tcPr>
            <w:tcW w:w="948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325889"/>
          </w:tcPr>
          <w:p>
            <w:pPr>
              <w:spacing w:after="0"/>
              <w:rPr>
                <w:sz w:val="2"/>
                <w:szCs w:val="2"/>
                <w:color w:val="auto"/>
              </w:rPr>
            </w:pPr>
          </w:p>
        </w:tc>
        <w:tc>
          <w:tcPr>
            <w:tcW w:w="840" w:type="dxa"/>
            <w:vAlign w:val="bottom"/>
            <w:shd w:val="clear" w:color="auto" w:fill="325889"/>
          </w:tcPr>
          <w:p>
            <w:pPr>
              <w:spacing w:after="0"/>
              <w:rPr>
                <w:sz w:val="2"/>
                <w:szCs w:val="2"/>
                <w:color w:val="auto"/>
              </w:rPr>
            </w:pPr>
          </w:p>
        </w:tc>
      </w:tr>
    </w:tbl>
    <w:p>
      <w:pPr>
        <w:spacing w:after="0" w:line="59" w:lineRule="exact"/>
        <w:rPr>
          <w:sz w:val="20"/>
          <w:szCs w:val="20"/>
          <w:color w:val="auto"/>
        </w:rPr>
      </w:pPr>
    </w:p>
    <w:p>
      <w:pPr>
        <w:ind w:left="585" w:right="160" w:hanging="312"/>
        <w:spacing w:after="0" w:line="236" w:lineRule="auto"/>
        <w:tabs>
          <w:tab w:leader="none" w:pos="585" w:val="left"/>
        </w:tabs>
        <w:numPr>
          <w:ilvl w:val="0"/>
          <w:numId w:val="51"/>
        </w:numPr>
        <w:rPr>
          <w:rFonts w:ascii="Arial" w:cs="Arial" w:eastAsia="Arial" w:hAnsi="Arial"/>
          <w:sz w:val="12"/>
          <w:szCs w:val="12"/>
          <w:color w:val="auto"/>
        </w:rPr>
      </w:pPr>
      <w:r>
        <w:rPr>
          <w:rFonts w:ascii="Arial" w:cs="Arial" w:eastAsia="Arial" w:hAnsi="Arial"/>
          <w:sz w:val="12"/>
          <w:szCs w:val="12"/>
          <w:color w:val="auto"/>
        </w:rPr>
        <w:t>Represents (i) the Company’s matching contributions with respect to amounts earned by the named executive officer under our 401(k) plan ($7,950), (ii) leased car payments ($22,987) and (iii) life insurance premiums ($13,212). The Company’s 401(k) matching contributions are credited in the year subsequent to which employees make their contributions.</w:t>
      </w:r>
    </w:p>
    <w:p>
      <w:pPr>
        <w:spacing w:after="0" w:line="48" w:lineRule="exact"/>
        <w:rPr>
          <w:rFonts w:ascii="Arial" w:cs="Arial" w:eastAsia="Arial" w:hAnsi="Arial"/>
          <w:sz w:val="12"/>
          <w:szCs w:val="12"/>
          <w:color w:val="auto"/>
        </w:rPr>
      </w:pPr>
    </w:p>
    <w:p>
      <w:pPr>
        <w:ind w:left="585" w:right="440" w:hanging="312"/>
        <w:spacing w:after="0" w:line="236" w:lineRule="auto"/>
        <w:tabs>
          <w:tab w:leader="none" w:pos="585" w:val="left"/>
        </w:tabs>
        <w:numPr>
          <w:ilvl w:val="0"/>
          <w:numId w:val="51"/>
        </w:numPr>
        <w:rPr>
          <w:rFonts w:ascii="Arial" w:cs="Arial" w:eastAsia="Arial" w:hAnsi="Arial"/>
          <w:sz w:val="12"/>
          <w:szCs w:val="12"/>
          <w:color w:val="auto"/>
        </w:rPr>
      </w:pPr>
      <w:r>
        <w:rPr>
          <w:rFonts w:ascii="Arial" w:cs="Arial" w:eastAsia="Arial" w:hAnsi="Arial"/>
          <w:sz w:val="12"/>
          <w:szCs w:val="12"/>
          <w:color w:val="auto"/>
        </w:rPr>
        <w:t>Represents leased car ($36,273) and full-time driver payments ($143,527). Mr. Green is the only officer in the Company provided with a full-time driver and it is the Company’s policy to not provide such perquisite to any officer other than Mr. Green.</w:t>
      </w:r>
    </w:p>
    <w:p>
      <w:pPr>
        <w:spacing w:after="0" w:line="48" w:lineRule="exact"/>
        <w:rPr>
          <w:rFonts w:ascii="Arial" w:cs="Arial" w:eastAsia="Arial" w:hAnsi="Arial"/>
          <w:sz w:val="12"/>
          <w:szCs w:val="12"/>
          <w:color w:val="auto"/>
        </w:rPr>
      </w:pPr>
    </w:p>
    <w:p>
      <w:pPr>
        <w:ind w:left="585" w:right="160" w:hanging="312"/>
        <w:spacing w:after="0" w:line="236" w:lineRule="auto"/>
        <w:tabs>
          <w:tab w:leader="none" w:pos="585" w:val="left"/>
        </w:tabs>
        <w:numPr>
          <w:ilvl w:val="0"/>
          <w:numId w:val="51"/>
        </w:numPr>
        <w:rPr>
          <w:rFonts w:ascii="Arial" w:cs="Arial" w:eastAsia="Arial" w:hAnsi="Arial"/>
          <w:sz w:val="12"/>
          <w:szCs w:val="12"/>
          <w:color w:val="auto"/>
        </w:rPr>
      </w:pPr>
      <w:r>
        <w:rPr>
          <w:rFonts w:ascii="Arial" w:cs="Arial" w:eastAsia="Arial" w:hAnsi="Arial"/>
          <w:sz w:val="12"/>
          <w:szCs w:val="12"/>
          <w:color w:val="auto"/>
        </w:rPr>
        <w:t>Represents the Company’s matching contributions with respect to amounts earned by the named executive officer under our 401(k) plan ($7,950) and leased car payments ($30,873). The Company’s 401(k) matching contributions are credited in the year subsequent to which employees make their contributions.</w:t>
      </w:r>
    </w:p>
    <w:p>
      <w:pPr>
        <w:spacing w:after="0" w:line="48" w:lineRule="exact"/>
        <w:rPr>
          <w:rFonts w:ascii="Arial" w:cs="Arial" w:eastAsia="Arial" w:hAnsi="Arial"/>
          <w:sz w:val="12"/>
          <w:szCs w:val="12"/>
          <w:color w:val="auto"/>
        </w:rPr>
      </w:pPr>
    </w:p>
    <w:p>
      <w:pPr>
        <w:ind w:left="585" w:right="180" w:hanging="312"/>
        <w:spacing w:after="0" w:line="236" w:lineRule="auto"/>
        <w:tabs>
          <w:tab w:leader="none" w:pos="585" w:val="left"/>
        </w:tabs>
        <w:numPr>
          <w:ilvl w:val="0"/>
          <w:numId w:val="51"/>
        </w:numPr>
        <w:rPr>
          <w:rFonts w:ascii="Arial" w:cs="Arial" w:eastAsia="Arial" w:hAnsi="Arial"/>
          <w:sz w:val="12"/>
          <w:szCs w:val="12"/>
          <w:color w:val="auto"/>
        </w:rPr>
      </w:pPr>
      <w:r>
        <w:rPr>
          <w:rFonts w:ascii="Arial" w:cs="Arial" w:eastAsia="Arial" w:hAnsi="Arial"/>
          <w:sz w:val="12"/>
          <w:szCs w:val="12"/>
          <w:color w:val="auto"/>
        </w:rPr>
        <w:t>Represents the Company’s matching contributions with respect to amounts earned by the named executive officer under our 401(k) plan ($7,950). The Company’s 401(k) matching contributions are credited in the year subsequent to which employees make their contributions.</w:t>
      </w:r>
    </w:p>
    <w:p>
      <w:pPr>
        <w:spacing w:after="0" w:line="155"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325889"/>
        </w:rPr>
        <w:t>2016 Grants of Plan-Based Awards</w:t>
      </w:r>
    </w:p>
    <w:p>
      <w:pPr>
        <w:spacing w:after="0" w:line="212" w:lineRule="exact"/>
        <w:rPr>
          <w:sz w:val="20"/>
          <w:szCs w:val="20"/>
          <w:color w:val="auto"/>
        </w:rPr>
      </w:pPr>
    </w:p>
    <w:p>
      <w:pPr>
        <w:ind w:left="5"/>
        <w:spacing w:after="0"/>
        <w:rPr>
          <w:sz w:val="20"/>
          <w:szCs w:val="20"/>
          <w:color w:val="auto"/>
        </w:rPr>
      </w:pPr>
      <w:r>
        <w:rPr>
          <w:rFonts w:ascii="Arial" w:cs="Arial" w:eastAsia="Arial" w:hAnsi="Arial"/>
          <w:sz w:val="15"/>
          <w:szCs w:val="15"/>
          <w:color w:val="auto"/>
        </w:rPr>
        <w:t>The following table sets forth certain information with respect to each grant of an award made to a named executive officer in the fiscal year ended December 31, 2016.</w:t>
      </w:r>
    </w:p>
    <w:p>
      <w:pPr>
        <w:spacing w:after="0" w:line="218" w:lineRule="exact"/>
        <w:rPr>
          <w:sz w:val="20"/>
          <w:szCs w:val="20"/>
          <w:color w:val="auto"/>
        </w:rPr>
      </w:pPr>
    </w:p>
    <w:tbl>
      <w:tblPr>
        <w:tblLayout w:type="fixed"/>
        <w:tblInd w:w="5" w:type="dxa"/>
        <w:tblCellMar>
          <w:top w:w="0" w:type="dxa"/>
          <w:left w:w="0" w:type="dxa"/>
          <w:bottom w:w="0" w:type="dxa"/>
          <w:right w:w="0" w:type="dxa"/>
        </w:tblCellMar>
      </w:tblPr>
      <w:tr>
        <w:trPr>
          <w:trHeight w:val="138"/>
        </w:trPr>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325889"/>
              </w:rPr>
              <w:t>All Other</w:t>
            </w:r>
          </w:p>
        </w:tc>
        <w:tc>
          <w:tcPr>
            <w:tcW w:w="78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325889"/>
              </w:rPr>
              <w:t>All Other</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ind w:right="180"/>
              <w:spacing w:after="0" w:line="131" w:lineRule="exact"/>
              <w:rPr>
                <w:sz w:val="20"/>
                <w:szCs w:val="20"/>
                <w:color w:val="auto"/>
              </w:rPr>
            </w:pPr>
            <w:r>
              <w:rPr>
                <w:rFonts w:ascii="Arial" w:cs="Arial" w:eastAsia="Arial" w:hAnsi="Arial"/>
                <w:sz w:val="12"/>
                <w:szCs w:val="12"/>
                <w:b w:val="1"/>
                <w:bCs w:val="1"/>
                <w:color w:val="325889"/>
              </w:rPr>
              <w:t>Stock</w:t>
            </w:r>
          </w:p>
        </w:tc>
        <w:tc>
          <w:tcPr>
            <w:tcW w:w="780" w:type="dxa"/>
            <w:vAlign w:val="bottom"/>
            <w:gridSpan w:val="2"/>
          </w:tcPr>
          <w:p>
            <w:pPr>
              <w:jc w:val="right"/>
              <w:ind w:right="160"/>
              <w:spacing w:after="0" w:line="131" w:lineRule="exact"/>
              <w:rPr>
                <w:sz w:val="20"/>
                <w:szCs w:val="20"/>
                <w:color w:val="auto"/>
              </w:rPr>
            </w:pPr>
            <w:r>
              <w:rPr>
                <w:rFonts w:ascii="Arial" w:cs="Arial" w:eastAsia="Arial" w:hAnsi="Arial"/>
                <w:sz w:val="12"/>
                <w:szCs w:val="12"/>
                <w:b w:val="1"/>
                <w:bCs w:val="1"/>
                <w:color w:val="325889"/>
              </w:rPr>
              <w:t>Option</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ind w:right="180"/>
              <w:spacing w:after="0" w:line="131" w:lineRule="exact"/>
              <w:rPr>
                <w:sz w:val="20"/>
                <w:szCs w:val="20"/>
                <w:color w:val="auto"/>
              </w:rPr>
            </w:pPr>
            <w:r>
              <w:rPr>
                <w:rFonts w:ascii="Arial" w:cs="Arial" w:eastAsia="Arial" w:hAnsi="Arial"/>
                <w:sz w:val="12"/>
                <w:szCs w:val="12"/>
                <w:b w:val="1"/>
                <w:bCs w:val="1"/>
                <w:color w:val="325889"/>
              </w:rPr>
              <w:t>Awards:</w:t>
            </w:r>
          </w:p>
        </w:tc>
        <w:tc>
          <w:tcPr>
            <w:tcW w:w="780" w:type="dxa"/>
            <w:vAlign w:val="bottom"/>
            <w:gridSpan w:val="2"/>
          </w:tcPr>
          <w:p>
            <w:pPr>
              <w:jc w:val="right"/>
              <w:ind w:right="160"/>
              <w:spacing w:after="0" w:line="131" w:lineRule="exact"/>
              <w:rPr>
                <w:sz w:val="20"/>
                <w:szCs w:val="20"/>
                <w:color w:val="auto"/>
              </w:rPr>
            </w:pPr>
            <w:r>
              <w:rPr>
                <w:rFonts w:ascii="Arial" w:cs="Arial" w:eastAsia="Arial" w:hAnsi="Arial"/>
                <w:sz w:val="12"/>
                <w:szCs w:val="12"/>
                <w:b w:val="1"/>
                <w:bCs w:val="1"/>
                <w:color w:val="325889"/>
              </w:rPr>
              <w:t>Awards:</w:t>
            </w:r>
          </w:p>
        </w:tc>
        <w:tc>
          <w:tcPr>
            <w:tcW w:w="700" w:type="dxa"/>
            <w:vAlign w:val="bottom"/>
            <w:gridSpan w:val="3"/>
          </w:tcPr>
          <w:p>
            <w:pPr>
              <w:jc w:val="right"/>
              <w:ind w:right="160"/>
              <w:spacing w:after="0" w:line="131" w:lineRule="exact"/>
              <w:rPr>
                <w:sz w:val="20"/>
                <w:szCs w:val="20"/>
                <w:color w:val="auto"/>
              </w:rPr>
            </w:pPr>
            <w:r>
              <w:rPr>
                <w:rFonts w:ascii="Arial" w:cs="Arial" w:eastAsia="Arial" w:hAnsi="Arial"/>
                <w:sz w:val="12"/>
                <w:szCs w:val="12"/>
                <w:b w:val="1"/>
                <w:bCs w:val="1"/>
                <w:color w:val="325889"/>
              </w:rPr>
              <w:t>Exercise</w:t>
            </w:r>
          </w:p>
        </w:tc>
        <w:tc>
          <w:tcPr>
            <w:tcW w:w="120" w:type="dxa"/>
            <w:vAlign w:val="bottom"/>
          </w:tcPr>
          <w:p>
            <w:pPr>
              <w:spacing w:after="0"/>
              <w:rPr>
                <w:sz w:val="11"/>
                <w:szCs w:val="11"/>
                <w:color w:val="auto"/>
              </w:rPr>
            </w:pPr>
          </w:p>
        </w:tc>
        <w:tc>
          <w:tcPr>
            <w:tcW w:w="660" w:type="dxa"/>
            <w:vAlign w:val="bottom"/>
            <w:gridSpan w:val="2"/>
          </w:tcPr>
          <w:p>
            <w:pPr>
              <w:jc w:val="right"/>
              <w:ind w:right="160"/>
              <w:spacing w:after="0" w:line="131" w:lineRule="exact"/>
              <w:rPr>
                <w:sz w:val="20"/>
                <w:szCs w:val="20"/>
                <w:color w:val="auto"/>
              </w:rPr>
            </w:pPr>
            <w:r>
              <w:rPr>
                <w:rFonts w:ascii="Arial" w:cs="Arial" w:eastAsia="Arial" w:hAnsi="Arial"/>
                <w:sz w:val="12"/>
                <w:szCs w:val="12"/>
                <w:b w:val="1"/>
                <w:bCs w:val="1"/>
                <w:color w:val="325889"/>
              </w:rPr>
              <w:t>Grant</w:t>
            </w:r>
          </w:p>
        </w:tc>
        <w:tc>
          <w:tcPr>
            <w:tcW w:w="100" w:type="dxa"/>
            <w:vAlign w:val="bottom"/>
          </w:tcPr>
          <w:p>
            <w:pPr>
              <w:spacing w:after="0"/>
              <w:rPr>
                <w:sz w:val="11"/>
                <w:szCs w:val="11"/>
                <w:color w:val="auto"/>
              </w:rPr>
            </w:pPr>
          </w:p>
        </w:tc>
        <w:tc>
          <w:tcPr>
            <w:tcW w:w="660" w:type="dxa"/>
            <w:vAlign w:val="bottom"/>
          </w:tcPr>
          <w:p>
            <w:pPr>
              <w:jc w:val="right"/>
              <w:spacing w:after="0" w:line="131" w:lineRule="exact"/>
              <w:rPr>
                <w:sz w:val="20"/>
                <w:szCs w:val="20"/>
                <w:color w:val="auto"/>
              </w:rPr>
            </w:pPr>
            <w:r>
              <w:rPr>
                <w:rFonts w:ascii="Arial" w:cs="Arial" w:eastAsia="Arial" w:hAnsi="Arial"/>
                <w:sz w:val="12"/>
                <w:szCs w:val="12"/>
                <w:b w:val="1"/>
                <w:bCs w:val="1"/>
                <w:color w:val="325889"/>
              </w:rPr>
              <w:t>Grant Date</w:t>
            </w:r>
          </w:p>
        </w:tc>
        <w:tc>
          <w:tcPr>
            <w:tcW w:w="0" w:type="dxa"/>
            <w:vAlign w:val="bottom"/>
          </w:tcPr>
          <w:p>
            <w:pPr>
              <w:spacing w:after="0"/>
              <w:rPr>
                <w:sz w:val="1"/>
                <w:szCs w:val="1"/>
                <w:color w:val="auto"/>
              </w:rPr>
            </w:pPr>
          </w:p>
        </w:tc>
      </w:tr>
      <w:tr>
        <w:trPr>
          <w:trHeight w:val="131"/>
        </w:trPr>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60" w:type="dxa"/>
            <w:vAlign w:val="bottom"/>
            <w:gridSpan w:val="8"/>
            <w:vMerge w:val="restart"/>
          </w:tcPr>
          <w:p>
            <w:pPr>
              <w:jc w:val="right"/>
              <w:ind w:right="380"/>
              <w:spacing w:after="0"/>
              <w:rPr>
                <w:sz w:val="20"/>
                <w:szCs w:val="20"/>
                <w:color w:val="auto"/>
              </w:rPr>
            </w:pPr>
            <w:r>
              <w:rPr>
                <w:rFonts w:ascii="Arial" w:cs="Arial" w:eastAsia="Arial" w:hAnsi="Arial"/>
                <w:sz w:val="12"/>
                <w:szCs w:val="12"/>
                <w:b w:val="1"/>
                <w:bCs w:val="1"/>
                <w:color w:val="325889"/>
              </w:rPr>
              <w:t>Estimated Possible Payouts Under Non-Equity</w:t>
            </w:r>
          </w:p>
        </w:tc>
        <w:tc>
          <w:tcPr>
            <w:tcW w:w="2140" w:type="dxa"/>
            <w:vAlign w:val="bottom"/>
            <w:gridSpan w:val="6"/>
            <w:vMerge w:val="restart"/>
          </w:tcPr>
          <w:p>
            <w:pPr>
              <w:jc w:val="center"/>
              <w:ind w:right="180"/>
              <w:spacing w:after="0"/>
              <w:rPr>
                <w:sz w:val="20"/>
                <w:szCs w:val="20"/>
                <w:color w:val="auto"/>
              </w:rPr>
            </w:pPr>
            <w:r>
              <w:rPr>
                <w:rFonts w:ascii="Arial" w:cs="Arial" w:eastAsia="Arial" w:hAnsi="Arial"/>
                <w:sz w:val="12"/>
                <w:szCs w:val="12"/>
                <w:b w:val="1"/>
                <w:bCs w:val="1"/>
                <w:color w:val="325889"/>
                <w:w w:val="98"/>
              </w:rPr>
              <w:t>Estimated Future Payouts Under</w:t>
            </w:r>
          </w:p>
        </w:tc>
        <w:tc>
          <w:tcPr>
            <w:tcW w:w="720" w:type="dxa"/>
            <w:vAlign w:val="bottom"/>
            <w:gridSpan w:val="2"/>
          </w:tcPr>
          <w:p>
            <w:pPr>
              <w:jc w:val="right"/>
              <w:ind w:right="180"/>
              <w:spacing w:after="0" w:line="131" w:lineRule="exact"/>
              <w:rPr>
                <w:sz w:val="20"/>
                <w:szCs w:val="20"/>
                <w:color w:val="auto"/>
              </w:rPr>
            </w:pPr>
            <w:r>
              <w:rPr>
                <w:rFonts w:ascii="Arial" w:cs="Arial" w:eastAsia="Arial" w:hAnsi="Arial"/>
                <w:sz w:val="12"/>
                <w:szCs w:val="12"/>
                <w:b w:val="1"/>
                <w:bCs w:val="1"/>
                <w:color w:val="325889"/>
              </w:rPr>
              <w:t>Number</w:t>
            </w:r>
          </w:p>
        </w:tc>
        <w:tc>
          <w:tcPr>
            <w:tcW w:w="780" w:type="dxa"/>
            <w:vAlign w:val="bottom"/>
            <w:gridSpan w:val="2"/>
          </w:tcPr>
          <w:p>
            <w:pPr>
              <w:jc w:val="right"/>
              <w:ind w:right="160"/>
              <w:spacing w:after="0" w:line="131" w:lineRule="exact"/>
              <w:rPr>
                <w:sz w:val="20"/>
                <w:szCs w:val="20"/>
                <w:color w:val="auto"/>
              </w:rPr>
            </w:pPr>
            <w:r>
              <w:rPr>
                <w:rFonts w:ascii="Arial" w:cs="Arial" w:eastAsia="Arial" w:hAnsi="Arial"/>
                <w:sz w:val="12"/>
                <w:szCs w:val="12"/>
                <w:b w:val="1"/>
                <w:bCs w:val="1"/>
                <w:color w:val="325889"/>
                <w:w w:val="99"/>
              </w:rPr>
              <w:t>Number of</w:t>
            </w:r>
          </w:p>
        </w:tc>
        <w:tc>
          <w:tcPr>
            <w:tcW w:w="100" w:type="dxa"/>
            <w:vAlign w:val="bottom"/>
          </w:tcPr>
          <w:p>
            <w:pPr>
              <w:spacing w:after="0"/>
              <w:rPr>
                <w:sz w:val="11"/>
                <w:szCs w:val="11"/>
                <w:color w:val="auto"/>
              </w:rPr>
            </w:pPr>
          </w:p>
        </w:tc>
        <w:tc>
          <w:tcPr>
            <w:tcW w:w="600" w:type="dxa"/>
            <w:vAlign w:val="bottom"/>
            <w:gridSpan w:val="2"/>
          </w:tcPr>
          <w:p>
            <w:pPr>
              <w:jc w:val="right"/>
              <w:ind w:right="160"/>
              <w:spacing w:after="0" w:line="131" w:lineRule="exact"/>
              <w:rPr>
                <w:sz w:val="20"/>
                <w:szCs w:val="20"/>
                <w:color w:val="auto"/>
              </w:rPr>
            </w:pPr>
            <w:r>
              <w:rPr>
                <w:rFonts w:ascii="Arial" w:cs="Arial" w:eastAsia="Arial" w:hAnsi="Arial"/>
                <w:sz w:val="12"/>
                <w:szCs w:val="12"/>
                <w:b w:val="1"/>
                <w:bCs w:val="1"/>
                <w:color w:val="325889"/>
                <w:w w:val="95"/>
              </w:rPr>
              <w:t>or Base</w:t>
            </w:r>
          </w:p>
        </w:tc>
        <w:tc>
          <w:tcPr>
            <w:tcW w:w="120" w:type="dxa"/>
            <w:vAlign w:val="bottom"/>
          </w:tcPr>
          <w:p>
            <w:pPr>
              <w:spacing w:after="0"/>
              <w:rPr>
                <w:sz w:val="11"/>
                <w:szCs w:val="11"/>
                <w:color w:val="auto"/>
              </w:rPr>
            </w:pPr>
          </w:p>
        </w:tc>
        <w:tc>
          <w:tcPr>
            <w:tcW w:w="660" w:type="dxa"/>
            <w:vAlign w:val="bottom"/>
            <w:gridSpan w:val="2"/>
          </w:tcPr>
          <w:p>
            <w:pPr>
              <w:jc w:val="right"/>
              <w:ind w:right="160"/>
              <w:spacing w:after="0" w:line="131" w:lineRule="exact"/>
              <w:rPr>
                <w:sz w:val="20"/>
                <w:szCs w:val="20"/>
                <w:color w:val="auto"/>
              </w:rPr>
            </w:pPr>
            <w:r>
              <w:rPr>
                <w:rFonts w:ascii="Arial" w:cs="Arial" w:eastAsia="Arial" w:hAnsi="Arial"/>
                <w:sz w:val="12"/>
                <w:szCs w:val="12"/>
                <w:b w:val="1"/>
                <w:bCs w:val="1"/>
                <w:color w:val="325889"/>
              </w:rPr>
              <w:t>Date</w:t>
            </w:r>
          </w:p>
        </w:tc>
        <w:tc>
          <w:tcPr>
            <w:tcW w:w="100" w:type="dxa"/>
            <w:vAlign w:val="bottom"/>
          </w:tcPr>
          <w:p>
            <w:pPr>
              <w:spacing w:after="0"/>
              <w:rPr>
                <w:sz w:val="11"/>
                <w:szCs w:val="11"/>
                <w:color w:val="auto"/>
              </w:rPr>
            </w:pPr>
          </w:p>
        </w:tc>
        <w:tc>
          <w:tcPr>
            <w:tcW w:w="660" w:type="dxa"/>
            <w:vAlign w:val="bottom"/>
          </w:tcPr>
          <w:p>
            <w:pPr>
              <w:jc w:val="right"/>
              <w:spacing w:after="0" w:line="131" w:lineRule="exact"/>
              <w:rPr>
                <w:sz w:val="20"/>
                <w:szCs w:val="20"/>
                <w:color w:val="auto"/>
              </w:rPr>
            </w:pPr>
            <w:r>
              <w:rPr>
                <w:rFonts w:ascii="Arial" w:cs="Arial" w:eastAsia="Arial" w:hAnsi="Arial"/>
                <w:sz w:val="12"/>
                <w:szCs w:val="12"/>
                <w:b w:val="1"/>
                <w:bCs w:val="1"/>
                <w:color w:val="325889"/>
              </w:rPr>
              <w:t>Fair Value</w:t>
            </w:r>
          </w:p>
        </w:tc>
        <w:tc>
          <w:tcPr>
            <w:tcW w:w="0" w:type="dxa"/>
            <w:vAlign w:val="bottom"/>
          </w:tcPr>
          <w:p>
            <w:pPr>
              <w:spacing w:after="0"/>
              <w:rPr>
                <w:sz w:val="1"/>
                <w:szCs w:val="1"/>
                <w:color w:val="auto"/>
              </w:rPr>
            </w:pPr>
          </w:p>
        </w:tc>
      </w:tr>
      <w:tr>
        <w:trPr>
          <w:trHeight w:val="83"/>
        </w:trPr>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60" w:type="dxa"/>
            <w:vAlign w:val="bottom"/>
            <w:gridSpan w:val="8"/>
            <w:vMerge w:val="continue"/>
          </w:tcPr>
          <w:p>
            <w:pPr>
              <w:spacing w:after="0"/>
              <w:rPr>
                <w:sz w:val="7"/>
                <w:szCs w:val="7"/>
                <w:color w:val="auto"/>
              </w:rPr>
            </w:pPr>
          </w:p>
        </w:tc>
        <w:tc>
          <w:tcPr>
            <w:tcW w:w="2140" w:type="dxa"/>
            <w:vAlign w:val="bottom"/>
            <w:gridSpan w:val="6"/>
            <w:vMerge w:val="continue"/>
          </w:tcPr>
          <w:p>
            <w:pPr>
              <w:spacing w:after="0"/>
              <w:rPr>
                <w:sz w:val="7"/>
                <w:szCs w:val="7"/>
                <w:color w:val="auto"/>
              </w:rPr>
            </w:pPr>
          </w:p>
        </w:tc>
        <w:tc>
          <w:tcPr>
            <w:tcW w:w="720" w:type="dxa"/>
            <w:vAlign w:val="bottom"/>
            <w:gridSpan w:val="2"/>
            <w:vMerge w:val="restart"/>
          </w:tcPr>
          <w:p>
            <w:pPr>
              <w:jc w:val="right"/>
              <w:ind w:right="180"/>
              <w:spacing w:after="0" w:line="131" w:lineRule="exact"/>
              <w:rPr>
                <w:sz w:val="20"/>
                <w:szCs w:val="20"/>
                <w:color w:val="auto"/>
              </w:rPr>
            </w:pPr>
            <w:r>
              <w:rPr>
                <w:rFonts w:ascii="Arial" w:cs="Arial" w:eastAsia="Arial" w:hAnsi="Arial"/>
                <w:sz w:val="12"/>
                <w:szCs w:val="12"/>
                <w:b w:val="1"/>
                <w:bCs w:val="1"/>
                <w:color w:val="325889"/>
                <w:w w:val="95"/>
              </w:rPr>
              <w:t>of Shares</w:t>
            </w:r>
          </w:p>
        </w:tc>
        <w:tc>
          <w:tcPr>
            <w:tcW w:w="780" w:type="dxa"/>
            <w:vAlign w:val="bottom"/>
            <w:gridSpan w:val="2"/>
            <w:vMerge w:val="restart"/>
          </w:tcPr>
          <w:p>
            <w:pPr>
              <w:jc w:val="right"/>
              <w:ind w:right="160"/>
              <w:spacing w:after="0" w:line="131" w:lineRule="exact"/>
              <w:rPr>
                <w:sz w:val="20"/>
                <w:szCs w:val="20"/>
                <w:color w:val="auto"/>
              </w:rPr>
            </w:pPr>
            <w:r>
              <w:rPr>
                <w:rFonts w:ascii="Arial" w:cs="Arial" w:eastAsia="Arial" w:hAnsi="Arial"/>
                <w:sz w:val="12"/>
                <w:szCs w:val="12"/>
                <w:b w:val="1"/>
                <w:bCs w:val="1"/>
                <w:color w:val="325889"/>
              </w:rPr>
              <w:t>Securities</w:t>
            </w:r>
          </w:p>
        </w:tc>
        <w:tc>
          <w:tcPr>
            <w:tcW w:w="100" w:type="dxa"/>
            <w:vAlign w:val="bottom"/>
          </w:tcPr>
          <w:p>
            <w:pPr>
              <w:spacing w:after="0"/>
              <w:rPr>
                <w:sz w:val="7"/>
                <w:szCs w:val="7"/>
                <w:color w:val="auto"/>
              </w:rPr>
            </w:pPr>
          </w:p>
        </w:tc>
        <w:tc>
          <w:tcPr>
            <w:tcW w:w="600" w:type="dxa"/>
            <w:vAlign w:val="bottom"/>
            <w:gridSpan w:val="2"/>
            <w:vMerge w:val="restart"/>
          </w:tcPr>
          <w:p>
            <w:pPr>
              <w:jc w:val="right"/>
              <w:ind w:right="160"/>
              <w:spacing w:after="0" w:line="131" w:lineRule="exact"/>
              <w:rPr>
                <w:sz w:val="20"/>
                <w:szCs w:val="20"/>
                <w:color w:val="auto"/>
              </w:rPr>
            </w:pPr>
            <w:r>
              <w:rPr>
                <w:rFonts w:ascii="Arial" w:cs="Arial" w:eastAsia="Arial" w:hAnsi="Arial"/>
                <w:sz w:val="12"/>
                <w:szCs w:val="12"/>
                <w:b w:val="1"/>
                <w:bCs w:val="1"/>
                <w:color w:val="325889"/>
                <w:w w:val="95"/>
              </w:rPr>
              <w:t>Price of</w:t>
            </w:r>
          </w:p>
        </w:tc>
        <w:tc>
          <w:tcPr>
            <w:tcW w:w="120" w:type="dxa"/>
            <w:vAlign w:val="bottom"/>
          </w:tcPr>
          <w:p>
            <w:pPr>
              <w:spacing w:after="0"/>
              <w:rPr>
                <w:sz w:val="7"/>
                <w:szCs w:val="7"/>
                <w:color w:val="auto"/>
              </w:rPr>
            </w:pPr>
          </w:p>
        </w:tc>
        <w:tc>
          <w:tcPr>
            <w:tcW w:w="660" w:type="dxa"/>
            <w:vAlign w:val="bottom"/>
            <w:gridSpan w:val="2"/>
            <w:vMerge w:val="restart"/>
          </w:tcPr>
          <w:p>
            <w:pPr>
              <w:jc w:val="right"/>
              <w:ind w:right="160"/>
              <w:spacing w:after="0" w:line="131" w:lineRule="exact"/>
              <w:rPr>
                <w:sz w:val="20"/>
                <w:szCs w:val="20"/>
                <w:color w:val="auto"/>
              </w:rPr>
            </w:pPr>
            <w:r>
              <w:rPr>
                <w:rFonts w:ascii="Arial" w:cs="Arial" w:eastAsia="Arial" w:hAnsi="Arial"/>
                <w:sz w:val="12"/>
                <w:szCs w:val="12"/>
                <w:b w:val="1"/>
                <w:bCs w:val="1"/>
                <w:color w:val="325889"/>
              </w:rPr>
              <w:t>Closing</w:t>
            </w:r>
          </w:p>
        </w:tc>
        <w:tc>
          <w:tcPr>
            <w:tcW w:w="100" w:type="dxa"/>
            <w:vAlign w:val="bottom"/>
          </w:tcPr>
          <w:p>
            <w:pPr>
              <w:spacing w:after="0"/>
              <w:rPr>
                <w:sz w:val="7"/>
                <w:szCs w:val="7"/>
                <w:color w:val="auto"/>
              </w:rPr>
            </w:pPr>
          </w:p>
        </w:tc>
        <w:tc>
          <w:tcPr>
            <w:tcW w:w="660" w:type="dxa"/>
            <w:vAlign w:val="bottom"/>
            <w:vMerge w:val="restart"/>
          </w:tcPr>
          <w:p>
            <w:pPr>
              <w:jc w:val="right"/>
              <w:spacing w:after="0" w:line="131" w:lineRule="exact"/>
              <w:rPr>
                <w:sz w:val="20"/>
                <w:szCs w:val="20"/>
                <w:color w:val="auto"/>
              </w:rPr>
            </w:pPr>
            <w:r>
              <w:rPr>
                <w:rFonts w:ascii="Arial" w:cs="Arial" w:eastAsia="Arial" w:hAnsi="Arial"/>
                <w:sz w:val="12"/>
                <w:szCs w:val="12"/>
                <w:b w:val="1"/>
                <w:bCs w:val="1"/>
                <w:color w:val="325889"/>
              </w:rPr>
              <w:t>of Stock</w:t>
            </w:r>
          </w:p>
        </w:tc>
        <w:tc>
          <w:tcPr>
            <w:tcW w:w="0" w:type="dxa"/>
            <w:vAlign w:val="bottom"/>
          </w:tcPr>
          <w:p>
            <w:pPr>
              <w:spacing w:after="0"/>
              <w:rPr>
                <w:sz w:val="1"/>
                <w:szCs w:val="1"/>
                <w:color w:val="auto"/>
              </w:rPr>
            </w:pPr>
          </w:p>
        </w:tc>
      </w:tr>
      <w:tr>
        <w:trPr>
          <w:trHeight w:val="47"/>
        </w:trPr>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140" w:type="dxa"/>
            <w:vAlign w:val="bottom"/>
            <w:gridSpan w:val="6"/>
            <w:vMerge w:val="restart"/>
          </w:tcPr>
          <w:p>
            <w:pPr>
              <w:jc w:val="right"/>
              <w:ind w:right="93"/>
              <w:spacing w:after="0"/>
              <w:rPr>
                <w:sz w:val="20"/>
                <w:szCs w:val="20"/>
                <w:color w:val="auto"/>
              </w:rPr>
            </w:pPr>
            <w:r>
              <w:rPr>
                <w:rFonts w:ascii="Arial" w:cs="Arial" w:eastAsia="Arial" w:hAnsi="Arial"/>
                <w:sz w:val="12"/>
                <w:szCs w:val="12"/>
                <w:b w:val="1"/>
                <w:bCs w:val="1"/>
                <w:color w:val="325889"/>
              </w:rPr>
              <w:t>Incentive Plan Awards</w:t>
            </w: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140" w:type="dxa"/>
            <w:vAlign w:val="bottom"/>
            <w:gridSpan w:val="6"/>
            <w:vMerge w:val="restart"/>
          </w:tcPr>
          <w:p>
            <w:pPr>
              <w:jc w:val="center"/>
              <w:ind w:right="180"/>
              <w:spacing w:after="0"/>
              <w:rPr>
                <w:sz w:val="20"/>
                <w:szCs w:val="20"/>
                <w:color w:val="auto"/>
              </w:rPr>
            </w:pPr>
            <w:r>
              <w:rPr>
                <w:rFonts w:ascii="Arial" w:cs="Arial" w:eastAsia="Arial" w:hAnsi="Arial"/>
                <w:sz w:val="12"/>
                <w:szCs w:val="12"/>
                <w:b w:val="1"/>
                <w:bCs w:val="1"/>
                <w:color w:val="325889"/>
                <w:w w:val="97"/>
              </w:rPr>
              <w:t>Equity Incentive Plan Awards</w:t>
            </w:r>
          </w:p>
        </w:tc>
        <w:tc>
          <w:tcPr>
            <w:tcW w:w="720" w:type="dxa"/>
            <w:vAlign w:val="bottom"/>
            <w:gridSpan w:val="2"/>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40" w:type="dxa"/>
            <w:vAlign w:val="bottom"/>
            <w:gridSpan w:val="6"/>
            <w:vMerge w:val="continue"/>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140" w:type="dxa"/>
            <w:vAlign w:val="bottom"/>
            <w:gridSpan w:val="6"/>
            <w:vMerge w:val="continue"/>
          </w:tcPr>
          <w:p>
            <w:pPr>
              <w:spacing w:after="0"/>
              <w:rPr>
                <w:sz w:val="10"/>
                <w:szCs w:val="10"/>
                <w:color w:val="auto"/>
              </w:rPr>
            </w:pPr>
          </w:p>
        </w:tc>
        <w:tc>
          <w:tcPr>
            <w:tcW w:w="720" w:type="dxa"/>
            <w:vAlign w:val="bottom"/>
            <w:gridSpan w:val="2"/>
          </w:tcPr>
          <w:p>
            <w:pPr>
              <w:jc w:val="right"/>
              <w:ind w:right="180"/>
              <w:spacing w:after="0" w:line="102" w:lineRule="exact"/>
              <w:rPr>
                <w:sz w:val="20"/>
                <w:szCs w:val="20"/>
                <w:color w:val="auto"/>
              </w:rPr>
            </w:pPr>
            <w:r>
              <w:rPr>
                <w:rFonts w:ascii="Arial" w:cs="Arial" w:eastAsia="Arial" w:hAnsi="Arial"/>
                <w:sz w:val="11"/>
                <w:szCs w:val="11"/>
                <w:b w:val="1"/>
                <w:bCs w:val="1"/>
                <w:color w:val="325889"/>
              </w:rPr>
              <w:t>of Stock</w:t>
            </w:r>
          </w:p>
        </w:tc>
        <w:tc>
          <w:tcPr>
            <w:tcW w:w="780" w:type="dxa"/>
            <w:vAlign w:val="bottom"/>
            <w:gridSpan w:val="2"/>
          </w:tcPr>
          <w:p>
            <w:pPr>
              <w:jc w:val="right"/>
              <w:ind w:right="160"/>
              <w:spacing w:after="0" w:line="102" w:lineRule="exact"/>
              <w:rPr>
                <w:sz w:val="20"/>
                <w:szCs w:val="20"/>
                <w:color w:val="auto"/>
              </w:rPr>
            </w:pPr>
            <w:r>
              <w:rPr>
                <w:rFonts w:ascii="Arial" w:cs="Arial" w:eastAsia="Arial" w:hAnsi="Arial"/>
                <w:sz w:val="11"/>
                <w:szCs w:val="11"/>
                <w:b w:val="1"/>
                <w:bCs w:val="1"/>
                <w:color w:val="325889"/>
              </w:rPr>
              <w:t>Underlying</w:t>
            </w:r>
          </w:p>
        </w:tc>
        <w:tc>
          <w:tcPr>
            <w:tcW w:w="100" w:type="dxa"/>
            <w:vAlign w:val="bottom"/>
          </w:tcPr>
          <w:p>
            <w:pPr>
              <w:spacing w:after="0"/>
              <w:rPr>
                <w:sz w:val="10"/>
                <w:szCs w:val="10"/>
                <w:color w:val="auto"/>
              </w:rPr>
            </w:pPr>
          </w:p>
        </w:tc>
        <w:tc>
          <w:tcPr>
            <w:tcW w:w="600" w:type="dxa"/>
            <w:vAlign w:val="bottom"/>
            <w:gridSpan w:val="2"/>
          </w:tcPr>
          <w:p>
            <w:pPr>
              <w:jc w:val="right"/>
              <w:ind w:right="160"/>
              <w:spacing w:after="0" w:line="102" w:lineRule="exact"/>
              <w:rPr>
                <w:sz w:val="20"/>
                <w:szCs w:val="20"/>
                <w:color w:val="auto"/>
              </w:rPr>
            </w:pPr>
            <w:r>
              <w:rPr>
                <w:rFonts w:ascii="Arial" w:cs="Arial" w:eastAsia="Arial" w:hAnsi="Arial"/>
                <w:sz w:val="11"/>
                <w:szCs w:val="11"/>
                <w:b w:val="1"/>
                <w:bCs w:val="1"/>
                <w:color w:val="325889"/>
              </w:rPr>
              <w:t>Option</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02" w:lineRule="exact"/>
              <w:rPr>
                <w:sz w:val="20"/>
                <w:szCs w:val="20"/>
                <w:color w:val="auto"/>
              </w:rPr>
            </w:pPr>
            <w:r>
              <w:rPr>
                <w:rFonts w:ascii="Arial" w:cs="Arial" w:eastAsia="Arial" w:hAnsi="Arial"/>
                <w:sz w:val="11"/>
                <w:szCs w:val="11"/>
                <w:b w:val="1"/>
                <w:bCs w:val="1"/>
                <w:color w:val="325889"/>
              </w:rPr>
              <w:t>Market</w:t>
            </w:r>
          </w:p>
        </w:tc>
        <w:tc>
          <w:tcPr>
            <w:tcW w:w="100" w:type="dxa"/>
            <w:vAlign w:val="bottom"/>
          </w:tcPr>
          <w:p>
            <w:pPr>
              <w:spacing w:after="0"/>
              <w:rPr>
                <w:sz w:val="10"/>
                <w:szCs w:val="10"/>
                <w:color w:val="auto"/>
              </w:rPr>
            </w:pPr>
          </w:p>
        </w:tc>
        <w:tc>
          <w:tcPr>
            <w:tcW w:w="660" w:type="dxa"/>
            <w:vAlign w:val="bottom"/>
          </w:tcPr>
          <w:p>
            <w:pPr>
              <w:jc w:val="right"/>
              <w:spacing w:after="0" w:line="102" w:lineRule="exact"/>
              <w:rPr>
                <w:sz w:val="20"/>
                <w:szCs w:val="20"/>
                <w:color w:val="auto"/>
              </w:rPr>
            </w:pPr>
            <w:r>
              <w:rPr>
                <w:rFonts w:ascii="Arial" w:cs="Arial" w:eastAsia="Arial" w:hAnsi="Arial"/>
                <w:sz w:val="11"/>
                <w:szCs w:val="11"/>
                <w:b w:val="1"/>
                <w:bCs w:val="1"/>
                <w:color w:val="325889"/>
              </w:rPr>
              <w:t>and Option</w:t>
            </w:r>
          </w:p>
        </w:tc>
        <w:tc>
          <w:tcPr>
            <w:tcW w:w="0" w:type="dxa"/>
            <w:vAlign w:val="bottom"/>
          </w:tcPr>
          <w:p>
            <w:pPr>
              <w:spacing w:after="0"/>
              <w:rPr>
                <w:sz w:val="1"/>
                <w:szCs w:val="1"/>
                <w:color w:val="auto"/>
              </w:rPr>
            </w:pPr>
          </w:p>
        </w:tc>
      </w:tr>
      <w:tr>
        <w:trPr>
          <w:trHeight w:val="116"/>
        </w:trPr>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tcPr>
          <w:p>
            <w:pPr>
              <w:jc w:val="right"/>
              <w:ind w:right="160"/>
              <w:spacing w:after="0" w:line="116" w:lineRule="exact"/>
              <w:rPr>
                <w:sz w:val="20"/>
                <w:szCs w:val="20"/>
                <w:color w:val="auto"/>
              </w:rPr>
            </w:pPr>
            <w:r>
              <w:rPr>
                <w:rFonts w:ascii="Arial" w:cs="Arial" w:eastAsia="Arial" w:hAnsi="Arial"/>
                <w:sz w:val="12"/>
                <w:szCs w:val="12"/>
                <w:b w:val="1"/>
                <w:bCs w:val="1"/>
                <w:color w:val="325889"/>
              </w:rPr>
              <w:t>Approval</w:t>
            </w:r>
          </w:p>
        </w:tc>
        <w:tc>
          <w:tcPr>
            <w:tcW w:w="140" w:type="dxa"/>
            <w:vAlign w:val="bottom"/>
            <w:tcBorders>
              <w:top w:val="single" w:sz="8" w:color="325889"/>
            </w:tcBorders>
          </w:tcPr>
          <w:p>
            <w:pPr>
              <w:spacing w:after="0"/>
              <w:rPr>
                <w:sz w:val="10"/>
                <w:szCs w:val="10"/>
                <w:color w:val="auto"/>
              </w:rPr>
            </w:pPr>
          </w:p>
        </w:tc>
        <w:tc>
          <w:tcPr>
            <w:tcW w:w="920" w:type="dxa"/>
            <w:vAlign w:val="bottom"/>
            <w:tcBorders>
              <w:top w:val="single" w:sz="8" w:color="325889"/>
            </w:tcBorders>
            <w:gridSpan w:val="2"/>
          </w:tcPr>
          <w:p>
            <w:pPr>
              <w:jc w:val="right"/>
              <w:ind w:right="180"/>
              <w:spacing w:after="0" w:line="116" w:lineRule="exact"/>
              <w:rPr>
                <w:sz w:val="20"/>
                <w:szCs w:val="20"/>
                <w:color w:val="auto"/>
              </w:rPr>
            </w:pPr>
            <w:r>
              <w:rPr>
                <w:rFonts w:ascii="Arial" w:cs="Arial" w:eastAsia="Arial" w:hAnsi="Arial"/>
                <w:sz w:val="12"/>
                <w:szCs w:val="12"/>
                <w:b w:val="1"/>
                <w:bCs w:val="1"/>
                <w:color w:val="325889"/>
              </w:rPr>
              <w:t>Threshold</w:t>
            </w:r>
          </w:p>
        </w:tc>
        <w:tc>
          <w:tcPr>
            <w:tcW w:w="140" w:type="dxa"/>
            <w:vAlign w:val="bottom"/>
            <w:tcBorders>
              <w:top w:val="single" w:sz="8" w:color="325889"/>
            </w:tcBorders>
          </w:tcPr>
          <w:p>
            <w:pPr>
              <w:spacing w:after="0"/>
              <w:rPr>
                <w:sz w:val="10"/>
                <w:szCs w:val="10"/>
                <w:color w:val="auto"/>
              </w:rPr>
            </w:pPr>
          </w:p>
        </w:tc>
        <w:tc>
          <w:tcPr>
            <w:tcW w:w="920" w:type="dxa"/>
            <w:vAlign w:val="bottom"/>
            <w:tcBorders>
              <w:top w:val="single" w:sz="8" w:color="325889"/>
            </w:tcBorders>
            <w:gridSpan w:val="2"/>
          </w:tcPr>
          <w:p>
            <w:pPr>
              <w:jc w:val="right"/>
              <w:ind w:right="180"/>
              <w:spacing w:after="0" w:line="116" w:lineRule="exact"/>
              <w:rPr>
                <w:sz w:val="20"/>
                <w:szCs w:val="20"/>
                <w:color w:val="auto"/>
              </w:rPr>
            </w:pPr>
            <w:r>
              <w:rPr>
                <w:rFonts w:ascii="Arial" w:cs="Arial" w:eastAsia="Arial" w:hAnsi="Arial"/>
                <w:sz w:val="12"/>
                <w:szCs w:val="12"/>
                <w:b w:val="1"/>
                <w:bCs w:val="1"/>
                <w:color w:val="325889"/>
              </w:rPr>
              <w:t>Target</w:t>
            </w:r>
          </w:p>
        </w:tc>
        <w:tc>
          <w:tcPr>
            <w:tcW w:w="160" w:type="dxa"/>
            <w:vAlign w:val="bottom"/>
            <w:tcBorders>
              <w:top w:val="single" w:sz="8" w:color="325889"/>
            </w:tcBorders>
          </w:tcPr>
          <w:p>
            <w:pPr>
              <w:spacing w:after="0"/>
              <w:rPr>
                <w:sz w:val="10"/>
                <w:szCs w:val="10"/>
                <w:color w:val="auto"/>
              </w:rPr>
            </w:pPr>
          </w:p>
        </w:tc>
        <w:tc>
          <w:tcPr>
            <w:tcW w:w="740" w:type="dxa"/>
            <w:vAlign w:val="bottom"/>
            <w:tcBorders>
              <w:top w:val="single" w:sz="8" w:color="325889"/>
            </w:tcBorders>
          </w:tcPr>
          <w:p>
            <w:pPr>
              <w:jc w:val="right"/>
              <w:spacing w:after="0" w:line="116" w:lineRule="exact"/>
              <w:rPr>
                <w:sz w:val="20"/>
                <w:szCs w:val="20"/>
                <w:color w:val="auto"/>
              </w:rPr>
            </w:pPr>
            <w:r>
              <w:rPr>
                <w:rFonts w:ascii="Arial" w:cs="Arial" w:eastAsia="Arial" w:hAnsi="Arial"/>
                <w:sz w:val="12"/>
                <w:szCs w:val="12"/>
                <w:b w:val="1"/>
                <w:bCs w:val="1"/>
                <w:color w:val="325889"/>
              </w:rPr>
              <w:t>Maximum</w:t>
            </w:r>
          </w:p>
        </w:tc>
        <w:tc>
          <w:tcPr>
            <w:tcW w:w="180" w:type="dxa"/>
            <w:vAlign w:val="bottom"/>
          </w:tcPr>
          <w:p>
            <w:pPr>
              <w:spacing w:after="0"/>
              <w:rPr>
                <w:sz w:val="10"/>
                <w:szCs w:val="10"/>
                <w:color w:val="auto"/>
              </w:rPr>
            </w:pPr>
          </w:p>
        </w:tc>
        <w:tc>
          <w:tcPr>
            <w:tcW w:w="740" w:type="dxa"/>
            <w:vAlign w:val="bottom"/>
            <w:tcBorders>
              <w:top w:val="single" w:sz="8" w:color="325889"/>
            </w:tcBorders>
            <w:gridSpan w:val="2"/>
          </w:tcPr>
          <w:p>
            <w:pPr>
              <w:spacing w:after="0" w:line="116" w:lineRule="exact"/>
              <w:rPr>
                <w:sz w:val="20"/>
                <w:szCs w:val="20"/>
                <w:color w:val="auto"/>
              </w:rPr>
            </w:pPr>
            <w:r>
              <w:rPr>
                <w:rFonts w:ascii="Arial" w:cs="Arial" w:eastAsia="Arial" w:hAnsi="Arial"/>
                <w:sz w:val="12"/>
                <w:szCs w:val="12"/>
                <w:b w:val="1"/>
                <w:bCs w:val="1"/>
                <w:color w:val="325889"/>
              </w:rPr>
              <w:t>Threshold</w:t>
            </w:r>
          </w:p>
        </w:tc>
        <w:tc>
          <w:tcPr>
            <w:tcW w:w="680" w:type="dxa"/>
            <w:vAlign w:val="bottom"/>
            <w:tcBorders>
              <w:top w:val="single" w:sz="8" w:color="325889"/>
            </w:tcBorders>
            <w:gridSpan w:val="2"/>
          </w:tcPr>
          <w:p>
            <w:pPr>
              <w:jc w:val="right"/>
              <w:ind w:right="180"/>
              <w:spacing w:after="0" w:line="116" w:lineRule="exact"/>
              <w:rPr>
                <w:sz w:val="20"/>
                <w:szCs w:val="20"/>
                <w:color w:val="auto"/>
              </w:rPr>
            </w:pPr>
            <w:r>
              <w:rPr>
                <w:rFonts w:ascii="Arial" w:cs="Arial" w:eastAsia="Arial" w:hAnsi="Arial"/>
                <w:sz w:val="12"/>
                <w:szCs w:val="12"/>
                <w:b w:val="1"/>
                <w:bCs w:val="1"/>
                <w:color w:val="325889"/>
              </w:rPr>
              <w:t>Target</w:t>
            </w:r>
          </w:p>
        </w:tc>
        <w:tc>
          <w:tcPr>
            <w:tcW w:w="560" w:type="dxa"/>
            <w:vAlign w:val="bottom"/>
            <w:tcBorders>
              <w:top w:val="single" w:sz="8" w:color="325889"/>
            </w:tcBorders>
          </w:tcPr>
          <w:p>
            <w:pPr>
              <w:jc w:val="right"/>
              <w:spacing w:after="0" w:line="116" w:lineRule="exact"/>
              <w:rPr>
                <w:sz w:val="20"/>
                <w:szCs w:val="20"/>
                <w:color w:val="auto"/>
              </w:rPr>
            </w:pPr>
            <w:r>
              <w:rPr>
                <w:rFonts w:ascii="Arial" w:cs="Arial" w:eastAsia="Arial" w:hAnsi="Arial"/>
                <w:sz w:val="12"/>
                <w:szCs w:val="12"/>
                <w:b w:val="1"/>
                <w:bCs w:val="1"/>
                <w:color w:val="325889"/>
                <w:w w:val="97"/>
              </w:rPr>
              <w:t>Maximum</w:t>
            </w:r>
          </w:p>
        </w:tc>
        <w:tc>
          <w:tcPr>
            <w:tcW w:w="160" w:type="dxa"/>
            <w:vAlign w:val="bottom"/>
          </w:tcPr>
          <w:p>
            <w:pPr>
              <w:spacing w:after="0"/>
              <w:rPr>
                <w:sz w:val="10"/>
                <w:szCs w:val="10"/>
                <w:color w:val="auto"/>
              </w:rPr>
            </w:pPr>
          </w:p>
        </w:tc>
        <w:tc>
          <w:tcPr>
            <w:tcW w:w="720" w:type="dxa"/>
            <w:vAlign w:val="bottom"/>
            <w:gridSpan w:val="2"/>
          </w:tcPr>
          <w:p>
            <w:pPr>
              <w:jc w:val="right"/>
              <w:ind w:right="180"/>
              <w:spacing w:after="0" w:line="116" w:lineRule="exact"/>
              <w:rPr>
                <w:sz w:val="20"/>
                <w:szCs w:val="20"/>
                <w:color w:val="auto"/>
              </w:rPr>
            </w:pPr>
            <w:r>
              <w:rPr>
                <w:rFonts w:ascii="Arial" w:cs="Arial" w:eastAsia="Arial" w:hAnsi="Arial"/>
                <w:sz w:val="12"/>
                <w:szCs w:val="12"/>
                <w:b w:val="1"/>
                <w:bCs w:val="1"/>
                <w:color w:val="325889"/>
              </w:rPr>
              <w:t>or Units</w:t>
            </w:r>
          </w:p>
        </w:tc>
        <w:tc>
          <w:tcPr>
            <w:tcW w:w="780" w:type="dxa"/>
            <w:vAlign w:val="bottom"/>
            <w:gridSpan w:val="2"/>
          </w:tcPr>
          <w:p>
            <w:pPr>
              <w:jc w:val="right"/>
              <w:ind w:right="160"/>
              <w:spacing w:after="0" w:line="116" w:lineRule="exact"/>
              <w:rPr>
                <w:sz w:val="20"/>
                <w:szCs w:val="20"/>
                <w:color w:val="auto"/>
              </w:rPr>
            </w:pPr>
            <w:r>
              <w:rPr>
                <w:rFonts w:ascii="Arial" w:cs="Arial" w:eastAsia="Arial" w:hAnsi="Arial"/>
                <w:sz w:val="12"/>
                <w:szCs w:val="12"/>
                <w:b w:val="1"/>
                <w:bCs w:val="1"/>
                <w:color w:val="325889"/>
              </w:rPr>
              <w:t>Options</w:t>
            </w:r>
          </w:p>
        </w:tc>
        <w:tc>
          <w:tcPr>
            <w:tcW w:w="100" w:type="dxa"/>
            <w:vAlign w:val="bottom"/>
          </w:tcPr>
          <w:p>
            <w:pPr>
              <w:spacing w:after="0"/>
              <w:rPr>
                <w:sz w:val="10"/>
                <w:szCs w:val="10"/>
                <w:color w:val="auto"/>
              </w:rPr>
            </w:pPr>
          </w:p>
        </w:tc>
        <w:tc>
          <w:tcPr>
            <w:tcW w:w="600" w:type="dxa"/>
            <w:vAlign w:val="bottom"/>
            <w:gridSpan w:val="2"/>
          </w:tcPr>
          <w:p>
            <w:pPr>
              <w:jc w:val="right"/>
              <w:ind w:right="160"/>
              <w:spacing w:after="0" w:line="116" w:lineRule="exact"/>
              <w:rPr>
                <w:sz w:val="20"/>
                <w:szCs w:val="20"/>
                <w:color w:val="auto"/>
              </w:rPr>
            </w:pPr>
            <w:r>
              <w:rPr>
                <w:rFonts w:ascii="Arial" w:cs="Arial" w:eastAsia="Arial" w:hAnsi="Arial"/>
                <w:sz w:val="12"/>
                <w:szCs w:val="12"/>
                <w:b w:val="1"/>
                <w:bCs w:val="1"/>
                <w:color w:val="325889"/>
                <w:w w:val="96"/>
              </w:rPr>
              <w:t>Awards</w:t>
            </w:r>
          </w:p>
        </w:tc>
        <w:tc>
          <w:tcPr>
            <w:tcW w:w="120" w:type="dxa"/>
            <w:vAlign w:val="bottom"/>
          </w:tcPr>
          <w:p>
            <w:pPr>
              <w:spacing w:after="0"/>
              <w:rPr>
                <w:sz w:val="10"/>
                <w:szCs w:val="10"/>
                <w:color w:val="auto"/>
              </w:rPr>
            </w:pPr>
          </w:p>
        </w:tc>
        <w:tc>
          <w:tcPr>
            <w:tcW w:w="660" w:type="dxa"/>
            <w:vAlign w:val="bottom"/>
            <w:gridSpan w:val="2"/>
          </w:tcPr>
          <w:p>
            <w:pPr>
              <w:jc w:val="right"/>
              <w:ind w:right="160"/>
              <w:spacing w:after="0" w:line="116" w:lineRule="exact"/>
              <w:rPr>
                <w:sz w:val="20"/>
                <w:szCs w:val="20"/>
                <w:color w:val="auto"/>
              </w:rPr>
            </w:pPr>
            <w:r>
              <w:rPr>
                <w:rFonts w:ascii="Arial" w:cs="Arial" w:eastAsia="Arial" w:hAnsi="Arial"/>
                <w:sz w:val="12"/>
                <w:szCs w:val="12"/>
                <w:b w:val="1"/>
                <w:bCs w:val="1"/>
                <w:color w:val="325889"/>
              </w:rPr>
              <w:t>Price</w:t>
            </w:r>
          </w:p>
        </w:tc>
        <w:tc>
          <w:tcPr>
            <w:tcW w:w="100" w:type="dxa"/>
            <w:vAlign w:val="bottom"/>
          </w:tcPr>
          <w:p>
            <w:pPr>
              <w:spacing w:after="0"/>
              <w:rPr>
                <w:sz w:val="10"/>
                <w:szCs w:val="10"/>
                <w:color w:val="auto"/>
              </w:rPr>
            </w:pPr>
          </w:p>
        </w:tc>
        <w:tc>
          <w:tcPr>
            <w:tcW w:w="660" w:type="dxa"/>
            <w:vAlign w:val="bottom"/>
          </w:tcPr>
          <w:p>
            <w:pPr>
              <w:jc w:val="right"/>
              <w:spacing w:after="0" w:line="116" w:lineRule="exact"/>
              <w:rPr>
                <w:sz w:val="20"/>
                <w:szCs w:val="20"/>
                <w:color w:val="auto"/>
              </w:rPr>
            </w:pPr>
            <w:r>
              <w:rPr>
                <w:rFonts w:ascii="Arial" w:cs="Arial" w:eastAsia="Arial" w:hAnsi="Arial"/>
                <w:sz w:val="12"/>
                <w:szCs w:val="12"/>
                <w:b w:val="1"/>
                <w:bCs w:val="1"/>
                <w:color w:val="325889"/>
              </w:rPr>
              <w:t>Awards</w:t>
            </w:r>
          </w:p>
        </w:tc>
        <w:tc>
          <w:tcPr>
            <w:tcW w:w="0" w:type="dxa"/>
            <w:vAlign w:val="bottom"/>
          </w:tcPr>
          <w:p>
            <w:pPr>
              <w:spacing w:after="0"/>
              <w:rPr>
                <w:sz w:val="1"/>
                <w:szCs w:val="1"/>
                <w:color w:val="auto"/>
              </w:rPr>
            </w:pPr>
          </w:p>
        </w:tc>
      </w:tr>
      <w:tr>
        <w:trPr>
          <w:trHeight w:val="162"/>
        </w:trPr>
        <w:tc>
          <w:tcPr>
            <w:tcW w:w="720" w:type="dxa"/>
            <w:vAlign w:val="bottom"/>
          </w:tcPr>
          <w:p>
            <w:pPr>
              <w:spacing w:after="0"/>
              <w:rPr>
                <w:sz w:val="20"/>
                <w:szCs w:val="20"/>
                <w:color w:val="auto"/>
              </w:rPr>
            </w:pPr>
            <w:r>
              <w:rPr>
                <w:rFonts w:ascii="Arial" w:cs="Arial" w:eastAsia="Arial" w:hAnsi="Arial"/>
                <w:sz w:val="12"/>
                <w:szCs w:val="12"/>
                <w:b w:val="1"/>
                <w:bCs w:val="1"/>
                <w:color w:val="auto"/>
              </w:rPr>
              <w:t>Name</w:t>
            </w:r>
          </w:p>
        </w:tc>
        <w:tc>
          <w:tcPr>
            <w:tcW w:w="1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325889"/>
                <w:w w:val="97"/>
              </w:rPr>
              <w:t>Grant Date</w:t>
            </w:r>
          </w:p>
        </w:tc>
        <w:tc>
          <w:tcPr>
            <w:tcW w:w="78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325889"/>
              </w:rPr>
              <w:t>Date</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b w:val="1"/>
                <w:bCs w:val="1"/>
                <w:color w:val="325889"/>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325889"/>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b w:val="1"/>
                <w:bCs w:val="1"/>
                <w:color w:val="325889"/>
              </w:rPr>
              <w:t>($)</w:t>
            </w:r>
          </w:p>
        </w:tc>
        <w:tc>
          <w:tcPr>
            <w:tcW w:w="1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325889"/>
              </w:rPr>
              <w:t>(#)</w:t>
            </w:r>
          </w:p>
        </w:tc>
        <w:tc>
          <w:tcPr>
            <w:tcW w:w="500" w:type="dxa"/>
            <w:vAlign w:val="bottom"/>
          </w:tcPr>
          <w:p>
            <w:pPr>
              <w:jc w:val="right"/>
              <w:spacing w:after="0"/>
              <w:rPr>
                <w:sz w:val="20"/>
                <w:szCs w:val="20"/>
                <w:color w:val="auto"/>
              </w:rPr>
            </w:pPr>
            <w:r>
              <w:rPr>
                <w:rFonts w:ascii="Arial" w:cs="Arial" w:eastAsia="Arial" w:hAnsi="Arial"/>
                <w:sz w:val="12"/>
                <w:szCs w:val="12"/>
                <w:b w:val="1"/>
                <w:bCs w:val="1"/>
                <w:color w:val="325889"/>
              </w:rPr>
              <w:t>(#)</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b w:val="1"/>
                <w:bCs w:val="1"/>
                <w:color w:val="325889"/>
              </w:rPr>
              <w:t>(#)</w:t>
            </w:r>
          </w:p>
        </w:tc>
        <w:tc>
          <w:tcPr>
            <w:tcW w:w="16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325889"/>
              </w:rPr>
              <w:t>(#)</w:t>
            </w:r>
          </w:p>
        </w:tc>
        <w:tc>
          <w:tcPr>
            <w:tcW w:w="78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325889"/>
              </w:rPr>
              <w:t>(#)</w:t>
            </w:r>
          </w:p>
        </w:tc>
        <w:tc>
          <w:tcPr>
            <w:tcW w:w="10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325889"/>
              </w:rPr>
              <w:t>($/Sh)</w:t>
            </w:r>
          </w:p>
        </w:tc>
        <w:tc>
          <w:tcPr>
            <w:tcW w:w="1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325889"/>
              </w:rPr>
              <w:t>($/Sh)</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b w:val="1"/>
                <w:bCs w:val="1"/>
                <w:color w:val="325889"/>
              </w:rPr>
              <w:t>($)</w:t>
            </w:r>
          </w:p>
        </w:tc>
        <w:tc>
          <w:tcPr>
            <w:tcW w:w="0" w:type="dxa"/>
            <w:vAlign w:val="bottom"/>
          </w:tcPr>
          <w:p>
            <w:pPr>
              <w:spacing w:after="0"/>
              <w:rPr>
                <w:sz w:val="1"/>
                <w:szCs w:val="1"/>
                <w:color w:val="auto"/>
              </w:rPr>
            </w:pPr>
          </w:p>
        </w:tc>
      </w:tr>
      <w:tr>
        <w:trPr>
          <w:trHeight w:val="30"/>
        </w:trPr>
        <w:tc>
          <w:tcPr>
            <w:tcW w:w="720" w:type="dxa"/>
            <w:vAlign w:val="bottom"/>
            <w:shd w:val="clear" w:color="auto" w:fill="325889"/>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325889"/>
          </w:tcPr>
          <w:p>
            <w:pPr>
              <w:spacing w:after="0"/>
              <w:rPr>
                <w:sz w:val="2"/>
                <w:szCs w:val="2"/>
                <w:color w:val="auto"/>
              </w:rPr>
            </w:pPr>
          </w:p>
        </w:tc>
        <w:tc>
          <w:tcPr>
            <w:tcW w:w="160" w:type="dxa"/>
            <w:vAlign w:val="bottom"/>
            <w:shd w:val="clear" w:color="auto" w:fill="CCD2DB"/>
          </w:tcPr>
          <w:p>
            <w:pPr>
              <w:spacing w:after="0"/>
              <w:rPr>
                <w:sz w:val="2"/>
                <w:szCs w:val="2"/>
                <w:color w:val="auto"/>
              </w:rPr>
            </w:pPr>
          </w:p>
        </w:tc>
        <w:tc>
          <w:tcPr>
            <w:tcW w:w="620" w:type="dxa"/>
            <w:vAlign w:val="bottom"/>
            <w:shd w:val="clear" w:color="auto" w:fill="325889"/>
          </w:tcPr>
          <w:p>
            <w:pPr>
              <w:spacing w:after="0"/>
              <w:rPr>
                <w:sz w:val="2"/>
                <w:szCs w:val="2"/>
                <w:color w:val="auto"/>
              </w:rPr>
            </w:pPr>
          </w:p>
        </w:tc>
        <w:tc>
          <w:tcPr>
            <w:tcW w:w="160" w:type="dxa"/>
            <w:vAlign w:val="bottom"/>
            <w:shd w:val="clear" w:color="auto" w:fill="CCD2DB"/>
          </w:tcPr>
          <w:p>
            <w:pPr>
              <w:spacing w:after="0"/>
              <w:rPr>
                <w:sz w:val="2"/>
                <w:szCs w:val="2"/>
                <w:color w:val="auto"/>
              </w:rPr>
            </w:pPr>
          </w:p>
        </w:tc>
        <w:tc>
          <w:tcPr>
            <w:tcW w:w="140" w:type="dxa"/>
            <w:vAlign w:val="bottom"/>
            <w:shd w:val="clear" w:color="auto" w:fill="325889"/>
          </w:tcPr>
          <w:p>
            <w:pPr>
              <w:spacing w:after="0"/>
              <w:rPr>
                <w:sz w:val="2"/>
                <w:szCs w:val="2"/>
                <w:color w:val="auto"/>
              </w:rPr>
            </w:pPr>
          </w:p>
        </w:tc>
        <w:tc>
          <w:tcPr>
            <w:tcW w:w="740" w:type="dxa"/>
            <w:vAlign w:val="bottom"/>
            <w:shd w:val="clear" w:color="auto" w:fill="325889"/>
          </w:tcPr>
          <w:p>
            <w:pPr>
              <w:spacing w:after="0"/>
              <w:rPr>
                <w:sz w:val="2"/>
                <w:szCs w:val="2"/>
                <w:color w:val="auto"/>
              </w:rPr>
            </w:pPr>
          </w:p>
        </w:tc>
        <w:tc>
          <w:tcPr>
            <w:tcW w:w="180" w:type="dxa"/>
            <w:vAlign w:val="bottom"/>
            <w:shd w:val="clear" w:color="auto" w:fill="CCD2DB"/>
          </w:tcPr>
          <w:p>
            <w:pPr>
              <w:spacing w:after="0"/>
              <w:rPr>
                <w:sz w:val="2"/>
                <w:szCs w:val="2"/>
                <w:color w:val="auto"/>
              </w:rPr>
            </w:pPr>
          </w:p>
        </w:tc>
        <w:tc>
          <w:tcPr>
            <w:tcW w:w="140" w:type="dxa"/>
            <w:vAlign w:val="bottom"/>
            <w:shd w:val="clear" w:color="auto" w:fill="325889"/>
          </w:tcPr>
          <w:p>
            <w:pPr>
              <w:spacing w:after="0"/>
              <w:rPr>
                <w:sz w:val="2"/>
                <w:szCs w:val="2"/>
                <w:color w:val="auto"/>
              </w:rPr>
            </w:pPr>
          </w:p>
        </w:tc>
        <w:tc>
          <w:tcPr>
            <w:tcW w:w="740" w:type="dxa"/>
            <w:vAlign w:val="bottom"/>
            <w:shd w:val="clear" w:color="auto" w:fill="325889"/>
          </w:tcPr>
          <w:p>
            <w:pPr>
              <w:spacing w:after="0"/>
              <w:rPr>
                <w:sz w:val="2"/>
                <w:szCs w:val="2"/>
                <w:color w:val="auto"/>
              </w:rPr>
            </w:pPr>
          </w:p>
        </w:tc>
        <w:tc>
          <w:tcPr>
            <w:tcW w:w="180" w:type="dxa"/>
            <w:vAlign w:val="bottom"/>
            <w:shd w:val="clear" w:color="auto" w:fill="CCD2DB"/>
          </w:tcPr>
          <w:p>
            <w:pPr>
              <w:spacing w:after="0"/>
              <w:rPr>
                <w:sz w:val="2"/>
                <w:szCs w:val="2"/>
                <w:color w:val="auto"/>
              </w:rPr>
            </w:pPr>
          </w:p>
        </w:tc>
        <w:tc>
          <w:tcPr>
            <w:tcW w:w="160" w:type="dxa"/>
            <w:vAlign w:val="bottom"/>
            <w:shd w:val="clear" w:color="auto" w:fill="325889"/>
          </w:tcPr>
          <w:p>
            <w:pPr>
              <w:spacing w:after="0"/>
              <w:rPr>
                <w:sz w:val="2"/>
                <w:szCs w:val="2"/>
                <w:color w:val="auto"/>
              </w:rPr>
            </w:pPr>
          </w:p>
        </w:tc>
        <w:tc>
          <w:tcPr>
            <w:tcW w:w="740" w:type="dxa"/>
            <w:vAlign w:val="bottom"/>
            <w:shd w:val="clear" w:color="auto" w:fill="325889"/>
          </w:tcPr>
          <w:p>
            <w:pPr>
              <w:spacing w:after="0"/>
              <w:rPr>
                <w:sz w:val="2"/>
                <w:szCs w:val="2"/>
                <w:color w:val="auto"/>
              </w:rPr>
            </w:pPr>
          </w:p>
        </w:tc>
        <w:tc>
          <w:tcPr>
            <w:tcW w:w="180" w:type="dxa"/>
            <w:vAlign w:val="bottom"/>
            <w:shd w:val="clear" w:color="auto" w:fill="CCD2DB"/>
          </w:tcPr>
          <w:p>
            <w:pPr>
              <w:spacing w:after="0"/>
              <w:rPr>
                <w:sz w:val="2"/>
                <w:szCs w:val="2"/>
                <w:color w:val="auto"/>
              </w:rPr>
            </w:pPr>
          </w:p>
        </w:tc>
        <w:tc>
          <w:tcPr>
            <w:tcW w:w="580" w:type="dxa"/>
            <w:vAlign w:val="bottom"/>
            <w:shd w:val="clear" w:color="auto" w:fill="325889"/>
          </w:tcPr>
          <w:p>
            <w:pPr>
              <w:spacing w:after="0"/>
              <w:rPr>
                <w:sz w:val="2"/>
                <w:szCs w:val="2"/>
                <w:color w:val="auto"/>
              </w:rPr>
            </w:pPr>
          </w:p>
        </w:tc>
        <w:tc>
          <w:tcPr>
            <w:tcW w:w="160" w:type="dxa"/>
            <w:vAlign w:val="bottom"/>
            <w:shd w:val="clear" w:color="auto" w:fill="CCD2DB"/>
          </w:tcPr>
          <w:p>
            <w:pPr>
              <w:spacing w:after="0"/>
              <w:rPr>
                <w:sz w:val="2"/>
                <w:szCs w:val="2"/>
                <w:color w:val="auto"/>
              </w:rPr>
            </w:pPr>
          </w:p>
        </w:tc>
        <w:tc>
          <w:tcPr>
            <w:tcW w:w="500" w:type="dxa"/>
            <w:vAlign w:val="bottom"/>
            <w:shd w:val="clear" w:color="auto" w:fill="325889"/>
          </w:tcPr>
          <w:p>
            <w:pPr>
              <w:spacing w:after="0"/>
              <w:rPr>
                <w:sz w:val="2"/>
                <w:szCs w:val="2"/>
                <w:color w:val="auto"/>
              </w:rPr>
            </w:pPr>
          </w:p>
        </w:tc>
        <w:tc>
          <w:tcPr>
            <w:tcW w:w="180" w:type="dxa"/>
            <w:vAlign w:val="bottom"/>
            <w:shd w:val="clear" w:color="auto" w:fill="CCD2DB"/>
          </w:tcPr>
          <w:p>
            <w:pPr>
              <w:spacing w:after="0"/>
              <w:rPr>
                <w:sz w:val="2"/>
                <w:szCs w:val="2"/>
                <w:color w:val="auto"/>
              </w:rPr>
            </w:pPr>
          </w:p>
        </w:tc>
        <w:tc>
          <w:tcPr>
            <w:tcW w:w="560" w:type="dxa"/>
            <w:vAlign w:val="bottom"/>
            <w:shd w:val="clear" w:color="auto" w:fill="325889"/>
          </w:tcPr>
          <w:p>
            <w:pPr>
              <w:spacing w:after="0"/>
              <w:rPr>
                <w:sz w:val="2"/>
                <w:szCs w:val="2"/>
                <w:color w:val="auto"/>
              </w:rPr>
            </w:pPr>
          </w:p>
        </w:tc>
        <w:tc>
          <w:tcPr>
            <w:tcW w:w="160" w:type="dxa"/>
            <w:vAlign w:val="bottom"/>
            <w:shd w:val="clear" w:color="auto" w:fill="CCD2DB"/>
          </w:tcPr>
          <w:p>
            <w:pPr>
              <w:spacing w:after="0"/>
              <w:rPr>
                <w:sz w:val="2"/>
                <w:szCs w:val="2"/>
                <w:color w:val="auto"/>
              </w:rPr>
            </w:pPr>
          </w:p>
        </w:tc>
        <w:tc>
          <w:tcPr>
            <w:tcW w:w="540" w:type="dxa"/>
            <w:vAlign w:val="bottom"/>
            <w:shd w:val="clear" w:color="auto" w:fill="325889"/>
          </w:tcPr>
          <w:p>
            <w:pPr>
              <w:spacing w:after="0"/>
              <w:rPr>
                <w:sz w:val="2"/>
                <w:szCs w:val="2"/>
                <w:color w:val="auto"/>
              </w:rPr>
            </w:pPr>
          </w:p>
        </w:tc>
        <w:tc>
          <w:tcPr>
            <w:tcW w:w="180" w:type="dxa"/>
            <w:vAlign w:val="bottom"/>
            <w:shd w:val="clear" w:color="auto" w:fill="CCD2DB"/>
          </w:tcPr>
          <w:p>
            <w:pPr>
              <w:spacing w:after="0"/>
              <w:rPr>
                <w:sz w:val="2"/>
                <w:szCs w:val="2"/>
                <w:color w:val="auto"/>
              </w:rPr>
            </w:pPr>
          </w:p>
        </w:tc>
        <w:tc>
          <w:tcPr>
            <w:tcW w:w="620" w:type="dxa"/>
            <w:vAlign w:val="bottom"/>
            <w:shd w:val="clear" w:color="auto" w:fill="325889"/>
          </w:tcPr>
          <w:p>
            <w:pPr>
              <w:spacing w:after="0"/>
              <w:rPr>
                <w:sz w:val="2"/>
                <w:szCs w:val="2"/>
                <w:color w:val="auto"/>
              </w:rPr>
            </w:pPr>
          </w:p>
        </w:tc>
        <w:tc>
          <w:tcPr>
            <w:tcW w:w="160" w:type="dxa"/>
            <w:vAlign w:val="bottom"/>
            <w:shd w:val="clear" w:color="auto" w:fill="CCD2DB"/>
          </w:tcPr>
          <w:p>
            <w:pPr>
              <w:spacing w:after="0"/>
              <w:rPr>
                <w:sz w:val="2"/>
                <w:szCs w:val="2"/>
                <w:color w:val="auto"/>
              </w:rPr>
            </w:pPr>
          </w:p>
        </w:tc>
        <w:tc>
          <w:tcPr>
            <w:tcW w:w="100" w:type="dxa"/>
            <w:vAlign w:val="bottom"/>
            <w:shd w:val="clear" w:color="auto" w:fill="325889"/>
          </w:tcPr>
          <w:p>
            <w:pPr>
              <w:spacing w:after="0"/>
              <w:rPr>
                <w:sz w:val="2"/>
                <w:szCs w:val="2"/>
                <w:color w:val="auto"/>
              </w:rPr>
            </w:pPr>
          </w:p>
        </w:tc>
        <w:tc>
          <w:tcPr>
            <w:tcW w:w="440" w:type="dxa"/>
            <w:vAlign w:val="bottom"/>
            <w:shd w:val="clear" w:color="auto" w:fill="325889"/>
          </w:tcPr>
          <w:p>
            <w:pPr>
              <w:spacing w:after="0"/>
              <w:rPr>
                <w:sz w:val="2"/>
                <w:szCs w:val="2"/>
                <w:color w:val="auto"/>
              </w:rPr>
            </w:pPr>
          </w:p>
        </w:tc>
        <w:tc>
          <w:tcPr>
            <w:tcW w:w="160" w:type="dxa"/>
            <w:vAlign w:val="bottom"/>
            <w:shd w:val="clear" w:color="auto" w:fill="CCD2DB"/>
          </w:tcPr>
          <w:p>
            <w:pPr>
              <w:spacing w:after="0"/>
              <w:rPr>
                <w:sz w:val="2"/>
                <w:szCs w:val="2"/>
                <w:color w:val="auto"/>
              </w:rPr>
            </w:pPr>
          </w:p>
        </w:tc>
        <w:tc>
          <w:tcPr>
            <w:tcW w:w="120" w:type="dxa"/>
            <w:vAlign w:val="bottom"/>
            <w:shd w:val="clear" w:color="auto" w:fill="325889"/>
          </w:tcPr>
          <w:p>
            <w:pPr>
              <w:spacing w:after="0"/>
              <w:rPr>
                <w:sz w:val="2"/>
                <w:szCs w:val="2"/>
                <w:color w:val="auto"/>
              </w:rPr>
            </w:pPr>
          </w:p>
        </w:tc>
        <w:tc>
          <w:tcPr>
            <w:tcW w:w="500" w:type="dxa"/>
            <w:vAlign w:val="bottom"/>
            <w:shd w:val="clear" w:color="auto" w:fill="325889"/>
          </w:tcPr>
          <w:p>
            <w:pPr>
              <w:spacing w:after="0"/>
              <w:rPr>
                <w:sz w:val="2"/>
                <w:szCs w:val="2"/>
                <w:color w:val="auto"/>
              </w:rPr>
            </w:pPr>
          </w:p>
        </w:tc>
        <w:tc>
          <w:tcPr>
            <w:tcW w:w="160" w:type="dxa"/>
            <w:vAlign w:val="bottom"/>
            <w:shd w:val="clear" w:color="auto" w:fill="CCD2DB"/>
          </w:tcPr>
          <w:p>
            <w:pPr>
              <w:spacing w:after="0"/>
              <w:rPr>
                <w:sz w:val="2"/>
                <w:szCs w:val="2"/>
                <w:color w:val="auto"/>
              </w:rPr>
            </w:pPr>
          </w:p>
        </w:tc>
        <w:tc>
          <w:tcPr>
            <w:tcW w:w="100" w:type="dxa"/>
            <w:vAlign w:val="bottom"/>
            <w:shd w:val="clear" w:color="auto" w:fill="325889"/>
          </w:tcPr>
          <w:p>
            <w:pPr>
              <w:spacing w:after="0"/>
              <w:rPr>
                <w:sz w:val="2"/>
                <w:szCs w:val="2"/>
                <w:color w:val="auto"/>
              </w:rPr>
            </w:pPr>
          </w:p>
        </w:tc>
        <w:tc>
          <w:tcPr>
            <w:tcW w:w="660" w:type="dxa"/>
            <w:vAlign w:val="bottom"/>
            <w:shd w:val="clear" w:color="auto" w:fill="32588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720" w:type="dxa"/>
            <w:vAlign w:val="bottom"/>
          </w:tcPr>
          <w:p>
            <w:pPr>
              <w:spacing w:after="0"/>
              <w:rPr>
                <w:sz w:val="20"/>
                <w:szCs w:val="20"/>
                <w:color w:val="auto"/>
              </w:rPr>
            </w:pPr>
            <w:r>
              <w:rPr>
                <w:rFonts w:ascii="Arial" w:cs="Arial" w:eastAsia="Arial" w:hAnsi="Arial"/>
                <w:sz w:val="12"/>
                <w:szCs w:val="12"/>
                <w:color w:val="auto"/>
                <w:w w:val="96"/>
              </w:rPr>
              <w:t>Marc Holliday</w:t>
            </w:r>
          </w:p>
        </w:tc>
        <w:tc>
          <w:tcPr>
            <w:tcW w:w="160" w:type="dxa"/>
            <w:vAlign w:val="bottom"/>
          </w:tcPr>
          <w:p>
            <w:pPr>
              <w:spacing w:after="0"/>
              <w:rPr>
                <w:sz w:val="22"/>
                <w:szCs w:val="22"/>
                <w:color w:val="auto"/>
              </w:rPr>
            </w:pPr>
          </w:p>
        </w:tc>
        <w:tc>
          <w:tcPr>
            <w:tcW w:w="620" w:type="dxa"/>
            <w:vAlign w:val="bottom"/>
            <w:shd w:val="clear" w:color="auto" w:fill="CCD2DB"/>
          </w:tcPr>
          <w:p>
            <w:pPr>
              <w:jc w:val="right"/>
              <w:spacing w:after="0"/>
              <w:rPr>
                <w:sz w:val="20"/>
                <w:szCs w:val="20"/>
                <w:color w:val="auto"/>
              </w:rPr>
            </w:pPr>
            <w:r>
              <w:rPr>
                <w:rFonts w:ascii="Arial" w:cs="Arial" w:eastAsia="Arial" w:hAnsi="Arial"/>
                <w:sz w:val="12"/>
                <w:szCs w:val="12"/>
                <w:color w:val="auto"/>
                <w:w w:val="99"/>
              </w:rPr>
              <w:t>01/12/2016</w:t>
            </w:r>
          </w:p>
        </w:tc>
        <w:tc>
          <w:tcPr>
            <w:tcW w:w="160" w:type="dxa"/>
            <w:vAlign w:val="bottom"/>
            <w:shd w:val="clear" w:color="auto" w:fill="CCD2DB"/>
          </w:tcPr>
          <w:p>
            <w:pPr>
              <w:spacing w:after="0"/>
              <w:rPr>
                <w:sz w:val="22"/>
                <w:szCs w:val="22"/>
                <w:color w:val="auto"/>
              </w:rPr>
            </w:pPr>
          </w:p>
        </w:tc>
        <w:tc>
          <w:tcPr>
            <w:tcW w:w="620" w:type="dxa"/>
            <w:vAlign w:val="bottom"/>
            <w:shd w:val="clear" w:color="auto" w:fill="CCD2DB"/>
          </w:tcPr>
          <w:p>
            <w:pPr>
              <w:jc w:val="right"/>
              <w:spacing w:after="0"/>
              <w:rPr>
                <w:sz w:val="20"/>
                <w:szCs w:val="20"/>
                <w:color w:val="auto"/>
              </w:rPr>
            </w:pPr>
            <w:r>
              <w:rPr>
                <w:rFonts w:ascii="Arial" w:cs="Arial" w:eastAsia="Arial" w:hAnsi="Arial"/>
                <w:sz w:val="12"/>
                <w:szCs w:val="12"/>
                <w:color w:val="auto"/>
                <w:w w:val="99"/>
              </w:rPr>
              <w:t>01/12/2016</w:t>
            </w:r>
          </w:p>
        </w:tc>
        <w:tc>
          <w:tcPr>
            <w:tcW w:w="160" w:type="dxa"/>
            <w:vAlign w:val="bottom"/>
            <w:shd w:val="clear" w:color="auto" w:fill="CCD2DB"/>
          </w:tcPr>
          <w:p>
            <w:pPr>
              <w:spacing w:after="0"/>
              <w:rPr>
                <w:sz w:val="22"/>
                <w:szCs w:val="22"/>
                <w:color w:val="auto"/>
              </w:rPr>
            </w:pPr>
          </w:p>
        </w:tc>
        <w:tc>
          <w:tcPr>
            <w:tcW w:w="140" w:type="dxa"/>
            <w:vAlign w:val="bottom"/>
            <w:shd w:val="clear" w:color="auto" w:fill="CCD2DB"/>
          </w:tcPr>
          <w:p>
            <w:pPr>
              <w:spacing w:after="0"/>
              <w:rPr>
                <w:sz w:val="22"/>
                <w:szCs w:val="22"/>
                <w:color w:val="auto"/>
              </w:rPr>
            </w:pPr>
          </w:p>
        </w:tc>
        <w:tc>
          <w:tcPr>
            <w:tcW w:w="920" w:type="dxa"/>
            <w:vAlign w:val="bottom"/>
            <w:gridSpan w:val="2"/>
            <w:shd w:val="clear" w:color="auto" w:fill="CCD2DB"/>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D2DB"/>
          </w:tcPr>
          <w:p>
            <w:pPr>
              <w:spacing w:after="0"/>
              <w:rPr>
                <w:sz w:val="22"/>
                <w:szCs w:val="22"/>
                <w:color w:val="auto"/>
              </w:rPr>
            </w:pPr>
          </w:p>
        </w:tc>
        <w:tc>
          <w:tcPr>
            <w:tcW w:w="920" w:type="dxa"/>
            <w:vAlign w:val="bottom"/>
            <w:gridSpan w:val="2"/>
            <w:shd w:val="clear" w:color="auto" w:fill="CCD2DB"/>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D2DB"/>
          </w:tcPr>
          <w:p>
            <w:pPr>
              <w:spacing w:after="0"/>
              <w:rPr>
                <w:sz w:val="22"/>
                <w:szCs w:val="22"/>
                <w:color w:val="auto"/>
              </w:rPr>
            </w:pPr>
          </w:p>
        </w:tc>
        <w:tc>
          <w:tcPr>
            <w:tcW w:w="920" w:type="dxa"/>
            <w:vAlign w:val="bottom"/>
            <w:gridSpan w:val="2"/>
            <w:shd w:val="clear" w:color="auto" w:fill="CCD2DB"/>
          </w:tcPr>
          <w:p>
            <w:pPr>
              <w:jc w:val="right"/>
              <w:ind w:right="18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D2DB"/>
          </w:tcPr>
          <w:p>
            <w:pPr>
              <w:jc w:val="right"/>
              <w:ind w:right="16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D2DB"/>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D2DB"/>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D2DB"/>
          </w:tcPr>
          <w:p>
            <w:pPr>
              <w:jc w:val="right"/>
              <w:ind w:right="180"/>
              <w:spacing w:after="0"/>
              <w:rPr>
                <w:sz w:val="20"/>
                <w:szCs w:val="20"/>
                <w:color w:val="auto"/>
              </w:rPr>
            </w:pPr>
            <w:r>
              <w:rPr>
                <w:rFonts w:ascii="Arial" w:cs="Arial" w:eastAsia="Arial" w:hAnsi="Arial"/>
                <w:sz w:val="12"/>
                <w:szCs w:val="12"/>
                <w:color w:val="auto"/>
                <w:w w:val="99"/>
              </w:rPr>
              <w:t>40,153</w:t>
            </w:r>
            <w:r>
              <w:rPr>
                <w:rFonts w:ascii="Arial" w:cs="Arial" w:eastAsia="Arial" w:hAnsi="Arial"/>
                <w:sz w:val="19"/>
                <w:szCs w:val="19"/>
                <w:color w:val="auto"/>
                <w:w w:val="99"/>
                <w:vertAlign w:val="superscript"/>
              </w:rPr>
              <w:t>(1)</w:t>
            </w:r>
          </w:p>
        </w:tc>
        <w:tc>
          <w:tcPr>
            <w:tcW w:w="780" w:type="dxa"/>
            <w:vAlign w:val="bottom"/>
            <w:gridSpan w:val="2"/>
            <w:shd w:val="clear" w:color="auto" w:fill="CCD2DB"/>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D2DB"/>
          </w:tcPr>
          <w:p>
            <w:pPr>
              <w:spacing w:after="0"/>
              <w:rPr>
                <w:sz w:val="22"/>
                <w:szCs w:val="22"/>
                <w:color w:val="auto"/>
              </w:rPr>
            </w:pPr>
          </w:p>
        </w:tc>
        <w:tc>
          <w:tcPr>
            <w:tcW w:w="600" w:type="dxa"/>
            <w:vAlign w:val="bottom"/>
            <w:gridSpan w:val="2"/>
            <w:shd w:val="clear" w:color="auto" w:fill="CCD2DB"/>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D2DB"/>
          </w:tcPr>
          <w:p>
            <w:pPr>
              <w:spacing w:after="0"/>
              <w:rPr>
                <w:sz w:val="22"/>
                <w:szCs w:val="22"/>
                <w:color w:val="auto"/>
              </w:rPr>
            </w:pPr>
          </w:p>
        </w:tc>
        <w:tc>
          <w:tcPr>
            <w:tcW w:w="500" w:type="dxa"/>
            <w:vAlign w:val="bottom"/>
            <w:shd w:val="clear" w:color="auto" w:fill="CCD2DB"/>
          </w:tcPr>
          <w:p>
            <w:pPr>
              <w:spacing w:after="0"/>
              <w:rPr>
                <w:sz w:val="22"/>
                <w:szCs w:val="22"/>
                <w:color w:val="auto"/>
              </w:rPr>
            </w:pPr>
          </w:p>
        </w:tc>
        <w:tc>
          <w:tcPr>
            <w:tcW w:w="160" w:type="dxa"/>
            <w:vAlign w:val="bottom"/>
            <w:shd w:val="clear" w:color="auto" w:fill="CCD2DB"/>
          </w:tcPr>
          <w:p>
            <w:pPr>
              <w:spacing w:after="0"/>
              <w:rPr>
                <w:sz w:val="22"/>
                <w:szCs w:val="22"/>
                <w:color w:val="auto"/>
              </w:rPr>
            </w:pPr>
          </w:p>
        </w:tc>
        <w:tc>
          <w:tcPr>
            <w:tcW w:w="100" w:type="dxa"/>
            <w:vAlign w:val="bottom"/>
            <w:shd w:val="clear" w:color="auto" w:fill="CCD2DB"/>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shd w:val="clear" w:color="auto" w:fill="CCD2DB"/>
          </w:tcPr>
          <w:p>
            <w:pPr>
              <w:jc w:val="right"/>
              <w:spacing w:after="0"/>
              <w:rPr>
                <w:sz w:val="20"/>
                <w:szCs w:val="20"/>
                <w:color w:val="auto"/>
              </w:rPr>
            </w:pPr>
            <w:r>
              <w:rPr>
                <w:rFonts w:ascii="Arial" w:cs="Arial" w:eastAsia="Arial" w:hAnsi="Arial"/>
                <w:sz w:val="12"/>
                <w:szCs w:val="12"/>
                <w:color w:val="auto"/>
              </w:rPr>
              <w:t>3,363,537</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98A3B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44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660" w:type="dxa"/>
            <w:vAlign w:val="bottom"/>
            <w:shd w:val="clear" w:color="auto" w:fill="98A3B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01/12/2016</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01/12/2016</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w w:val="99"/>
              </w:rPr>
              <w:t>87,870</w:t>
            </w:r>
            <w:r>
              <w:rPr>
                <w:rFonts w:ascii="Arial" w:cs="Arial" w:eastAsia="Arial" w:hAnsi="Arial"/>
                <w:sz w:val="19"/>
                <w:szCs w:val="19"/>
                <w:color w:val="auto"/>
                <w:w w:val="99"/>
                <w:vertAlign w:val="superscript"/>
              </w:rPr>
              <w:t>(2)</w:t>
            </w: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7,238,379</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98A3B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44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660" w:type="dxa"/>
            <w:vAlign w:val="bottom"/>
            <w:shd w:val="clear" w:color="auto" w:fill="98A3B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02/10/2016</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02/10/2016</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8,265</w:t>
            </w:r>
            <w:r>
              <w:rPr>
                <w:rFonts w:ascii="Arial" w:cs="Arial" w:eastAsia="Arial" w:hAnsi="Arial"/>
                <w:sz w:val="19"/>
                <w:szCs w:val="19"/>
                <w:color w:val="auto"/>
                <w:vertAlign w:val="superscript"/>
              </w:rPr>
              <w:t>(3)</w:t>
            </w: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683,681</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98A3B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44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660" w:type="dxa"/>
            <w:vAlign w:val="bottom"/>
            <w:shd w:val="clear" w:color="auto" w:fill="98A3B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06/17/2016</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06/17/2016</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52,500</w:t>
            </w:r>
            <w:r>
              <w:rPr>
                <w:rFonts w:ascii="Arial" w:cs="Arial" w:eastAsia="Arial" w:hAnsi="Arial"/>
                <w:sz w:val="19"/>
                <w:szCs w:val="19"/>
                <w:color w:val="auto"/>
                <w:vertAlign w:val="superscript"/>
              </w:rPr>
              <w:t>(4)</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rPr>
              <w:t>99.86</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100.32</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717,675</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98A3B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44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660" w:type="dxa"/>
            <w:vAlign w:val="bottom"/>
            <w:shd w:val="clear" w:color="auto" w:fill="98A3B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06/17/2016</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06/17/2016</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52,500</w:t>
            </w:r>
            <w:r>
              <w:rPr>
                <w:rFonts w:ascii="Arial" w:cs="Arial" w:eastAsia="Arial" w:hAnsi="Arial"/>
                <w:sz w:val="19"/>
                <w:szCs w:val="19"/>
                <w:color w:val="auto"/>
                <w:vertAlign w:val="superscript"/>
              </w:rPr>
              <w:t>(4)</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rPr>
              <w:t>99.86</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100.32</w:t>
            </w:r>
          </w:p>
        </w:tc>
        <w:tc>
          <w:tcPr>
            <w:tcW w:w="1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1,455,825</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98A3B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44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660" w:type="dxa"/>
            <w:vAlign w:val="bottom"/>
            <w:shd w:val="clear" w:color="auto" w:fill="98A3B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N/A</w:t>
            </w: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N/A</w:t>
            </w: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1,350,000</w:t>
            </w:r>
            <w:r>
              <w:rPr>
                <w:rFonts w:ascii="Arial" w:cs="Arial" w:eastAsia="Arial" w:hAnsi="Arial"/>
                <w:sz w:val="19"/>
                <w:szCs w:val="19"/>
                <w:color w:val="auto"/>
                <w:vertAlign w:val="superscript"/>
              </w:rPr>
              <w:t>(9)</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2,700,000</w:t>
            </w:r>
            <w:r>
              <w:rPr>
                <w:rFonts w:ascii="Arial" w:cs="Arial" w:eastAsia="Arial" w:hAnsi="Arial"/>
                <w:sz w:val="19"/>
                <w:szCs w:val="19"/>
                <w:color w:val="auto"/>
                <w:vertAlign w:val="superscript"/>
              </w:rPr>
              <w:t>(9)</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740" w:type="dxa"/>
            <w:vAlign w:val="bottom"/>
          </w:tcPr>
          <w:p>
            <w:pPr>
              <w:jc w:val="right"/>
              <w:spacing w:after="0" w:line="253" w:lineRule="exact"/>
              <w:rPr>
                <w:sz w:val="20"/>
                <w:szCs w:val="20"/>
                <w:color w:val="auto"/>
              </w:rPr>
            </w:pPr>
            <w:r>
              <w:rPr>
                <w:rFonts w:ascii="Arial" w:cs="Arial" w:eastAsia="Arial" w:hAnsi="Arial"/>
                <w:sz w:val="12"/>
                <w:szCs w:val="12"/>
                <w:color w:val="auto"/>
              </w:rPr>
              <w:t>4,050,000</w:t>
            </w:r>
            <w:r>
              <w:rPr>
                <w:rFonts w:ascii="Arial" w:cs="Arial" w:eastAsia="Arial" w:hAnsi="Arial"/>
                <w:sz w:val="19"/>
                <w:szCs w:val="19"/>
                <w:color w:val="auto"/>
                <w:vertAlign w:val="superscript"/>
              </w:rPr>
              <w:t>(</w:t>
            </w:r>
            <w:r>
              <w:rPr>
                <w:rFonts w:ascii="Arial" w:cs="Arial" w:eastAsia="Arial" w:hAnsi="Arial"/>
                <w:sz w:val="23"/>
                <w:szCs w:val="23"/>
                <w:color w:val="auto"/>
                <w:vertAlign w:val="superscript"/>
              </w:rPr>
              <w:t>9)</w:t>
            </w:r>
          </w:p>
        </w:tc>
        <w:tc>
          <w:tcPr>
            <w:tcW w:w="18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72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160" w:type="dxa"/>
            <w:vAlign w:val="bottom"/>
            <w:shd w:val="clear" w:color="auto" w:fill="CCD2DB"/>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160" w:type="dxa"/>
            <w:vAlign w:val="bottom"/>
            <w:shd w:val="clear" w:color="auto" w:fill="CCD2DB"/>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c>
          <w:tcPr>
            <w:tcW w:w="180" w:type="dxa"/>
            <w:vAlign w:val="bottom"/>
            <w:shd w:val="clear" w:color="auto" w:fill="CCD2DB"/>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c>
          <w:tcPr>
            <w:tcW w:w="180" w:type="dxa"/>
            <w:vAlign w:val="bottom"/>
            <w:shd w:val="clear" w:color="auto" w:fill="CCD2DB"/>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c>
          <w:tcPr>
            <w:tcW w:w="180" w:type="dxa"/>
            <w:vAlign w:val="bottom"/>
            <w:shd w:val="clear" w:color="auto" w:fill="CCD2DB"/>
          </w:tcPr>
          <w:p>
            <w:pPr>
              <w:spacing w:after="0" w:line="20" w:lineRule="exact"/>
              <w:rPr>
                <w:sz w:val="1"/>
                <w:szCs w:val="1"/>
                <w:color w:val="auto"/>
              </w:rPr>
            </w:pPr>
          </w:p>
        </w:tc>
        <w:tc>
          <w:tcPr>
            <w:tcW w:w="580" w:type="dxa"/>
            <w:vAlign w:val="bottom"/>
            <w:shd w:val="clear" w:color="auto" w:fill="98A3B8"/>
          </w:tcPr>
          <w:p>
            <w:pPr>
              <w:spacing w:after="0" w:line="20" w:lineRule="exact"/>
              <w:rPr>
                <w:sz w:val="1"/>
                <w:szCs w:val="1"/>
                <w:color w:val="auto"/>
              </w:rPr>
            </w:pPr>
          </w:p>
        </w:tc>
        <w:tc>
          <w:tcPr>
            <w:tcW w:w="160" w:type="dxa"/>
            <w:vAlign w:val="bottom"/>
            <w:shd w:val="clear" w:color="auto" w:fill="CCD2DB"/>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180" w:type="dxa"/>
            <w:vAlign w:val="bottom"/>
            <w:shd w:val="clear" w:color="auto" w:fill="CCD2DB"/>
          </w:tcPr>
          <w:p>
            <w:pPr>
              <w:spacing w:after="0" w:line="20" w:lineRule="exact"/>
              <w:rPr>
                <w:sz w:val="1"/>
                <w:szCs w:val="1"/>
                <w:color w:val="auto"/>
              </w:rPr>
            </w:pPr>
          </w:p>
        </w:tc>
        <w:tc>
          <w:tcPr>
            <w:tcW w:w="560" w:type="dxa"/>
            <w:vAlign w:val="bottom"/>
            <w:shd w:val="clear" w:color="auto" w:fill="98A3B8"/>
          </w:tcPr>
          <w:p>
            <w:pPr>
              <w:spacing w:after="0" w:line="20" w:lineRule="exact"/>
              <w:rPr>
                <w:sz w:val="1"/>
                <w:szCs w:val="1"/>
                <w:color w:val="auto"/>
              </w:rPr>
            </w:pPr>
          </w:p>
        </w:tc>
        <w:tc>
          <w:tcPr>
            <w:tcW w:w="160" w:type="dxa"/>
            <w:vAlign w:val="bottom"/>
            <w:shd w:val="clear" w:color="auto" w:fill="CCD2DB"/>
          </w:tcPr>
          <w:p>
            <w:pPr>
              <w:spacing w:after="0" w:line="20" w:lineRule="exact"/>
              <w:rPr>
                <w:sz w:val="1"/>
                <w:szCs w:val="1"/>
                <w:color w:val="auto"/>
              </w:rPr>
            </w:pPr>
          </w:p>
        </w:tc>
        <w:tc>
          <w:tcPr>
            <w:tcW w:w="540" w:type="dxa"/>
            <w:vAlign w:val="bottom"/>
            <w:shd w:val="clear" w:color="auto" w:fill="98A3B8"/>
          </w:tcPr>
          <w:p>
            <w:pPr>
              <w:spacing w:after="0" w:line="20" w:lineRule="exact"/>
              <w:rPr>
                <w:sz w:val="1"/>
                <w:szCs w:val="1"/>
                <w:color w:val="auto"/>
              </w:rPr>
            </w:pPr>
          </w:p>
        </w:tc>
        <w:tc>
          <w:tcPr>
            <w:tcW w:w="180" w:type="dxa"/>
            <w:vAlign w:val="bottom"/>
            <w:shd w:val="clear" w:color="auto" w:fill="CCD2DB"/>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160" w:type="dxa"/>
            <w:vAlign w:val="bottom"/>
            <w:shd w:val="clear" w:color="auto" w:fill="CCD2DB"/>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440" w:type="dxa"/>
            <w:vAlign w:val="bottom"/>
            <w:shd w:val="clear" w:color="auto" w:fill="98A3B8"/>
          </w:tcPr>
          <w:p>
            <w:pPr>
              <w:spacing w:after="0" w:line="20" w:lineRule="exact"/>
              <w:rPr>
                <w:sz w:val="1"/>
                <w:szCs w:val="1"/>
                <w:color w:val="auto"/>
              </w:rPr>
            </w:pPr>
          </w:p>
        </w:tc>
        <w:tc>
          <w:tcPr>
            <w:tcW w:w="160" w:type="dxa"/>
            <w:vAlign w:val="bottom"/>
            <w:shd w:val="clear" w:color="auto" w:fill="CCD2DB"/>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160" w:type="dxa"/>
            <w:vAlign w:val="bottom"/>
            <w:shd w:val="clear" w:color="auto" w:fill="CCD2DB"/>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660" w:type="dxa"/>
            <w:vAlign w:val="bottom"/>
            <w:shd w:val="clear" w:color="auto" w:fill="98A3B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720" w:type="dxa"/>
            <w:vAlign w:val="bottom"/>
          </w:tcPr>
          <w:p>
            <w:pPr>
              <w:spacing w:after="0"/>
              <w:rPr>
                <w:sz w:val="20"/>
                <w:szCs w:val="20"/>
                <w:color w:val="auto"/>
              </w:rPr>
            </w:pPr>
            <w:r>
              <w:rPr>
                <w:rFonts w:ascii="Arial" w:cs="Arial" w:eastAsia="Arial" w:hAnsi="Arial"/>
                <w:sz w:val="12"/>
                <w:szCs w:val="12"/>
                <w:color w:val="auto"/>
              </w:rPr>
              <w:t>Stephen L.</w:t>
            </w:r>
          </w:p>
        </w:tc>
        <w:tc>
          <w:tcPr>
            <w:tcW w:w="160" w:type="dxa"/>
            <w:vAlign w:val="bottom"/>
          </w:tcPr>
          <w:p>
            <w:pPr>
              <w:spacing w:after="0"/>
              <w:rPr>
                <w:sz w:val="20"/>
                <w:szCs w:val="20"/>
                <w:color w:val="auto"/>
              </w:rPr>
            </w:pPr>
          </w:p>
        </w:tc>
        <w:tc>
          <w:tcPr>
            <w:tcW w:w="620" w:type="dxa"/>
            <w:vAlign w:val="bottom"/>
            <w:shd w:val="clear" w:color="auto" w:fill="CCD2DB"/>
          </w:tcPr>
          <w:p>
            <w:pPr>
              <w:jc w:val="right"/>
              <w:spacing w:after="0"/>
              <w:rPr>
                <w:sz w:val="20"/>
                <w:szCs w:val="20"/>
                <w:color w:val="auto"/>
              </w:rPr>
            </w:pPr>
            <w:r>
              <w:rPr>
                <w:rFonts w:ascii="Arial" w:cs="Arial" w:eastAsia="Arial" w:hAnsi="Arial"/>
                <w:sz w:val="12"/>
                <w:szCs w:val="12"/>
                <w:color w:val="auto"/>
                <w:w w:val="99"/>
              </w:rPr>
              <w:t>01/01/2016</w:t>
            </w:r>
          </w:p>
        </w:tc>
        <w:tc>
          <w:tcPr>
            <w:tcW w:w="160" w:type="dxa"/>
            <w:vAlign w:val="bottom"/>
            <w:shd w:val="clear" w:color="auto" w:fill="CCD2DB"/>
          </w:tcPr>
          <w:p>
            <w:pPr>
              <w:spacing w:after="0"/>
              <w:rPr>
                <w:sz w:val="20"/>
                <w:szCs w:val="20"/>
                <w:color w:val="auto"/>
              </w:rPr>
            </w:pPr>
          </w:p>
        </w:tc>
        <w:tc>
          <w:tcPr>
            <w:tcW w:w="620" w:type="dxa"/>
            <w:vAlign w:val="bottom"/>
            <w:shd w:val="clear" w:color="auto" w:fill="CCD2DB"/>
          </w:tcPr>
          <w:p>
            <w:pPr>
              <w:jc w:val="right"/>
              <w:spacing w:after="0"/>
              <w:rPr>
                <w:sz w:val="20"/>
                <w:szCs w:val="20"/>
                <w:color w:val="auto"/>
              </w:rPr>
            </w:pPr>
            <w:r>
              <w:rPr>
                <w:rFonts w:ascii="Arial" w:cs="Arial" w:eastAsia="Arial" w:hAnsi="Arial"/>
                <w:sz w:val="12"/>
                <w:szCs w:val="12"/>
                <w:color w:val="auto"/>
                <w:w w:val="99"/>
              </w:rPr>
              <w:t>12/09/2009</w:t>
            </w:r>
          </w:p>
        </w:tc>
        <w:tc>
          <w:tcPr>
            <w:tcW w:w="160" w:type="dxa"/>
            <w:vAlign w:val="bottom"/>
            <w:shd w:val="clear" w:color="auto" w:fill="CCD2DB"/>
          </w:tcPr>
          <w:p>
            <w:pPr>
              <w:spacing w:after="0"/>
              <w:rPr>
                <w:sz w:val="20"/>
                <w:szCs w:val="20"/>
                <w:color w:val="auto"/>
              </w:rPr>
            </w:pPr>
          </w:p>
        </w:tc>
        <w:tc>
          <w:tcPr>
            <w:tcW w:w="140" w:type="dxa"/>
            <w:vAlign w:val="bottom"/>
            <w:shd w:val="clear" w:color="auto" w:fill="CCD2DB"/>
          </w:tcPr>
          <w:p>
            <w:pPr>
              <w:spacing w:after="0"/>
              <w:rPr>
                <w:sz w:val="20"/>
                <w:szCs w:val="20"/>
                <w:color w:val="auto"/>
              </w:rPr>
            </w:pPr>
          </w:p>
        </w:tc>
        <w:tc>
          <w:tcPr>
            <w:tcW w:w="920" w:type="dxa"/>
            <w:vAlign w:val="bottom"/>
            <w:gridSpan w:val="2"/>
            <w:shd w:val="clear" w:color="auto" w:fill="CCD2DB"/>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D2DB"/>
          </w:tcPr>
          <w:p>
            <w:pPr>
              <w:spacing w:after="0"/>
              <w:rPr>
                <w:sz w:val="20"/>
                <w:szCs w:val="20"/>
                <w:color w:val="auto"/>
              </w:rPr>
            </w:pPr>
          </w:p>
        </w:tc>
        <w:tc>
          <w:tcPr>
            <w:tcW w:w="920" w:type="dxa"/>
            <w:vAlign w:val="bottom"/>
            <w:gridSpan w:val="2"/>
            <w:shd w:val="clear" w:color="auto" w:fill="CCD2DB"/>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D2DB"/>
          </w:tcPr>
          <w:p>
            <w:pPr>
              <w:spacing w:after="0"/>
              <w:rPr>
                <w:sz w:val="20"/>
                <w:szCs w:val="20"/>
                <w:color w:val="auto"/>
              </w:rPr>
            </w:pPr>
          </w:p>
        </w:tc>
        <w:tc>
          <w:tcPr>
            <w:tcW w:w="920" w:type="dxa"/>
            <w:vAlign w:val="bottom"/>
            <w:gridSpan w:val="2"/>
            <w:shd w:val="clear" w:color="auto" w:fill="CCD2DB"/>
          </w:tcPr>
          <w:p>
            <w:pPr>
              <w:jc w:val="right"/>
              <w:ind w:right="18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D2DB"/>
          </w:tcPr>
          <w:p>
            <w:pPr>
              <w:jc w:val="right"/>
              <w:ind w:right="16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D2DB"/>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D2DB"/>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D2DB"/>
          </w:tcPr>
          <w:p>
            <w:pPr>
              <w:jc w:val="right"/>
              <w:ind w:right="180"/>
              <w:spacing w:after="0"/>
              <w:rPr>
                <w:sz w:val="20"/>
                <w:szCs w:val="20"/>
                <w:color w:val="auto"/>
              </w:rPr>
            </w:pPr>
            <w:r>
              <w:rPr>
                <w:rFonts w:ascii="Arial" w:cs="Arial" w:eastAsia="Arial" w:hAnsi="Arial"/>
                <w:sz w:val="12"/>
                <w:szCs w:val="12"/>
                <w:color w:val="auto"/>
              </w:rPr>
              <w:t>1,333</w:t>
            </w:r>
            <w:r>
              <w:rPr>
                <w:rFonts w:ascii="Arial" w:cs="Arial" w:eastAsia="Arial" w:hAnsi="Arial"/>
                <w:sz w:val="19"/>
                <w:szCs w:val="19"/>
                <w:color w:val="auto"/>
                <w:vertAlign w:val="superscript"/>
              </w:rPr>
              <w:t>(5)</w:t>
            </w:r>
          </w:p>
        </w:tc>
        <w:tc>
          <w:tcPr>
            <w:tcW w:w="780" w:type="dxa"/>
            <w:vAlign w:val="bottom"/>
            <w:gridSpan w:val="2"/>
            <w:shd w:val="clear" w:color="auto" w:fill="CCD2DB"/>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D2DB"/>
          </w:tcPr>
          <w:p>
            <w:pPr>
              <w:spacing w:after="0"/>
              <w:rPr>
                <w:sz w:val="20"/>
                <w:szCs w:val="20"/>
                <w:color w:val="auto"/>
              </w:rPr>
            </w:pPr>
          </w:p>
        </w:tc>
        <w:tc>
          <w:tcPr>
            <w:tcW w:w="600" w:type="dxa"/>
            <w:vAlign w:val="bottom"/>
            <w:gridSpan w:val="2"/>
            <w:shd w:val="clear" w:color="auto" w:fill="CCD2DB"/>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D2DB"/>
          </w:tcPr>
          <w:p>
            <w:pPr>
              <w:spacing w:after="0"/>
              <w:rPr>
                <w:sz w:val="20"/>
                <w:szCs w:val="20"/>
                <w:color w:val="auto"/>
              </w:rPr>
            </w:pPr>
          </w:p>
        </w:tc>
        <w:tc>
          <w:tcPr>
            <w:tcW w:w="500" w:type="dxa"/>
            <w:vAlign w:val="bottom"/>
            <w:shd w:val="clear" w:color="auto" w:fill="CCD2DB"/>
          </w:tcPr>
          <w:p>
            <w:pPr>
              <w:spacing w:after="0"/>
              <w:rPr>
                <w:sz w:val="20"/>
                <w:szCs w:val="20"/>
                <w:color w:val="auto"/>
              </w:rPr>
            </w:pPr>
          </w:p>
        </w:tc>
        <w:tc>
          <w:tcPr>
            <w:tcW w:w="160" w:type="dxa"/>
            <w:vAlign w:val="bottom"/>
            <w:shd w:val="clear" w:color="auto" w:fill="CCD2DB"/>
          </w:tcPr>
          <w:p>
            <w:pPr>
              <w:spacing w:after="0"/>
              <w:rPr>
                <w:sz w:val="20"/>
                <w:szCs w:val="20"/>
                <w:color w:val="auto"/>
              </w:rPr>
            </w:pPr>
          </w:p>
        </w:tc>
        <w:tc>
          <w:tcPr>
            <w:tcW w:w="100" w:type="dxa"/>
            <w:vAlign w:val="bottom"/>
            <w:shd w:val="clear" w:color="auto" w:fill="CCD2DB"/>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shd w:val="clear" w:color="auto" w:fill="CCD2DB"/>
          </w:tcPr>
          <w:p>
            <w:pPr>
              <w:jc w:val="right"/>
              <w:spacing w:after="0"/>
              <w:rPr>
                <w:sz w:val="20"/>
                <w:szCs w:val="20"/>
                <w:color w:val="auto"/>
              </w:rPr>
            </w:pPr>
            <w:r>
              <w:rPr>
                <w:rFonts w:ascii="Arial" w:cs="Arial" w:eastAsia="Arial" w:hAnsi="Arial"/>
                <w:sz w:val="12"/>
                <w:szCs w:val="12"/>
                <w:color w:val="auto"/>
              </w:rPr>
              <w:t>150,602</w:t>
            </w:r>
          </w:p>
        </w:tc>
        <w:tc>
          <w:tcPr>
            <w:tcW w:w="0" w:type="dxa"/>
            <w:vAlign w:val="bottom"/>
          </w:tcPr>
          <w:p>
            <w:pPr>
              <w:spacing w:after="0"/>
              <w:rPr>
                <w:sz w:val="1"/>
                <w:szCs w:val="1"/>
                <w:color w:val="auto"/>
              </w:rPr>
            </w:pPr>
          </w:p>
        </w:tc>
      </w:tr>
      <w:tr>
        <w:trPr>
          <w:trHeight w:val="24"/>
        </w:trPr>
        <w:tc>
          <w:tcPr>
            <w:tcW w:w="880" w:type="dxa"/>
            <w:vAlign w:val="bottom"/>
            <w:gridSpan w:val="2"/>
            <w:vMerge w:val="restart"/>
          </w:tcPr>
          <w:p>
            <w:pPr>
              <w:spacing w:after="0"/>
              <w:rPr>
                <w:sz w:val="20"/>
                <w:szCs w:val="20"/>
                <w:color w:val="auto"/>
              </w:rPr>
            </w:pPr>
            <w:r>
              <w:rPr>
                <w:rFonts w:ascii="Arial" w:cs="Arial" w:eastAsia="Arial" w:hAnsi="Arial"/>
                <w:sz w:val="12"/>
                <w:szCs w:val="12"/>
                <w:color w:val="auto"/>
              </w:rPr>
              <w:t>Green</w:t>
            </w:r>
          </w:p>
        </w:tc>
        <w:tc>
          <w:tcPr>
            <w:tcW w:w="620" w:type="dxa"/>
            <w:vAlign w:val="bottom"/>
            <w:shd w:val="clear" w:color="auto" w:fill="98A3B8"/>
          </w:tcPr>
          <w:p>
            <w:pPr>
              <w:spacing w:after="0"/>
              <w:rPr>
                <w:sz w:val="2"/>
                <w:szCs w:val="2"/>
                <w:color w:val="auto"/>
              </w:rPr>
            </w:pPr>
          </w:p>
        </w:tc>
        <w:tc>
          <w:tcPr>
            <w:tcW w:w="160" w:type="dxa"/>
            <w:vAlign w:val="bottom"/>
            <w:shd w:val="clear" w:color="auto" w:fill="CCD2DB"/>
          </w:tcPr>
          <w:p>
            <w:pPr>
              <w:spacing w:after="0"/>
              <w:rPr>
                <w:sz w:val="2"/>
                <w:szCs w:val="2"/>
                <w:color w:val="auto"/>
              </w:rPr>
            </w:pPr>
          </w:p>
        </w:tc>
        <w:tc>
          <w:tcPr>
            <w:tcW w:w="620" w:type="dxa"/>
            <w:vAlign w:val="bottom"/>
            <w:shd w:val="clear" w:color="auto" w:fill="98A3B8"/>
          </w:tcPr>
          <w:p>
            <w:pPr>
              <w:spacing w:after="0"/>
              <w:rPr>
                <w:sz w:val="2"/>
                <w:szCs w:val="2"/>
                <w:color w:val="auto"/>
              </w:rPr>
            </w:pPr>
          </w:p>
        </w:tc>
        <w:tc>
          <w:tcPr>
            <w:tcW w:w="160" w:type="dxa"/>
            <w:vAlign w:val="bottom"/>
            <w:shd w:val="clear" w:color="auto" w:fill="CCD2DB"/>
          </w:tcPr>
          <w:p>
            <w:pPr>
              <w:spacing w:after="0"/>
              <w:rPr>
                <w:sz w:val="2"/>
                <w:szCs w:val="2"/>
                <w:color w:val="auto"/>
              </w:rPr>
            </w:pPr>
          </w:p>
        </w:tc>
        <w:tc>
          <w:tcPr>
            <w:tcW w:w="140" w:type="dxa"/>
            <w:vAlign w:val="bottom"/>
            <w:shd w:val="clear" w:color="auto" w:fill="98A3B8"/>
          </w:tcPr>
          <w:p>
            <w:pPr>
              <w:spacing w:after="0"/>
              <w:rPr>
                <w:sz w:val="2"/>
                <w:szCs w:val="2"/>
                <w:color w:val="auto"/>
              </w:rPr>
            </w:pPr>
          </w:p>
        </w:tc>
        <w:tc>
          <w:tcPr>
            <w:tcW w:w="740" w:type="dxa"/>
            <w:vAlign w:val="bottom"/>
            <w:shd w:val="clear" w:color="auto" w:fill="98A3B8"/>
          </w:tcPr>
          <w:p>
            <w:pPr>
              <w:spacing w:after="0"/>
              <w:rPr>
                <w:sz w:val="2"/>
                <w:szCs w:val="2"/>
                <w:color w:val="auto"/>
              </w:rPr>
            </w:pPr>
          </w:p>
        </w:tc>
        <w:tc>
          <w:tcPr>
            <w:tcW w:w="180" w:type="dxa"/>
            <w:vAlign w:val="bottom"/>
            <w:shd w:val="clear" w:color="auto" w:fill="CCD2DB"/>
          </w:tcPr>
          <w:p>
            <w:pPr>
              <w:spacing w:after="0"/>
              <w:rPr>
                <w:sz w:val="2"/>
                <w:szCs w:val="2"/>
                <w:color w:val="auto"/>
              </w:rPr>
            </w:pPr>
          </w:p>
        </w:tc>
        <w:tc>
          <w:tcPr>
            <w:tcW w:w="140" w:type="dxa"/>
            <w:vAlign w:val="bottom"/>
            <w:shd w:val="clear" w:color="auto" w:fill="98A3B8"/>
          </w:tcPr>
          <w:p>
            <w:pPr>
              <w:spacing w:after="0"/>
              <w:rPr>
                <w:sz w:val="2"/>
                <w:szCs w:val="2"/>
                <w:color w:val="auto"/>
              </w:rPr>
            </w:pPr>
          </w:p>
        </w:tc>
        <w:tc>
          <w:tcPr>
            <w:tcW w:w="740" w:type="dxa"/>
            <w:vAlign w:val="bottom"/>
            <w:shd w:val="clear" w:color="auto" w:fill="98A3B8"/>
          </w:tcPr>
          <w:p>
            <w:pPr>
              <w:spacing w:after="0"/>
              <w:rPr>
                <w:sz w:val="2"/>
                <w:szCs w:val="2"/>
                <w:color w:val="auto"/>
              </w:rPr>
            </w:pPr>
          </w:p>
        </w:tc>
        <w:tc>
          <w:tcPr>
            <w:tcW w:w="180" w:type="dxa"/>
            <w:vAlign w:val="bottom"/>
            <w:shd w:val="clear" w:color="auto" w:fill="CCD2DB"/>
          </w:tcPr>
          <w:p>
            <w:pPr>
              <w:spacing w:after="0"/>
              <w:rPr>
                <w:sz w:val="2"/>
                <w:szCs w:val="2"/>
                <w:color w:val="auto"/>
              </w:rPr>
            </w:pPr>
          </w:p>
        </w:tc>
        <w:tc>
          <w:tcPr>
            <w:tcW w:w="160" w:type="dxa"/>
            <w:vAlign w:val="bottom"/>
            <w:shd w:val="clear" w:color="auto" w:fill="98A3B8"/>
          </w:tcPr>
          <w:p>
            <w:pPr>
              <w:spacing w:after="0"/>
              <w:rPr>
                <w:sz w:val="2"/>
                <w:szCs w:val="2"/>
                <w:color w:val="auto"/>
              </w:rPr>
            </w:pPr>
          </w:p>
        </w:tc>
        <w:tc>
          <w:tcPr>
            <w:tcW w:w="740" w:type="dxa"/>
            <w:vAlign w:val="bottom"/>
            <w:shd w:val="clear" w:color="auto" w:fill="98A3B8"/>
          </w:tcPr>
          <w:p>
            <w:pPr>
              <w:spacing w:after="0"/>
              <w:rPr>
                <w:sz w:val="2"/>
                <w:szCs w:val="2"/>
                <w:color w:val="auto"/>
              </w:rPr>
            </w:pPr>
          </w:p>
        </w:tc>
        <w:tc>
          <w:tcPr>
            <w:tcW w:w="180" w:type="dxa"/>
            <w:vAlign w:val="bottom"/>
            <w:shd w:val="clear" w:color="auto" w:fill="CCD2DB"/>
          </w:tcPr>
          <w:p>
            <w:pPr>
              <w:spacing w:after="0"/>
              <w:rPr>
                <w:sz w:val="2"/>
                <w:szCs w:val="2"/>
                <w:color w:val="auto"/>
              </w:rPr>
            </w:pPr>
          </w:p>
        </w:tc>
        <w:tc>
          <w:tcPr>
            <w:tcW w:w="580" w:type="dxa"/>
            <w:vAlign w:val="bottom"/>
            <w:shd w:val="clear" w:color="auto" w:fill="98A3B8"/>
          </w:tcPr>
          <w:p>
            <w:pPr>
              <w:spacing w:after="0"/>
              <w:rPr>
                <w:sz w:val="2"/>
                <w:szCs w:val="2"/>
                <w:color w:val="auto"/>
              </w:rPr>
            </w:pPr>
          </w:p>
        </w:tc>
        <w:tc>
          <w:tcPr>
            <w:tcW w:w="160" w:type="dxa"/>
            <w:vAlign w:val="bottom"/>
            <w:shd w:val="clear" w:color="auto" w:fill="CCD2DB"/>
          </w:tcPr>
          <w:p>
            <w:pPr>
              <w:spacing w:after="0"/>
              <w:rPr>
                <w:sz w:val="2"/>
                <w:szCs w:val="2"/>
                <w:color w:val="auto"/>
              </w:rPr>
            </w:pPr>
          </w:p>
        </w:tc>
        <w:tc>
          <w:tcPr>
            <w:tcW w:w="500" w:type="dxa"/>
            <w:vAlign w:val="bottom"/>
            <w:shd w:val="clear" w:color="auto" w:fill="98A3B8"/>
          </w:tcPr>
          <w:p>
            <w:pPr>
              <w:spacing w:after="0"/>
              <w:rPr>
                <w:sz w:val="2"/>
                <w:szCs w:val="2"/>
                <w:color w:val="auto"/>
              </w:rPr>
            </w:pPr>
          </w:p>
        </w:tc>
        <w:tc>
          <w:tcPr>
            <w:tcW w:w="180" w:type="dxa"/>
            <w:vAlign w:val="bottom"/>
            <w:shd w:val="clear" w:color="auto" w:fill="CCD2DB"/>
          </w:tcPr>
          <w:p>
            <w:pPr>
              <w:spacing w:after="0"/>
              <w:rPr>
                <w:sz w:val="2"/>
                <w:szCs w:val="2"/>
                <w:color w:val="auto"/>
              </w:rPr>
            </w:pPr>
          </w:p>
        </w:tc>
        <w:tc>
          <w:tcPr>
            <w:tcW w:w="560" w:type="dxa"/>
            <w:vAlign w:val="bottom"/>
            <w:shd w:val="clear" w:color="auto" w:fill="98A3B8"/>
          </w:tcPr>
          <w:p>
            <w:pPr>
              <w:spacing w:after="0"/>
              <w:rPr>
                <w:sz w:val="2"/>
                <w:szCs w:val="2"/>
                <w:color w:val="auto"/>
              </w:rPr>
            </w:pPr>
          </w:p>
        </w:tc>
        <w:tc>
          <w:tcPr>
            <w:tcW w:w="160" w:type="dxa"/>
            <w:vAlign w:val="bottom"/>
            <w:shd w:val="clear" w:color="auto" w:fill="CCD2DB"/>
          </w:tcPr>
          <w:p>
            <w:pPr>
              <w:spacing w:after="0"/>
              <w:rPr>
                <w:sz w:val="2"/>
                <w:szCs w:val="2"/>
                <w:color w:val="auto"/>
              </w:rPr>
            </w:pPr>
          </w:p>
        </w:tc>
        <w:tc>
          <w:tcPr>
            <w:tcW w:w="540" w:type="dxa"/>
            <w:vAlign w:val="bottom"/>
            <w:shd w:val="clear" w:color="auto" w:fill="98A3B8"/>
          </w:tcPr>
          <w:p>
            <w:pPr>
              <w:spacing w:after="0"/>
              <w:rPr>
                <w:sz w:val="2"/>
                <w:szCs w:val="2"/>
                <w:color w:val="auto"/>
              </w:rPr>
            </w:pPr>
          </w:p>
        </w:tc>
        <w:tc>
          <w:tcPr>
            <w:tcW w:w="180" w:type="dxa"/>
            <w:vAlign w:val="bottom"/>
            <w:shd w:val="clear" w:color="auto" w:fill="CCD2DB"/>
          </w:tcPr>
          <w:p>
            <w:pPr>
              <w:spacing w:after="0"/>
              <w:rPr>
                <w:sz w:val="2"/>
                <w:szCs w:val="2"/>
                <w:color w:val="auto"/>
              </w:rPr>
            </w:pPr>
          </w:p>
        </w:tc>
        <w:tc>
          <w:tcPr>
            <w:tcW w:w="620" w:type="dxa"/>
            <w:vAlign w:val="bottom"/>
            <w:shd w:val="clear" w:color="auto" w:fill="98A3B8"/>
          </w:tcPr>
          <w:p>
            <w:pPr>
              <w:spacing w:after="0"/>
              <w:rPr>
                <w:sz w:val="2"/>
                <w:szCs w:val="2"/>
                <w:color w:val="auto"/>
              </w:rPr>
            </w:pPr>
          </w:p>
        </w:tc>
        <w:tc>
          <w:tcPr>
            <w:tcW w:w="160" w:type="dxa"/>
            <w:vAlign w:val="bottom"/>
            <w:shd w:val="clear" w:color="auto" w:fill="CCD2DB"/>
          </w:tcPr>
          <w:p>
            <w:pPr>
              <w:spacing w:after="0"/>
              <w:rPr>
                <w:sz w:val="2"/>
                <w:szCs w:val="2"/>
                <w:color w:val="auto"/>
              </w:rPr>
            </w:pPr>
          </w:p>
        </w:tc>
        <w:tc>
          <w:tcPr>
            <w:tcW w:w="100" w:type="dxa"/>
            <w:vAlign w:val="bottom"/>
            <w:shd w:val="clear" w:color="auto" w:fill="98A3B8"/>
          </w:tcPr>
          <w:p>
            <w:pPr>
              <w:spacing w:after="0"/>
              <w:rPr>
                <w:sz w:val="2"/>
                <w:szCs w:val="2"/>
                <w:color w:val="auto"/>
              </w:rPr>
            </w:pPr>
          </w:p>
        </w:tc>
        <w:tc>
          <w:tcPr>
            <w:tcW w:w="440" w:type="dxa"/>
            <w:vAlign w:val="bottom"/>
            <w:shd w:val="clear" w:color="auto" w:fill="98A3B8"/>
          </w:tcPr>
          <w:p>
            <w:pPr>
              <w:spacing w:after="0"/>
              <w:rPr>
                <w:sz w:val="2"/>
                <w:szCs w:val="2"/>
                <w:color w:val="auto"/>
              </w:rPr>
            </w:pPr>
          </w:p>
        </w:tc>
        <w:tc>
          <w:tcPr>
            <w:tcW w:w="160" w:type="dxa"/>
            <w:vAlign w:val="bottom"/>
            <w:shd w:val="clear" w:color="auto" w:fill="CCD2DB"/>
          </w:tcPr>
          <w:p>
            <w:pPr>
              <w:spacing w:after="0"/>
              <w:rPr>
                <w:sz w:val="2"/>
                <w:szCs w:val="2"/>
                <w:color w:val="auto"/>
              </w:rPr>
            </w:pPr>
          </w:p>
        </w:tc>
        <w:tc>
          <w:tcPr>
            <w:tcW w:w="120" w:type="dxa"/>
            <w:vAlign w:val="bottom"/>
            <w:shd w:val="clear" w:color="auto" w:fill="98A3B8"/>
          </w:tcPr>
          <w:p>
            <w:pPr>
              <w:spacing w:after="0"/>
              <w:rPr>
                <w:sz w:val="2"/>
                <w:szCs w:val="2"/>
                <w:color w:val="auto"/>
              </w:rPr>
            </w:pPr>
          </w:p>
        </w:tc>
        <w:tc>
          <w:tcPr>
            <w:tcW w:w="500" w:type="dxa"/>
            <w:vAlign w:val="bottom"/>
            <w:shd w:val="clear" w:color="auto" w:fill="98A3B8"/>
          </w:tcPr>
          <w:p>
            <w:pPr>
              <w:spacing w:after="0"/>
              <w:rPr>
                <w:sz w:val="2"/>
                <w:szCs w:val="2"/>
                <w:color w:val="auto"/>
              </w:rPr>
            </w:pPr>
          </w:p>
        </w:tc>
        <w:tc>
          <w:tcPr>
            <w:tcW w:w="160" w:type="dxa"/>
            <w:vAlign w:val="bottom"/>
            <w:shd w:val="clear" w:color="auto" w:fill="CCD2DB"/>
          </w:tcPr>
          <w:p>
            <w:pPr>
              <w:spacing w:after="0"/>
              <w:rPr>
                <w:sz w:val="2"/>
                <w:szCs w:val="2"/>
                <w:color w:val="auto"/>
              </w:rPr>
            </w:pPr>
          </w:p>
        </w:tc>
        <w:tc>
          <w:tcPr>
            <w:tcW w:w="100" w:type="dxa"/>
            <w:vAlign w:val="bottom"/>
            <w:shd w:val="clear" w:color="auto" w:fill="98A3B8"/>
          </w:tcPr>
          <w:p>
            <w:pPr>
              <w:spacing w:after="0"/>
              <w:rPr>
                <w:sz w:val="2"/>
                <w:szCs w:val="2"/>
                <w:color w:val="auto"/>
              </w:rPr>
            </w:pPr>
          </w:p>
        </w:tc>
        <w:tc>
          <w:tcPr>
            <w:tcW w:w="660" w:type="dxa"/>
            <w:vAlign w:val="bottom"/>
            <w:shd w:val="clear" w:color="auto" w:fill="98A3B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880" w:type="dxa"/>
            <w:vAlign w:val="bottom"/>
            <w:gridSpan w:val="2"/>
            <w:vMerge w:val="continue"/>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w w:val="99"/>
              </w:rPr>
              <w:t>01/12/2016</w:t>
            </w:r>
          </w:p>
        </w:tc>
        <w:tc>
          <w:tcPr>
            <w:tcW w:w="1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w w:val="99"/>
              </w:rPr>
              <w:t>01/12/2016</w:t>
            </w:r>
          </w:p>
        </w:tc>
        <w:tc>
          <w:tcPr>
            <w:tcW w:w="16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w w:val="99"/>
              </w:rPr>
              <w:t>21,286</w:t>
            </w:r>
            <w:r>
              <w:rPr>
                <w:rFonts w:ascii="Arial" w:cs="Arial" w:eastAsia="Arial" w:hAnsi="Arial"/>
                <w:sz w:val="19"/>
                <w:szCs w:val="19"/>
                <w:color w:val="auto"/>
                <w:w w:val="99"/>
                <w:vertAlign w:val="superscript"/>
              </w:rPr>
              <w:t>(1)</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1,783,086</w:t>
            </w:r>
          </w:p>
        </w:tc>
        <w:tc>
          <w:tcPr>
            <w:tcW w:w="0" w:type="dxa"/>
            <w:vAlign w:val="bottom"/>
          </w:tcPr>
          <w:p>
            <w:pPr>
              <w:spacing w:after="0"/>
              <w:rPr>
                <w:sz w:val="1"/>
                <w:szCs w:val="1"/>
                <w:color w:val="auto"/>
              </w:rPr>
            </w:pPr>
          </w:p>
        </w:tc>
      </w:tr>
      <w:tr>
        <w:trPr>
          <w:trHeight w:val="144"/>
        </w:trPr>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98A3B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44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660" w:type="dxa"/>
            <w:vAlign w:val="bottom"/>
            <w:shd w:val="clear" w:color="auto" w:fill="98A3B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N/A</w:t>
            </w: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N/A</w:t>
            </w: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line="253" w:lineRule="exact"/>
              <w:rPr>
                <w:sz w:val="20"/>
                <w:szCs w:val="20"/>
                <w:color w:val="auto"/>
              </w:rPr>
            </w:pPr>
            <w:r>
              <w:rPr>
                <w:rFonts w:ascii="Arial" w:cs="Arial" w:eastAsia="Arial" w:hAnsi="Arial"/>
                <w:sz w:val="12"/>
                <w:szCs w:val="12"/>
                <w:color w:val="auto"/>
              </w:rPr>
              <w:t>750,000</w:t>
            </w:r>
            <w:r>
              <w:rPr>
                <w:rFonts w:ascii="Arial" w:cs="Arial" w:eastAsia="Arial" w:hAnsi="Arial"/>
                <w:sz w:val="19"/>
                <w:szCs w:val="19"/>
                <w:color w:val="auto"/>
                <w:vertAlign w:val="superscript"/>
              </w:rPr>
              <w:t>(</w:t>
            </w:r>
            <w:r>
              <w:rPr>
                <w:rFonts w:ascii="Arial" w:cs="Arial" w:eastAsia="Arial" w:hAnsi="Arial"/>
                <w:sz w:val="23"/>
                <w:szCs w:val="23"/>
                <w:color w:val="auto"/>
                <w:vertAlign w:val="superscript"/>
              </w:rPr>
              <w:t>9)</w:t>
            </w:r>
          </w:p>
        </w:tc>
        <w:tc>
          <w:tcPr>
            <w:tcW w:w="180" w:type="dxa"/>
            <w:vAlign w:val="bottom"/>
          </w:tcPr>
          <w:p>
            <w:pPr>
              <w:spacing w:after="0"/>
              <w:rPr>
                <w:sz w:val="21"/>
                <w:szCs w:val="21"/>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1,312,500</w:t>
            </w:r>
            <w:r>
              <w:rPr>
                <w:rFonts w:ascii="Arial" w:cs="Arial" w:eastAsia="Arial" w:hAnsi="Arial"/>
                <w:sz w:val="19"/>
                <w:szCs w:val="19"/>
                <w:color w:val="auto"/>
                <w:vertAlign w:val="superscript"/>
              </w:rPr>
              <w:t>(9)</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740" w:type="dxa"/>
            <w:vAlign w:val="bottom"/>
          </w:tcPr>
          <w:p>
            <w:pPr>
              <w:jc w:val="right"/>
              <w:spacing w:after="0" w:line="253" w:lineRule="exact"/>
              <w:rPr>
                <w:sz w:val="20"/>
                <w:szCs w:val="20"/>
                <w:color w:val="auto"/>
              </w:rPr>
            </w:pPr>
            <w:r>
              <w:rPr>
                <w:rFonts w:ascii="Arial" w:cs="Arial" w:eastAsia="Arial" w:hAnsi="Arial"/>
                <w:sz w:val="12"/>
                <w:szCs w:val="12"/>
                <w:color w:val="auto"/>
              </w:rPr>
              <w:t>1,875,000</w:t>
            </w:r>
            <w:r>
              <w:rPr>
                <w:rFonts w:ascii="Arial" w:cs="Arial" w:eastAsia="Arial" w:hAnsi="Arial"/>
                <w:sz w:val="19"/>
                <w:szCs w:val="19"/>
                <w:color w:val="auto"/>
                <w:vertAlign w:val="superscript"/>
              </w:rPr>
              <w:t>(</w:t>
            </w:r>
            <w:r>
              <w:rPr>
                <w:rFonts w:ascii="Arial" w:cs="Arial" w:eastAsia="Arial" w:hAnsi="Arial"/>
                <w:sz w:val="23"/>
                <w:szCs w:val="23"/>
                <w:color w:val="auto"/>
                <w:vertAlign w:val="superscript"/>
              </w:rPr>
              <w:t>9)</w:t>
            </w:r>
          </w:p>
        </w:tc>
        <w:tc>
          <w:tcPr>
            <w:tcW w:w="18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72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160" w:type="dxa"/>
            <w:vAlign w:val="bottom"/>
            <w:shd w:val="clear" w:color="auto" w:fill="CCD2DB"/>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160" w:type="dxa"/>
            <w:vAlign w:val="bottom"/>
            <w:shd w:val="clear" w:color="auto" w:fill="CCD2DB"/>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c>
          <w:tcPr>
            <w:tcW w:w="180" w:type="dxa"/>
            <w:vAlign w:val="bottom"/>
            <w:shd w:val="clear" w:color="auto" w:fill="CCD2DB"/>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c>
          <w:tcPr>
            <w:tcW w:w="180" w:type="dxa"/>
            <w:vAlign w:val="bottom"/>
            <w:shd w:val="clear" w:color="auto" w:fill="CCD2DB"/>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c>
          <w:tcPr>
            <w:tcW w:w="180" w:type="dxa"/>
            <w:vAlign w:val="bottom"/>
            <w:shd w:val="clear" w:color="auto" w:fill="CCD2DB"/>
          </w:tcPr>
          <w:p>
            <w:pPr>
              <w:spacing w:after="0" w:line="20" w:lineRule="exact"/>
              <w:rPr>
                <w:sz w:val="1"/>
                <w:szCs w:val="1"/>
                <w:color w:val="auto"/>
              </w:rPr>
            </w:pPr>
          </w:p>
        </w:tc>
        <w:tc>
          <w:tcPr>
            <w:tcW w:w="580" w:type="dxa"/>
            <w:vAlign w:val="bottom"/>
            <w:shd w:val="clear" w:color="auto" w:fill="98A3B8"/>
          </w:tcPr>
          <w:p>
            <w:pPr>
              <w:spacing w:after="0" w:line="20" w:lineRule="exact"/>
              <w:rPr>
                <w:sz w:val="1"/>
                <w:szCs w:val="1"/>
                <w:color w:val="auto"/>
              </w:rPr>
            </w:pPr>
          </w:p>
        </w:tc>
        <w:tc>
          <w:tcPr>
            <w:tcW w:w="160" w:type="dxa"/>
            <w:vAlign w:val="bottom"/>
            <w:shd w:val="clear" w:color="auto" w:fill="CCD2DB"/>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180" w:type="dxa"/>
            <w:vAlign w:val="bottom"/>
            <w:shd w:val="clear" w:color="auto" w:fill="CCD2DB"/>
          </w:tcPr>
          <w:p>
            <w:pPr>
              <w:spacing w:after="0" w:line="20" w:lineRule="exact"/>
              <w:rPr>
                <w:sz w:val="1"/>
                <w:szCs w:val="1"/>
                <w:color w:val="auto"/>
              </w:rPr>
            </w:pPr>
          </w:p>
        </w:tc>
        <w:tc>
          <w:tcPr>
            <w:tcW w:w="560" w:type="dxa"/>
            <w:vAlign w:val="bottom"/>
            <w:shd w:val="clear" w:color="auto" w:fill="98A3B8"/>
          </w:tcPr>
          <w:p>
            <w:pPr>
              <w:spacing w:after="0" w:line="20" w:lineRule="exact"/>
              <w:rPr>
                <w:sz w:val="1"/>
                <w:szCs w:val="1"/>
                <w:color w:val="auto"/>
              </w:rPr>
            </w:pPr>
          </w:p>
        </w:tc>
        <w:tc>
          <w:tcPr>
            <w:tcW w:w="160" w:type="dxa"/>
            <w:vAlign w:val="bottom"/>
            <w:shd w:val="clear" w:color="auto" w:fill="CCD2DB"/>
          </w:tcPr>
          <w:p>
            <w:pPr>
              <w:spacing w:after="0" w:line="20" w:lineRule="exact"/>
              <w:rPr>
                <w:sz w:val="1"/>
                <w:szCs w:val="1"/>
                <w:color w:val="auto"/>
              </w:rPr>
            </w:pPr>
          </w:p>
        </w:tc>
        <w:tc>
          <w:tcPr>
            <w:tcW w:w="540" w:type="dxa"/>
            <w:vAlign w:val="bottom"/>
            <w:shd w:val="clear" w:color="auto" w:fill="98A3B8"/>
          </w:tcPr>
          <w:p>
            <w:pPr>
              <w:spacing w:after="0" w:line="20" w:lineRule="exact"/>
              <w:rPr>
                <w:sz w:val="1"/>
                <w:szCs w:val="1"/>
                <w:color w:val="auto"/>
              </w:rPr>
            </w:pPr>
          </w:p>
        </w:tc>
        <w:tc>
          <w:tcPr>
            <w:tcW w:w="180" w:type="dxa"/>
            <w:vAlign w:val="bottom"/>
            <w:shd w:val="clear" w:color="auto" w:fill="CCD2DB"/>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160" w:type="dxa"/>
            <w:vAlign w:val="bottom"/>
            <w:shd w:val="clear" w:color="auto" w:fill="CCD2DB"/>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440" w:type="dxa"/>
            <w:vAlign w:val="bottom"/>
            <w:shd w:val="clear" w:color="auto" w:fill="98A3B8"/>
          </w:tcPr>
          <w:p>
            <w:pPr>
              <w:spacing w:after="0" w:line="20" w:lineRule="exact"/>
              <w:rPr>
                <w:sz w:val="1"/>
                <w:szCs w:val="1"/>
                <w:color w:val="auto"/>
              </w:rPr>
            </w:pPr>
          </w:p>
        </w:tc>
        <w:tc>
          <w:tcPr>
            <w:tcW w:w="160" w:type="dxa"/>
            <w:vAlign w:val="bottom"/>
            <w:shd w:val="clear" w:color="auto" w:fill="CCD2DB"/>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160" w:type="dxa"/>
            <w:vAlign w:val="bottom"/>
            <w:shd w:val="clear" w:color="auto" w:fill="CCD2DB"/>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660" w:type="dxa"/>
            <w:vAlign w:val="bottom"/>
            <w:shd w:val="clear" w:color="auto" w:fill="98A3B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720" w:type="dxa"/>
            <w:vAlign w:val="bottom"/>
          </w:tcPr>
          <w:p>
            <w:pPr>
              <w:spacing w:after="0"/>
              <w:rPr>
                <w:sz w:val="20"/>
                <w:szCs w:val="20"/>
                <w:color w:val="auto"/>
              </w:rPr>
            </w:pPr>
            <w:r>
              <w:rPr>
                <w:rFonts w:ascii="Arial" w:cs="Arial" w:eastAsia="Arial" w:hAnsi="Arial"/>
                <w:sz w:val="12"/>
                <w:szCs w:val="12"/>
                <w:color w:val="auto"/>
              </w:rPr>
              <w:t>Andrew</w:t>
            </w:r>
          </w:p>
        </w:tc>
        <w:tc>
          <w:tcPr>
            <w:tcW w:w="160" w:type="dxa"/>
            <w:vAlign w:val="bottom"/>
          </w:tcPr>
          <w:p>
            <w:pPr>
              <w:spacing w:after="0"/>
              <w:rPr>
                <w:sz w:val="20"/>
                <w:szCs w:val="20"/>
                <w:color w:val="auto"/>
              </w:rPr>
            </w:pPr>
          </w:p>
        </w:tc>
        <w:tc>
          <w:tcPr>
            <w:tcW w:w="620" w:type="dxa"/>
            <w:vAlign w:val="bottom"/>
            <w:shd w:val="clear" w:color="auto" w:fill="CCD2DB"/>
          </w:tcPr>
          <w:p>
            <w:pPr>
              <w:jc w:val="right"/>
              <w:spacing w:after="0"/>
              <w:rPr>
                <w:sz w:val="20"/>
                <w:szCs w:val="20"/>
                <w:color w:val="auto"/>
              </w:rPr>
            </w:pPr>
            <w:r>
              <w:rPr>
                <w:rFonts w:ascii="Arial" w:cs="Arial" w:eastAsia="Arial" w:hAnsi="Arial"/>
                <w:sz w:val="12"/>
                <w:szCs w:val="12"/>
                <w:color w:val="auto"/>
                <w:w w:val="99"/>
              </w:rPr>
              <w:t>01/01/2016</w:t>
            </w:r>
          </w:p>
        </w:tc>
        <w:tc>
          <w:tcPr>
            <w:tcW w:w="160" w:type="dxa"/>
            <w:vAlign w:val="bottom"/>
            <w:shd w:val="clear" w:color="auto" w:fill="CCD2DB"/>
          </w:tcPr>
          <w:p>
            <w:pPr>
              <w:spacing w:after="0"/>
              <w:rPr>
                <w:sz w:val="20"/>
                <w:szCs w:val="20"/>
                <w:color w:val="auto"/>
              </w:rPr>
            </w:pPr>
          </w:p>
        </w:tc>
        <w:tc>
          <w:tcPr>
            <w:tcW w:w="620" w:type="dxa"/>
            <w:vAlign w:val="bottom"/>
            <w:shd w:val="clear" w:color="auto" w:fill="CCD2DB"/>
          </w:tcPr>
          <w:p>
            <w:pPr>
              <w:jc w:val="right"/>
              <w:spacing w:after="0"/>
              <w:rPr>
                <w:sz w:val="20"/>
                <w:szCs w:val="20"/>
                <w:color w:val="auto"/>
              </w:rPr>
            </w:pPr>
            <w:r>
              <w:rPr>
                <w:rFonts w:ascii="Arial" w:cs="Arial" w:eastAsia="Arial" w:hAnsi="Arial"/>
                <w:sz w:val="12"/>
                <w:szCs w:val="12"/>
                <w:color w:val="auto"/>
                <w:w w:val="99"/>
              </w:rPr>
              <w:t>11/08/2013</w:t>
            </w:r>
          </w:p>
        </w:tc>
        <w:tc>
          <w:tcPr>
            <w:tcW w:w="160" w:type="dxa"/>
            <w:vAlign w:val="bottom"/>
            <w:shd w:val="clear" w:color="auto" w:fill="CCD2DB"/>
          </w:tcPr>
          <w:p>
            <w:pPr>
              <w:spacing w:after="0"/>
              <w:rPr>
                <w:sz w:val="20"/>
                <w:szCs w:val="20"/>
                <w:color w:val="auto"/>
              </w:rPr>
            </w:pPr>
          </w:p>
        </w:tc>
        <w:tc>
          <w:tcPr>
            <w:tcW w:w="140" w:type="dxa"/>
            <w:vAlign w:val="bottom"/>
            <w:shd w:val="clear" w:color="auto" w:fill="CCD2DB"/>
          </w:tcPr>
          <w:p>
            <w:pPr>
              <w:spacing w:after="0"/>
              <w:rPr>
                <w:sz w:val="20"/>
                <w:szCs w:val="20"/>
                <w:color w:val="auto"/>
              </w:rPr>
            </w:pPr>
          </w:p>
        </w:tc>
        <w:tc>
          <w:tcPr>
            <w:tcW w:w="920" w:type="dxa"/>
            <w:vAlign w:val="bottom"/>
            <w:gridSpan w:val="2"/>
            <w:shd w:val="clear" w:color="auto" w:fill="CCD2DB"/>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D2DB"/>
          </w:tcPr>
          <w:p>
            <w:pPr>
              <w:spacing w:after="0"/>
              <w:rPr>
                <w:sz w:val="20"/>
                <w:szCs w:val="20"/>
                <w:color w:val="auto"/>
              </w:rPr>
            </w:pPr>
          </w:p>
        </w:tc>
        <w:tc>
          <w:tcPr>
            <w:tcW w:w="920" w:type="dxa"/>
            <w:vAlign w:val="bottom"/>
            <w:gridSpan w:val="2"/>
            <w:shd w:val="clear" w:color="auto" w:fill="CCD2DB"/>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D2DB"/>
          </w:tcPr>
          <w:p>
            <w:pPr>
              <w:spacing w:after="0"/>
              <w:rPr>
                <w:sz w:val="20"/>
                <w:szCs w:val="20"/>
                <w:color w:val="auto"/>
              </w:rPr>
            </w:pPr>
          </w:p>
        </w:tc>
        <w:tc>
          <w:tcPr>
            <w:tcW w:w="920" w:type="dxa"/>
            <w:vAlign w:val="bottom"/>
            <w:gridSpan w:val="2"/>
            <w:shd w:val="clear" w:color="auto" w:fill="CCD2DB"/>
          </w:tcPr>
          <w:p>
            <w:pPr>
              <w:jc w:val="right"/>
              <w:ind w:right="18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D2DB"/>
          </w:tcPr>
          <w:p>
            <w:pPr>
              <w:jc w:val="right"/>
              <w:ind w:right="16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D2DB"/>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D2DB"/>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D2DB"/>
          </w:tcPr>
          <w:p>
            <w:pPr>
              <w:jc w:val="right"/>
              <w:ind w:right="180"/>
              <w:spacing w:after="0"/>
              <w:rPr>
                <w:sz w:val="20"/>
                <w:szCs w:val="20"/>
                <w:color w:val="auto"/>
              </w:rPr>
            </w:pPr>
            <w:r>
              <w:rPr>
                <w:rFonts w:ascii="Arial" w:cs="Arial" w:eastAsia="Arial" w:hAnsi="Arial"/>
                <w:sz w:val="12"/>
                <w:szCs w:val="12"/>
                <w:color w:val="auto"/>
              </w:rPr>
              <w:t>4,443</w:t>
            </w:r>
            <w:r>
              <w:rPr>
                <w:rFonts w:ascii="Arial" w:cs="Arial" w:eastAsia="Arial" w:hAnsi="Arial"/>
                <w:sz w:val="19"/>
                <w:szCs w:val="19"/>
                <w:color w:val="auto"/>
                <w:vertAlign w:val="superscript"/>
              </w:rPr>
              <w:t>(5)</w:t>
            </w:r>
          </w:p>
        </w:tc>
        <w:tc>
          <w:tcPr>
            <w:tcW w:w="780" w:type="dxa"/>
            <w:vAlign w:val="bottom"/>
            <w:gridSpan w:val="2"/>
            <w:shd w:val="clear" w:color="auto" w:fill="CCD2DB"/>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D2DB"/>
          </w:tcPr>
          <w:p>
            <w:pPr>
              <w:spacing w:after="0"/>
              <w:rPr>
                <w:sz w:val="20"/>
                <w:szCs w:val="20"/>
                <w:color w:val="auto"/>
              </w:rPr>
            </w:pPr>
          </w:p>
        </w:tc>
        <w:tc>
          <w:tcPr>
            <w:tcW w:w="600" w:type="dxa"/>
            <w:vAlign w:val="bottom"/>
            <w:gridSpan w:val="2"/>
            <w:shd w:val="clear" w:color="auto" w:fill="CCD2DB"/>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D2DB"/>
          </w:tcPr>
          <w:p>
            <w:pPr>
              <w:spacing w:after="0"/>
              <w:rPr>
                <w:sz w:val="20"/>
                <w:szCs w:val="20"/>
                <w:color w:val="auto"/>
              </w:rPr>
            </w:pPr>
          </w:p>
        </w:tc>
        <w:tc>
          <w:tcPr>
            <w:tcW w:w="500" w:type="dxa"/>
            <w:vAlign w:val="bottom"/>
            <w:shd w:val="clear" w:color="auto" w:fill="CCD2DB"/>
          </w:tcPr>
          <w:p>
            <w:pPr>
              <w:spacing w:after="0"/>
              <w:rPr>
                <w:sz w:val="20"/>
                <w:szCs w:val="20"/>
                <w:color w:val="auto"/>
              </w:rPr>
            </w:pPr>
          </w:p>
        </w:tc>
        <w:tc>
          <w:tcPr>
            <w:tcW w:w="160" w:type="dxa"/>
            <w:vAlign w:val="bottom"/>
            <w:shd w:val="clear" w:color="auto" w:fill="CCD2DB"/>
          </w:tcPr>
          <w:p>
            <w:pPr>
              <w:spacing w:after="0"/>
              <w:rPr>
                <w:sz w:val="20"/>
                <w:szCs w:val="20"/>
                <w:color w:val="auto"/>
              </w:rPr>
            </w:pPr>
          </w:p>
        </w:tc>
        <w:tc>
          <w:tcPr>
            <w:tcW w:w="100" w:type="dxa"/>
            <w:vAlign w:val="bottom"/>
            <w:shd w:val="clear" w:color="auto" w:fill="CCD2DB"/>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shd w:val="clear" w:color="auto" w:fill="CCD2DB"/>
          </w:tcPr>
          <w:p>
            <w:pPr>
              <w:jc w:val="right"/>
              <w:spacing w:after="0"/>
              <w:rPr>
                <w:sz w:val="20"/>
                <w:szCs w:val="20"/>
                <w:color w:val="auto"/>
              </w:rPr>
            </w:pPr>
            <w:r>
              <w:rPr>
                <w:rFonts w:ascii="Arial" w:cs="Arial" w:eastAsia="Arial" w:hAnsi="Arial"/>
                <w:sz w:val="12"/>
                <w:szCs w:val="12"/>
                <w:color w:val="auto"/>
              </w:rPr>
              <w:t>501,970</w:t>
            </w:r>
          </w:p>
        </w:tc>
        <w:tc>
          <w:tcPr>
            <w:tcW w:w="0" w:type="dxa"/>
            <w:vAlign w:val="bottom"/>
          </w:tcPr>
          <w:p>
            <w:pPr>
              <w:spacing w:after="0"/>
              <w:rPr>
                <w:sz w:val="1"/>
                <w:szCs w:val="1"/>
                <w:color w:val="auto"/>
              </w:rPr>
            </w:pPr>
          </w:p>
        </w:tc>
      </w:tr>
      <w:tr>
        <w:trPr>
          <w:trHeight w:val="24"/>
        </w:trPr>
        <w:tc>
          <w:tcPr>
            <w:tcW w:w="880" w:type="dxa"/>
            <w:vAlign w:val="bottom"/>
            <w:gridSpan w:val="2"/>
            <w:vMerge w:val="restart"/>
          </w:tcPr>
          <w:p>
            <w:pPr>
              <w:spacing w:after="0"/>
              <w:rPr>
                <w:sz w:val="20"/>
                <w:szCs w:val="20"/>
                <w:color w:val="auto"/>
              </w:rPr>
            </w:pPr>
            <w:r>
              <w:rPr>
                <w:rFonts w:ascii="Arial" w:cs="Arial" w:eastAsia="Arial" w:hAnsi="Arial"/>
                <w:sz w:val="12"/>
                <w:szCs w:val="12"/>
                <w:color w:val="auto"/>
              </w:rPr>
              <w:t>Mathias</w:t>
            </w:r>
          </w:p>
        </w:tc>
        <w:tc>
          <w:tcPr>
            <w:tcW w:w="620" w:type="dxa"/>
            <w:vAlign w:val="bottom"/>
            <w:shd w:val="clear" w:color="auto" w:fill="98A3B8"/>
          </w:tcPr>
          <w:p>
            <w:pPr>
              <w:spacing w:after="0"/>
              <w:rPr>
                <w:sz w:val="2"/>
                <w:szCs w:val="2"/>
                <w:color w:val="auto"/>
              </w:rPr>
            </w:pPr>
          </w:p>
        </w:tc>
        <w:tc>
          <w:tcPr>
            <w:tcW w:w="160" w:type="dxa"/>
            <w:vAlign w:val="bottom"/>
            <w:shd w:val="clear" w:color="auto" w:fill="CCD2DB"/>
          </w:tcPr>
          <w:p>
            <w:pPr>
              <w:spacing w:after="0"/>
              <w:rPr>
                <w:sz w:val="2"/>
                <w:szCs w:val="2"/>
                <w:color w:val="auto"/>
              </w:rPr>
            </w:pPr>
          </w:p>
        </w:tc>
        <w:tc>
          <w:tcPr>
            <w:tcW w:w="620" w:type="dxa"/>
            <w:vAlign w:val="bottom"/>
            <w:shd w:val="clear" w:color="auto" w:fill="98A3B8"/>
          </w:tcPr>
          <w:p>
            <w:pPr>
              <w:spacing w:after="0"/>
              <w:rPr>
                <w:sz w:val="2"/>
                <w:szCs w:val="2"/>
                <w:color w:val="auto"/>
              </w:rPr>
            </w:pPr>
          </w:p>
        </w:tc>
        <w:tc>
          <w:tcPr>
            <w:tcW w:w="160" w:type="dxa"/>
            <w:vAlign w:val="bottom"/>
            <w:shd w:val="clear" w:color="auto" w:fill="CCD2DB"/>
          </w:tcPr>
          <w:p>
            <w:pPr>
              <w:spacing w:after="0"/>
              <w:rPr>
                <w:sz w:val="2"/>
                <w:szCs w:val="2"/>
                <w:color w:val="auto"/>
              </w:rPr>
            </w:pPr>
          </w:p>
        </w:tc>
        <w:tc>
          <w:tcPr>
            <w:tcW w:w="140" w:type="dxa"/>
            <w:vAlign w:val="bottom"/>
            <w:shd w:val="clear" w:color="auto" w:fill="98A3B8"/>
          </w:tcPr>
          <w:p>
            <w:pPr>
              <w:spacing w:after="0"/>
              <w:rPr>
                <w:sz w:val="2"/>
                <w:szCs w:val="2"/>
                <w:color w:val="auto"/>
              </w:rPr>
            </w:pPr>
          </w:p>
        </w:tc>
        <w:tc>
          <w:tcPr>
            <w:tcW w:w="740" w:type="dxa"/>
            <w:vAlign w:val="bottom"/>
            <w:shd w:val="clear" w:color="auto" w:fill="98A3B8"/>
          </w:tcPr>
          <w:p>
            <w:pPr>
              <w:spacing w:after="0"/>
              <w:rPr>
                <w:sz w:val="2"/>
                <w:szCs w:val="2"/>
                <w:color w:val="auto"/>
              </w:rPr>
            </w:pPr>
          </w:p>
        </w:tc>
        <w:tc>
          <w:tcPr>
            <w:tcW w:w="180" w:type="dxa"/>
            <w:vAlign w:val="bottom"/>
            <w:shd w:val="clear" w:color="auto" w:fill="CCD2DB"/>
          </w:tcPr>
          <w:p>
            <w:pPr>
              <w:spacing w:after="0"/>
              <w:rPr>
                <w:sz w:val="2"/>
                <w:szCs w:val="2"/>
                <w:color w:val="auto"/>
              </w:rPr>
            </w:pPr>
          </w:p>
        </w:tc>
        <w:tc>
          <w:tcPr>
            <w:tcW w:w="140" w:type="dxa"/>
            <w:vAlign w:val="bottom"/>
            <w:shd w:val="clear" w:color="auto" w:fill="98A3B8"/>
          </w:tcPr>
          <w:p>
            <w:pPr>
              <w:spacing w:after="0"/>
              <w:rPr>
                <w:sz w:val="2"/>
                <w:szCs w:val="2"/>
                <w:color w:val="auto"/>
              </w:rPr>
            </w:pPr>
          </w:p>
        </w:tc>
        <w:tc>
          <w:tcPr>
            <w:tcW w:w="740" w:type="dxa"/>
            <w:vAlign w:val="bottom"/>
            <w:shd w:val="clear" w:color="auto" w:fill="98A3B8"/>
          </w:tcPr>
          <w:p>
            <w:pPr>
              <w:spacing w:after="0"/>
              <w:rPr>
                <w:sz w:val="2"/>
                <w:szCs w:val="2"/>
                <w:color w:val="auto"/>
              </w:rPr>
            </w:pPr>
          </w:p>
        </w:tc>
        <w:tc>
          <w:tcPr>
            <w:tcW w:w="180" w:type="dxa"/>
            <w:vAlign w:val="bottom"/>
            <w:shd w:val="clear" w:color="auto" w:fill="CCD2DB"/>
          </w:tcPr>
          <w:p>
            <w:pPr>
              <w:spacing w:after="0"/>
              <w:rPr>
                <w:sz w:val="2"/>
                <w:szCs w:val="2"/>
                <w:color w:val="auto"/>
              </w:rPr>
            </w:pPr>
          </w:p>
        </w:tc>
        <w:tc>
          <w:tcPr>
            <w:tcW w:w="160" w:type="dxa"/>
            <w:vAlign w:val="bottom"/>
            <w:shd w:val="clear" w:color="auto" w:fill="98A3B8"/>
          </w:tcPr>
          <w:p>
            <w:pPr>
              <w:spacing w:after="0"/>
              <w:rPr>
                <w:sz w:val="2"/>
                <w:szCs w:val="2"/>
                <w:color w:val="auto"/>
              </w:rPr>
            </w:pPr>
          </w:p>
        </w:tc>
        <w:tc>
          <w:tcPr>
            <w:tcW w:w="740" w:type="dxa"/>
            <w:vAlign w:val="bottom"/>
            <w:shd w:val="clear" w:color="auto" w:fill="98A3B8"/>
          </w:tcPr>
          <w:p>
            <w:pPr>
              <w:spacing w:after="0"/>
              <w:rPr>
                <w:sz w:val="2"/>
                <w:szCs w:val="2"/>
                <w:color w:val="auto"/>
              </w:rPr>
            </w:pPr>
          </w:p>
        </w:tc>
        <w:tc>
          <w:tcPr>
            <w:tcW w:w="180" w:type="dxa"/>
            <w:vAlign w:val="bottom"/>
            <w:shd w:val="clear" w:color="auto" w:fill="CCD2DB"/>
          </w:tcPr>
          <w:p>
            <w:pPr>
              <w:spacing w:after="0"/>
              <w:rPr>
                <w:sz w:val="2"/>
                <w:szCs w:val="2"/>
                <w:color w:val="auto"/>
              </w:rPr>
            </w:pPr>
          </w:p>
        </w:tc>
        <w:tc>
          <w:tcPr>
            <w:tcW w:w="580" w:type="dxa"/>
            <w:vAlign w:val="bottom"/>
            <w:shd w:val="clear" w:color="auto" w:fill="98A3B8"/>
          </w:tcPr>
          <w:p>
            <w:pPr>
              <w:spacing w:after="0"/>
              <w:rPr>
                <w:sz w:val="2"/>
                <w:szCs w:val="2"/>
                <w:color w:val="auto"/>
              </w:rPr>
            </w:pPr>
          </w:p>
        </w:tc>
        <w:tc>
          <w:tcPr>
            <w:tcW w:w="160" w:type="dxa"/>
            <w:vAlign w:val="bottom"/>
            <w:shd w:val="clear" w:color="auto" w:fill="CCD2DB"/>
          </w:tcPr>
          <w:p>
            <w:pPr>
              <w:spacing w:after="0"/>
              <w:rPr>
                <w:sz w:val="2"/>
                <w:szCs w:val="2"/>
                <w:color w:val="auto"/>
              </w:rPr>
            </w:pPr>
          </w:p>
        </w:tc>
        <w:tc>
          <w:tcPr>
            <w:tcW w:w="500" w:type="dxa"/>
            <w:vAlign w:val="bottom"/>
            <w:shd w:val="clear" w:color="auto" w:fill="98A3B8"/>
          </w:tcPr>
          <w:p>
            <w:pPr>
              <w:spacing w:after="0"/>
              <w:rPr>
                <w:sz w:val="2"/>
                <w:szCs w:val="2"/>
                <w:color w:val="auto"/>
              </w:rPr>
            </w:pPr>
          </w:p>
        </w:tc>
        <w:tc>
          <w:tcPr>
            <w:tcW w:w="180" w:type="dxa"/>
            <w:vAlign w:val="bottom"/>
            <w:shd w:val="clear" w:color="auto" w:fill="CCD2DB"/>
          </w:tcPr>
          <w:p>
            <w:pPr>
              <w:spacing w:after="0"/>
              <w:rPr>
                <w:sz w:val="2"/>
                <w:szCs w:val="2"/>
                <w:color w:val="auto"/>
              </w:rPr>
            </w:pPr>
          </w:p>
        </w:tc>
        <w:tc>
          <w:tcPr>
            <w:tcW w:w="560" w:type="dxa"/>
            <w:vAlign w:val="bottom"/>
            <w:shd w:val="clear" w:color="auto" w:fill="98A3B8"/>
          </w:tcPr>
          <w:p>
            <w:pPr>
              <w:spacing w:after="0"/>
              <w:rPr>
                <w:sz w:val="2"/>
                <w:szCs w:val="2"/>
                <w:color w:val="auto"/>
              </w:rPr>
            </w:pPr>
          </w:p>
        </w:tc>
        <w:tc>
          <w:tcPr>
            <w:tcW w:w="160" w:type="dxa"/>
            <w:vAlign w:val="bottom"/>
            <w:shd w:val="clear" w:color="auto" w:fill="CCD2DB"/>
          </w:tcPr>
          <w:p>
            <w:pPr>
              <w:spacing w:after="0"/>
              <w:rPr>
                <w:sz w:val="2"/>
                <w:szCs w:val="2"/>
                <w:color w:val="auto"/>
              </w:rPr>
            </w:pPr>
          </w:p>
        </w:tc>
        <w:tc>
          <w:tcPr>
            <w:tcW w:w="540" w:type="dxa"/>
            <w:vAlign w:val="bottom"/>
            <w:shd w:val="clear" w:color="auto" w:fill="98A3B8"/>
          </w:tcPr>
          <w:p>
            <w:pPr>
              <w:spacing w:after="0"/>
              <w:rPr>
                <w:sz w:val="2"/>
                <w:szCs w:val="2"/>
                <w:color w:val="auto"/>
              </w:rPr>
            </w:pPr>
          </w:p>
        </w:tc>
        <w:tc>
          <w:tcPr>
            <w:tcW w:w="180" w:type="dxa"/>
            <w:vAlign w:val="bottom"/>
            <w:shd w:val="clear" w:color="auto" w:fill="CCD2DB"/>
          </w:tcPr>
          <w:p>
            <w:pPr>
              <w:spacing w:after="0"/>
              <w:rPr>
                <w:sz w:val="2"/>
                <w:szCs w:val="2"/>
                <w:color w:val="auto"/>
              </w:rPr>
            </w:pPr>
          </w:p>
        </w:tc>
        <w:tc>
          <w:tcPr>
            <w:tcW w:w="620" w:type="dxa"/>
            <w:vAlign w:val="bottom"/>
            <w:shd w:val="clear" w:color="auto" w:fill="98A3B8"/>
          </w:tcPr>
          <w:p>
            <w:pPr>
              <w:spacing w:after="0"/>
              <w:rPr>
                <w:sz w:val="2"/>
                <w:szCs w:val="2"/>
                <w:color w:val="auto"/>
              </w:rPr>
            </w:pPr>
          </w:p>
        </w:tc>
        <w:tc>
          <w:tcPr>
            <w:tcW w:w="160" w:type="dxa"/>
            <w:vAlign w:val="bottom"/>
            <w:shd w:val="clear" w:color="auto" w:fill="CCD2DB"/>
          </w:tcPr>
          <w:p>
            <w:pPr>
              <w:spacing w:after="0"/>
              <w:rPr>
                <w:sz w:val="2"/>
                <w:szCs w:val="2"/>
                <w:color w:val="auto"/>
              </w:rPr>
            </w:pPr>
          </w:p>
        </w:tc>
        <w:tc>
          <w:tcPr>
            <w:tcW w:w="100" w:type="dxa"/>
            <w:vAlign w:val="bottom"/>
            <w:shd w:val="clear" w:color="auto" w:fill="98A3B8"/>
          </w:tcPr>
          <w:p>
            <w:pPr>
              <w:spacing w:after="0"/>
              <w:rPr>
                <w:sz w:val="2"/>
                <w:szCs w:val="2"/>
                <w:color w:val="auto"/>
              </w:rPr>
            </w:pPr>
          </w:p>
        </w:tc>
        <w:tc>
          <w:tcPr>
            <w:tcW w:w="440" w:type="dxa"/>
            <w:vAlign w:val="bottom"/>
            <w:shd w:val="clear" w:color="auto" w:fill="98A3B8"/>
          </w:tcPr>
          <w:p>
            <w:pPr>
              <w:spacing w:after="0"/>
              <w:rPr>
                <w:sz w:val="2"/>
                <w:szCs w:val="2"/>
                <w:color w:val="auto"/>
              </w:rPr>
            </w:pPr>
          </w:p>
        </w:tc>
        <w:tc>
          <w:tcPr>
            <w:tcW w:w="160" w:type="dxa"/>
            <w:vAlign w:val="bottom"/>
            <w:shd w:val="clear" w:color="auto" w:fill="CCD2DB"/>
          </w:tcPr>
          <w:p>
            <w:pPr>
              <w:spacing w:after="0"/>
              <w:rPr>
                <w:sz w:val="2"/>
                <w:szCs w:val="2"/>
                <w:color w:val="auto"/>
              </w:rPr>
            </w:pPr>
          </w:p>
        </w:tc>
        <w:tc>
          <w:tcPr>
            <w:tcW w:w="120" w:type="dxa"/>
            <w:vAlign w:val="bottom"/>
            <w:shd w:val="clear" w:color="auto" w:fill="98A3B8"/>
          </w:tcPr>
          <w:p>
            <w:pPr>
              <w:spacing w:after="0"/>
              <w:rPr>
                <w:sz w:val="2"/>
                <w:szCs w:val="2"/>
                <w:color w:val="auto"/>
              </w:rPr>
            </w:pPr>
          </w:p>
        </w:tc>
        <w:tc>
          <w:tcPr>
            <w:tcW w:w="500" w:type="dxa"/>
            <w:vAlign w:val="bottom"/>
            <w:shd w:val="clear" w:color="auto" w:fill="98A3B8"/>
          </w:tcPr>
          <w:p>
            <w:pPr>
              <w:spacing w:after="0"/>
              <w:rPr>
                <w:sz w:val="2"/>
                <w:szCs w:val="2"/>
                <w:color w:val="auto"/>
              </w:rPr>
            </w:pPr>
          </w:p>
        </w:tc>
        <w:tc>
          <w:tcPr>
            <w:tcW w:w="160" w:type="dxa"/>
            <w:vAlign w:val="bottom"/>
            <w:shd w:val="clear" w:color="auto" w:fill="CCD2DB"/>
          </w:tcPr>
          <w:p>
            <w:pPr>
              <w:spacing w:after="0"/>
              <w:rPr>
                <w:sz w:val="2"/>
                <w:szCs w:val="2"/>
                <w:color w:val="auto"/>
              </w:rPr>
            </w:pPr>
          </w:p>
        </w:tc>
        <w:tc>
          <w:tcPr>
            <w:tcW w:w="100" w:type="dxa"/>
            <w:vAlign w:val="bottom"/>
            <w:shd w:val="clear" w:color="auto" w:fill="98A3B8"/>
          </w:tcPr>
          <w:p>
            <w:pPr>
              <w:spacing w:after="0"/>
              <w:rPr>
                <w:sz w:val="2"/>
                <w:szCs w:val="2"/>
                <w:color w:val="auto"/>
              </w:rPr>
            </w:pPr>
          </w:p>
        </w:tc>
        <w:tc>
          <w:tcPr>
            <w:tcW w:w="660" w:type="dxa"/>
            <w:vAlign w:val="bottom"/>
            <w:shd w:val="clear" w:color="auto" w:fill="98A3B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880" w:type="dxa"/>
            <w:vAlign w:val="bottom"/>
            <w:gridSpan w:val="2"/>
            <w:vMerge w:val="continue"/>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w w:val="99"/>
              </w:rPr>
              <w:t>01/12/2016</w:t>
            </w:r>
          </w:p>
        </w:tc>
        <w:tc>
          <w:tcPr>
            <w:tcW w:w="1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w w:val="99"/>
              </w:rPr>
              <w:t>01/12/2016</w:t>
            </w:r>
          </w:p>
        </w:tc>
        <w:tc>
          <w:tcPr>
            <w:tcW w:w="16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w w:val="99"/>
              </w:rPr>
              <w:t>30,728</w:t>
            </w:r>
            <w:r>
              <w:rPr>
                <w:rFonts w:ascii="Arial" w:cs="Arial" w:eastAsia="Arial" w:hAnsi="Arial"/>
                <w:sz w:val="19"/>
                <w:szCs w:val="19"/>
                <w:color w:val="auto"/>
                <w:w w:val="99"/>
                <w:vertAlign w:val="superscript"/>
              </w:rPr>
              <w:t>(1)</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2,574,023</w:t>
            </w:r>
          </w:p>
        </w:tc>
        <w:tc>
          <w:tcPr>
            <w:tcW w:w="0" w:type="dxa"/>
            <w:vAlign w:val="bottom"/>
          </w:tcPr>
          <w:p>
            <w:pPr>
              <w:spacing w:after="0"/>
              <w:rPr>
                <w:sz w:val="1"/>
                <w:szCs w:val="1"/>
                <w:color w:val="auto"/>
              </w:rPr>
            </w:pPr>
          </w:p>
        </w:tc>
      </w:tr>
      <w:tr>
        <w:trPr>
          <w:trHeight w:val="144"/>
        </w:trPr>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98A3B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44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660" w:type="dxa"/>
            <w:vAlign w:val="bottom"/>
            <w:shd w:val="clear" w:color="auto" w:fill="98A3B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01/12/2016</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01/12/2016</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line="253" w:lineRule="exact"/>
              <w:rPr>
                <w:sz w:val="20"/>
                <w:szCs w:val="20"/>
                <w:color w:val="auto"/>
              </w:rPr>
            </w:pPr>
            <w:r>
              <w:rPr>
                <w:rFonts w:ascii="Arial" w:cs="Arial" w:eastAsia="Arial" w:hAnsi="Arial"/>
                <w:sz w:val="12"/>
                <w:szCs w:val="12"/>
                <w:color w:val="auto"/>
                <w:w w:val="87"/>
              </w:rPr>
              <w:t>58,667</w:t>
            </w:r>
            <w:r>
              <w:rPr>
                <w:rFonts w:ascii="Arial" w:cs="Arial" w:eastAsia="Arial" w:hAnsi="Arial"/>
                <w:sz w:val="19"/>
                <w:szCs w:val="19"/>
                <w:color w:val="auto"/>
                <w:w w:val="87"/>
                <w:vertAlign w:val="superscript"/>
              </w:rPr>
              <w:t>(</w:t>
            </w:r>
            <w:r>
              <w:rPr>
                <w:rFonts w:ascii="Arial" w:cs="Arial" w:eastAsia="Arial" w:hAnsi="Arial"/>
                <w:sz w:val="23"/>
                <w:szCs w:val="23"/>
                <w:color w:val="auto"/>
                <w:w w:val="87"/>
                <w:vertAlign w:val="superscript"/>
              </w:rPr>
              <w:t>6)</w:t>
            </w:r>
          </w:p>
        </w:tc>
        <w:tc>
          <w:tcPr>
            <w:tcW w:w="18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58,667</w:t>
            </w:r>
            <w:r>
              <w:rPr>
                <w:rFonts w:ascii="Arial" w:cs="Arial" w:eastAsia="Arial" w:hAnsi="Arial"/>
                <w:sz w:val="19"/>
                <w:szCs w:val="19"/>
                <w:color w:val="auto"/>
                <w:vertAlign w:val="superscript"/>
              </w:rPr>
              <w:t>(6)</w:t>
            </w: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5,134,800</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98A3B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44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660" w:type="dxa"/>
            <w:vAlign w:val="bottom"/>
            <w:shd w:val="clear" w:color="auto" w:fill="98A3B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06/17/2016</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06/17/2016</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w w:val="99"/>
              </w:rPr>
              <w:t>11,340</w:t>
            </w:r>
            <w:r>
              <w:rPr>
                <w:rFonts w:ascii="Arial" w:cs="Arial" w:eastAsia="Arial" w:hAnsi="Arial"/>
                <w:sz w:val="19"/>
                <w:szCs w:val="19"/>
                <w:color w:val="auto"/>
                <w:w w:val="99"/>
                <w:vertAlign w:val="superscript"/>
              </w:rPr>
              <w:t>(1)</w:t>
            </w: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910,103</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98A3B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44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660" w:type="dxa"/>
            <w:vAlign w:val="bottom"/>
            <w:shd w:val="clear" w:color="auto" w:fill="98A3B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N/A</w:t>
            </w: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N/A</w:t>
            </w: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line="253" w:lineRule="exact"/>
              <w:rPr>
                <w:sz w:val="20"/>
                <w:szCs w:val="20"/>
                <w:color w:val="auto"/>
              </w:rPr>
            </w:pPr>
            <w:r>
              <w:rPr>
                <w:rFonts w:ascii="Arial" w:cs="Arial" w:eastAsia="Arial" w:hAnsi="Arial"/>
                <w:sz w:val="12"/>
                <w:szCs w:val="12"/>
                <w:color w:val="auto"/>
              </w:rPr>
              <w:t>800,000</w:t>
            </w:r>
            <w:r>
              <w:rPr>
                <w:rFonts w:ascii="Arial" w:cs="Arial" w:eastAsia="Arial" w:hAnsi="Arial"/>
                <w:sz w:val="19"/>
                <w:szCs w:val="19"/>
                <w:color w:val="auto"/>
                <w:vertAlign w:val="superscript"/>
              </w:rPr>
              <w:t>(</w:t>
            </w:r>
            <w:r>
              <w:rPr>
                <w:rFonts w:ascii="Arial" w:cs="Arial" w:eastAsia="Arial" w:hAnsi="Arial"/>
                <w:sz w:val="23"/>
                <w:szCs w:val="23"/>
                <w:color w:val="auto"/>
                <w:vertAlign w:val="superscript"/>
              </w:rPr>
              <w:t>9)</w:t>
            </w:r>
          </w:p>
        </w:tc>
        <w:tc>
          <w:tcPr>
            <w:tcW w:w="180" w:type="dxa"/>
            <w:vAlign w:val="bottom"/>
          </w:tcPr>
          <w:p>
            <w:pPr>
              <w:spacing w:after="0"/>
              <w:rPr>
                <w:sz w:val="21"/>
                <w:szCs w:val="21"/>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180"/>
              <w:spacing w:after="0" w:line="253" w:lineRule="exact"/>
              <w:rPr>
                <w:sz w:val="20"/>
                <w:szCs w:val="20"/>
                <w:color w:val="auto"/>
              </w:rPr>
            </w:pPr>
            <w:r>
              <w:rPr>
                <w:rFonts w:ascii="Arial" w:cs="Arial" w:eastAsia="Arial" w:hAnsi="Arial"/>
                <w:sz w:val="12"/>
                <w:szCs w:val="12"/>
                <w:color w:val="auto"/>
              </w:rPr>
              <w:t>1,400,000</w:t>
            </w:r>
            <w:r>
              <w:rPr>
                <w:rFonts w:ascii="Arial" w:cs="Arial" w:eastAsia="Arial" w:hAnsi="Arial"/>
                <w:sz w:val="19"/>
                <w:szCs w:val="19"/>
                <w:color w:val="auto"/>
                <w:vertAlign w:val="superscript"/>
              </w:rPr>
              <w:t>(</w:t>
            </w:r>
            <w:r>
              <w:rPr>
                <w:rFonts w:ascii="Arial" w:cs="Arial" w:eastAsia="Arial" w:hAnsi="Arial"/>
                <w:sz w:val="23"/>
                <w:szCs w:val="23"/>
                <w:color w:val="auto"/>
                <w:vertAlign w:val="superscript"/>
              </w:rPr>
              <w:t>9)</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740" w:type="dxa"/>
            <w:vAlign w:val="bottom"/>
          </w:tcPr>
          <w:p>
            <w:pPr>
              <w:jc w:val="right"/>
              <w:spacing w:after="0" w:line="253" w:lineRule="exact"/>
              <w:rPr>
                <w:sz w:val="20"/>
                <w:szCs w:val="20"/>
                <w:color w:val="auto"/>
              </w:rPr>
            </w:pPr>
            <w:r>
              <w:rPr>
                <w:rFonts w:ascii="Arial" w:cs="Arial" w:eastAsia="Arial" w:hAnsi="Arial"/>
                <w:sz w:val="12"/>
                <w:szCs w:val="12"/>
                <w:color w:val="auto"/>
              </w:rPr>
              <w:t>2,000,000</w:t>
            </w:r>
            <w:r>
              <w:rPr>
                <w:rFonts w:ascii="Arial" w:cs="Arial" w:eastAsia="Arial" w:hAnsi="Arial"/>
                <w:sz w:val="19"/>
                <w:szCs w:val="19"/>
                <w:color w:val="auto"/>
                <w:vertAlign w:val="superscript"/>
              </w:rPr>
              <w:t>(</w:t>
            </w:r>
            <w:r>
              <w:rPr>
                <w:rFonts w:ascii="Arial" w:cs="Arial" w:eastAsia="Arial" w:hAnsi="Arial"/>
                <w:sz w:val="23"/>
                <w:szCs w:val="23"/>
                <w:color w:val="auto"/>
                <w:vertAlign w:val="superscript"/>
              </w:rPr>
              <w:t>9)</w:t>
            </w:r>
          </w:p>
        </w:tc>
        <w:tc>
          <w:tcPr>
            <w:tcW w:w="18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72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160" w:type="dxa"/>
            <w:vAlign w:val="bottom"/>
            <w:shd w:val="clear" w:color="auto" w:fill="CCD2DB"/>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160" w:type="dxa"/>
            <w:vAlign w:val="bottom"/>
            <w:shd w:val="clear" w:color="auto" w:fill="CCD2DB"/>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c>
          <w:tcPr>
            <w:tcW w:w="180" w:type="dxa"/>
            <w:vAlign w:val="bottom"/>
            <w:shd w:val="clear" w:color="auto" w:fill="CCD2DB"/>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c>
          <w:tcPr>
            <w:tcW w:w="180" w:type="dxa"/>
            <w:vAlign w:val="bottom"/>
            <w:shd w:val="clear" w:color="auto" w:fill="CCD2DB"/>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c>
          <w:tcPr>
            <w:tcW w:w="180" w:type="dxa"/>
            <w:vAlign w:val="bottom"/>
            <w:shd w:val="clear" w:color="auto" w:fill="CCD2DB"/>
          </w:tcPr>
          <w:p>
            <w:pPr>
              <w:spacing w:after="0" w:line="20" w:lineRule="exact"/>
              <w:rPr>
                <w:sz w:val="1"/>
                <w:szCs w:val="1"/>
                <w:color w:val="auto"/>
              </w:rPr>
            </w:pPr>
          </w:p>
        </w:tc>
        <w:tc>
          <w:tcPr>
            <w:tcW w:w="580" w:type="dxa"/>
            <w:vAlign w:val="bottom"/>
            <w:shd w:val="clear" w:color="auto" w:fill="98A3B8"/>
          </w:tcPr>
          <w:p>
            <w:pPr>
              <w:spacing w:after="0" w:line="20" w:lineRule="exact"/>
              <w:rPr>
                <w:sz w:val="1"/>
                <w:szCs w:val="1"/>
                <w:color w:val="auto"/>
              </w:rPr>
            </w:pPr>
          </w:p>
        </w:tc>
        <w:tc>
          <w:tcPr>
            <w:tcW w:w="160" w:type="dxa"/>
            <w:vAlign w:val="bottom"/>
            <w:shd w:val="clear" w:color="auto" w:fill="CCD2DB"/>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180" w:type="dxa"/>
            <w:vAlign w:val="bottom"/>
            <w:shd w:val="clear" w:color="auto" w:fill="CCD2DB"/>
          </w:tcPr>
          <w:p>
            <w:pPr>
              <w:spacing w:after="0" w:line="20" w:lineRule="exact"/>
              <w:rPr>
                <w:sz w:val="1"/>
                <w:szCs w:val="1"/>
                <w:color w:val="auto"/>
              </w:rPr>
            </w:pPr>
          </w:p>
        </w:tc>
        <w:tc>
          <w:tcPr>
            <w:tcW w:w="560" w:type="dxa"/>
            <w:vAlign w:val="bottom"/>
            <w:shd w:val="clear" w:color="auto" w:fill="98A3B8"/>
          </w:tcPr>
          <w:p>
            <w:pPr>
              <w:spacing w:after="0" w:line="20" w:lineRule="exact"/>
              <w:rPr>
                <w:sz w:val="1"/>
                <w:szCs w:val="1"/>
                <w:color w:val="auto"/>
              </w:rPr>
            </w:pPr>
          </w:p>
        </w:tc>
        <w:tc>
          <w:tcPr>
            <w:tcW w:w="160" w:type="dxa"/>
            <w:vAlign w:val="bottom"/>
            <w:shd w:val="clear" w:color="auto" w:fill="CCD2DB"/>
          </w:tcPr>
          <w:p>
            <w:pPr>
              <w:spacing w:after="0" w:line="20" w:lineRule="exact"/>
              <w:rPr>
                <w:sz w:val="1"/>
                <w:szCs w:val="1"/>
                <w:color w:val="auto"/>
              </w:rPr>
            </w:pPr>
          </w:p>
        </w:tc>
        <w:tc>
          <w:tcPr>
            <w:tcW w:w="540" w:type="dxa"/>
            <w:vAlign w:val="bottom"/>
            <w:shd w:val="clear" w:color="auto" w:fill="98A3B8"/>
          </w:tcPr>
          <w:p>
            <w:pPr>
              <w:spacing w:after="0" w:line="20" w:lineRule="exact"/>
              <w:rPr>
                <w:sz w:val="1"/>
                <w:szCs w:val="1"/>
                <w:color w:val="auto"/>
              </w:rPr>
            </w:pPr>
          </w:p>
        </w:tc>
        <w:tc>
          <w:tcPr>
            <w:tcW w:w="180" w:type="dxa"/>
            <w:vAlign w:val="bottom"/>
            <w:shd w:val="clear" w:color="auto" w:fill="CCD2DB"/>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160" w:type="dxa"/>
            <w:vAlign w:val="bottom"/>
            <w:shd w:val="clear" w:color="auto" w:fill="CCD2DB"/>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440" w:type="dxa"/>
            <w:vAlign w:val="bottom"/>
            <w:shd w:val="clear" w:color="auto" w:fill="98A3B8"/>
          </w:tcPr>
          <w:p>
            <w:pPr>
              <w:spacing w:after="0" w:line="20" w:lineRule="exact"/>
              <w:rPr>
                <w:sz w:val="1"/>
                <w:szCs w:val="1"/>
                <w:color w:val="auto"/>
              </w:rPr>
            </w:pPr>
          </w:p>
        </w:tc>
        <w:tc>
          <w:tcPr>
            <w:tcW w:w="160" w:type="dxa"/>
            <w:vAlign w:val="bottom"/>
            <w:shd w:val="clear" w:color="auto" w:fill="CCD2DB"/>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160" w:type="dxa"/>
            <w:vAlign w:val="bottom"/>
            <w:shd w:val="clear" w:color="auto" w:fill="CCD2DB"/>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660" w:type="dxa"/>
            <w:vAlign w:val="bottom"/>
            <w:shd w:val="clear" w:color="auto" w:fill="98A3B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20" w:type="dxa"/>
            <w:vAlign w:val="bottom"/>
          </w:tcPr>
          <w:p>
            <w:pPr>
              <w:spacing w:after="0"/>
              <w:rPr>
                <w:sz w:val="20"/>
                <w:szCs w:val="20"/>
                <w:color w:val="auto"/>
              </w:rPr>
            </w:pPr>
            <w:r>
              <w:rPr>
                <w:rFonts w:ascii="Arial" w:cs="Arial" w:eastAsia="Arial" w:hAnsi="Arial"/>
                <w:sz w:val="12"/>
                <w:szCs w:val="12"/>
                <w:color w:val="auto"/>
              </w:rPr>
              <w:t>Matthew J.</w:t>
            </w:r>
          </w:p>
        </w:tc>
        <w:tc>
          <w:tcPr>
            <w:tcW w:w="160" w:type="dxa"/>
            <w:vAlign w:val="bottom"/>
          </w:tcPr>
          <w:p>
            <w:pPr>
              <w:spacing w:after="0"/>
              <w:rPr>
                <w:sz w:val="14"/>
                <w:szCs w:val="14"/>
                <w:color w:val="auto"/>
              </w:rPr>
            </w:pPr>
          </w:p>
        </w:tc>
        <w:tc>
          <w:tcPr>
            <w:tcW w:w="620" w:type="dxa"/>
            <w:vAlign w:val="bottom"/>
            <w:shd w:val="clear" w:color="auto" w:fill="CCD2DB"/>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D2DB"/>
          </w:tcPr>
          <w:p>
            <w:pPr>
              <w:spacing w:after="0"/>
              <w:rPr>
                <w:sz w:val="14"/>
                <w:szCs w:val="14"/>
                <w:color w:val="auto"/>
              </w:rPr>
            </w:pPr>
          </w:p>
        </w:tc>
        <w:tc>
          <w:tcPr>
            <w:tcW w:w="620" w:type="dxa"/>
            <w:vAlign w:val="bottom"/>
            <w:shd w:val="clear" w:color="auto" w:fill="CCD2DB"/>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D2DB"/>
          </w:tcPr>
          <w:p>
            <w:pPr>
              <w:spacing w:after="0"/>
              <w:rPr>
                <w:sz w:val="14"/>
                <w:szCs w:val="14"/>
                <w:color w:val="auto"/>
              </w:rPr>
            </w:pPr>
          </w:p>
        </w:tc>
        <w:tc>
          <w:tcPr>
            <w:tcW w:w="140" w:type="dxa"/>
            <w:vAlign w:val="bottom"/>
            <w:shd w:val="clear" w:color="auto" w:fill="CCD2DB"/>
          </w:tcPr>
          <w:p>
            <w:pPr>
              <w:spacing w:after="0"/>
              <w:rPr>
                <w:sz w:val="14"/>
                <w:szCs w:val="14"/>
                <w:color w:val="auto"/>
              </w:rPr>
            </w:pPr>
          </w:p>
        </w:tc>
        <w:tc>
          <w:tcPr>
            <w:tcW w:w="920" w:type="dxa"/>
            <w:vAlign w:val="bottom"/>
            <w:gridSpan w:val="2"/>
            <w:shd w:val="clear" w:color="auto" w:fill="CCD2DB"/>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D2DB"/>
          </w:tcPr>
          <w:p>
            <w:pPr>
              <w:spacing w:after="0"/>
              <w:rPr>
                <w:sz w:val="14"/>
                <w:szCs w:val="14"/>
                <w:color w:val="auto"/>
              </w:rPr>
            </w:pPr>
          </w:p>
        </w:tc>
        <w:tc>
          <w:tcPr>
            <w:tcW w:w="920" w:type="dxa"/>
            <w:vAlign w:val="bottom"/>
            <w:gridSpan w:val="2"/>
            <w:shd w:val="clear" w:color="auto" w:fill="CCD2DB"/>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D2DB"/>
          </w:tcPr>
          <w:p>
            <w:pPr>
              <w:spacing w:after="0"/>
              <w:rPr>
                <w:sz w:val="14"/>
                <w:szCs w:val="14"/>
                <w:color w:val="auto"/>
              </w:rPr>
            </w:pPr>
          </w:p>
        </w:tc>
        <w:tc>
          <w:tcPr>
            <w:tcW w:w="920" w:type="dxa"/>
            <w:vAlign w:val="bottom"/>
            <w:gridSpan w:val="2"/>
            <w:shd w:val="clear" w:color="auto" w:fill="CCD2DB"/>
          </w:tcPr>
          <w:p>
            <w:pPr>
              <w:jc w:val="right"/>
              <w:ind w:right="18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D2DB"/>
          </w:tcPr>
          <w:p>
            <w:pPr>
              <w:jc w:val="right"/>
              <w:ind w:right="16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D2DB"/>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D2DB"/>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D2DB"/>
          </w:tcPr>
          <w:p>
            <w:pPr>
              <w:jc w:val="right"/>
              <w:ind w:right="18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D2DB"/>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D2DB"/>
          </w:tcPr>
          <w:p>
            <w:pPr>
              <w:spacing w:after="0"/>
              <w:rPr>
                <w:sz w:val="14"/>
                <w:szCs w:val="14"/>
                <w:color w:val="auto"/>
              </w:rPr>
            </w:pPr>
          </w:p>
        </w:tc>
        <w:tc>
          <w:tcPr>
            <w:tcW w:w="600" w:type="dxa"/>
            <w:vAlign w:val="bottom"/>
            <w:gridSpan w:val="2"/>
            <w:shd w:val="clear" w:color="auto" w:fill="CCD2DB"/>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D2DB"/>
          </w:tcPr>
          <w:p>
            <w:pPr>
              <w:spacing w:after="0"/>
              <w:rPr>
                <w:sz w:val="14"/>
                <w:szCs w:val="14"/>
                <w:color w:val="auto"/>
              </w:rPr>
            </w:pPr>
          </w:p>
        </w:tc>
        <w:tc>
          <w:tcPr>
            <w:tcW w:w="500" w:type="dxa"/>
            <w:vAlign w:val="bottom"/>
            <w:shd w:val="clear" w:color="auto" w:fill="CCD2DB"/>
          </w:tcPr>
          <w:p>
            <w:pPr>
              <w:spacing w:after="0"/>
              <w:rPr>
                <w:sz w:val="14"/>
                <w:szCs w:val="14"/>
                <w:color w:val="auto"/>
              </w:rPr>
            </w:pPr>
          </w:p>
        </w:tc>
        <w:tc>
          <w:tcPr>
            <w:tcW w:w="160" w:type="dxa"/>
            <w:vAlign w:val="bottom"/>
            <w:shd w:val="clear" w:color="auto" w:fill="CCD2DB"/>
          </w:tcPr>
          <w:p>
            <w:pPr>
              <w:spacing w:after="0"/>
              <w:rPr>
                <w:sz w:val="14"/>
                <w:szCs w:val="14"/>
                <w:color w:val="auto"/>
              </w:rPr>
            </w:pPr>
          </w:p>
        </w:tc>
        <w:tc>
          <w:tcPr>
            <w:tcW w:w="100" w:type="dxa"/>
            <w:vAlign w:val="bottom"/>
            <w:shd w:val="clear" w:color="auto" w:fill="CCD2DB"/>
          </w:tcPr>
          <w:p>
            <w:pPr>
              <w:spacing w:after="0"/>
              <w:rPr>
                <w:sz w:val="14"/>
                <w:szCs w:val="14"/>
                <w:color w:val="auto"/>
              </w:rPr>
            </w:pPr>
          </w:p>
        </w:tc>
        <w:tc>
          <w:tcPr>
            <w:tcW w:w="660" w:type="dxa"/>
            <w:vAlign w:val="bottom"/>
            <w:shd w:val="clear" w:color="auto" w:fill="CCD2DB"/>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31"/>
        </w:trPr>
        <w:tc>
          <w:tcPr>
            <w:tcW w:w="720" w:type="dxa"/>
            <w:vAlign w:val="bottom"/>
          </w:tcPr>
          <w:p>
            <w:pPr>
              <w:spacing w:after="0"/>
              <w:rPr>
                <w:sz w:val="20"/>
                <w:szCs w:val="20"/>
                <w:color w:val="auto"/>
              </w:rPr>
            </w:pPr>
            <w:r>
              <w:rPr>
                <w:rFonts w:ascii="Arial" w:cs="Arial" w:eastAsia="Arial" w:hAnsi="Arial"/>
                <w:sz w:val="12"/>
                <w:szCs w:val="12"/>
                <w:color w:val="auto"/>
              </w:rPr>
              <w:t>DiLiberto</w:t>
            </w:r>
          </w:p>
        </w:tc>
        <w:tc>
          <w:tcPr>
            <w:tcW w:w="160" w:type="dxa"/>
            <w:vAlign w:val="bottom"/>
          </w:tcPr>
          <w:p>
            <w:pPr>
              <w:spacing w:after="0"/>
              <w:rPr>
                <w:sz w:val="20"/>
                <w:szCs w:val="20"/>
                <w:color w:val="auto"/>
              </w:rPr>
            </w:pPr>
          </w:p>
        </w:tc>
        <w:tc>
          <w:tcPr>
            <w:tcW w:w="620" w:type="dxa"/>
            <w:vAlign w:val="bottom"/>
            <w:tcBorders>
              <w:bottom w:val="single" w:sz="8" w:color="CCD2DB"/>
            </w:tcBorders>
            <w:shd w:val="clear" w:color="auto" w:fill="CCD2DB"/>
          </w:tcPr>
          <w:p>
            <w:pPr>
              <w:spacing w:after="0"/>
              <w:rPr>
                <w:sz w:val="20"/>
                <w:szCs w:val="20"/>
                <w:color w:val="auto"/>
              </w:rPr>
            </w:pPr>
          </w:p>
        </w:tc>
        <w:tc>
          <w:tcPr>
            <w:tcW w:w="160" w:type="dxa"/>
            <w:vAlign w:val="bottom"/>
            <w:tcBorders>
              <w:bottom w:val="single" w:sz="8" w:color="CCD2DB"/>
            </w:tcBorders>
            <w:shd w:val="clear" w:color="auto" w:fill="CCD2DB"/>
          </w:tcPr>
          <w:p>
            <w:pPr>
              <w:spacing w:after="0"/>
              <w:rPr>
                <w:sz w:val="20"/>
                <w:szCs w:val="20"/>
                <w:color w:val="auto"/>
              </w:rPr>
            </w:pPr>
          </w:p>
        </w:tc>
        <w:tc>
          <w:tcPr>
            <w:tcW w:w="620" w:type="dxa"/>
            <w:vAlign w:val="bottom"/>
            <w:tcBorders>
              <w:bottom w:val="single" w:sz="8" w:color="CCD2DB"/>
            </w:tcBorders>
            <w:shd w:val="clear" w:color="auto" w:fill="CCD2DB"/>
          </w:tcPr>
          <w:p>
            <w:pPr>
              <w:spacing w:after="0"/>
              <w:rPr>
                <w:sz w:val="20"/>
                <w:szCs w:val="20"/>
                <w:color w:val="auto"/>
              </w:rPr>
            </w:pPr>
          </w:p>
        </w:tc>
        <w:tc>
          <w:tcPr>
            <w:tcW w:w="160" w:type="dxa"/>
            <w:vAlign w:val="bottom"/>
            <w:tcBorders>
              <w:bottom w:val="single" w:sz="8" w:color="CCD2DB"/>
            </w:tcBorders>
            <w:shd w:val="clear" w:color="auto" w:fill="CCD2DB"/>
          </w:tcPr>
          <w:p>
            <w:pPr>
              <w:spacing w:after="0"/>
              <w:rPr>
                <w:sz w:val="20"/>
                <w:szCs w:val="20"/>
                <w:color w:val="auto"/>
              </w:rPr>
            </w:pPr>
          </w:p>
        </w:tc>
        <w:tc>
          <w:tcPr>
            <w:tcW w:w="140" w:type="dxa"/>
            <w:vAlign w:val="bottom"/>
            <w:tcBorders>
              <w:bottom w:val="single" w:sz="8" w:color="CCD2DB"/>
            </w:tcBorders>
            <w:shd w:val="clear" w:color="auto" w:fill="CCD2DB"/>
          </w:tcPr>
          <w:p>
            <w:pPr>
              <w:spacing w:after="0"/>
              <w:rPr>
                <w:sz w:val="20"/>
                <w:szCs w:val="20"/>
                <w:color w:val="auto"/>
              </w:rPr>
            </w:pPr>
          </w:p>
        </w:tc>
        <w:tc>
          <w:tcPr>
            <w:tcW w:w="740" w:type="dxa"/>
            <w:vAlign w:val="bottom"/>
            <w:tcBorders>
              <w:bottom w:val="single" w:sz="8" w:color="CCD2DB"/>
            </w:tcBorders>
            <w:shd w:val="clear" w:color="auto" w:fill="CCD2DB"/>
          </w:tcPr>
          <w:p>
            <w:pPr>
              <w:spacing w:after="0"/>
              <w:rPr>
                <w:sz w:val="20"/>
                <w:szCs w:val="20"/>
                <w:color w:val="auto"/>
              </w:rPr>
            </w:pPr>
          </w:p>
        </w:tc>
        <w:tc>
          <w:tcPr>
            <w:tcW w:w="180" w:type="dxa"/>
            <w:vAlign w:val="bottom"/>
            <w:tcBorders>
              <w:bottom w:val="single" w:sz="8" w:color="CCD2DB"/>
            </w:tcBorders>
            <w:shd w:val="clear" w:color="auto" w:fill="CCD2DB"/>
          </w:tcPr>
          <w:p>
            <w:pPr>
              <w:spacing w:after="0"/>
              <w:rPr>
                <w:sz w:val="20"/>
                <w:szCs w:val="20"/>
                <w:color w:val="auto"/>
              </w:rPr>
            </w:pPr>
          </w:p>
        </w:tc>
        <w:tc>
          <w:tcPr>
            <w:tcW w:w="140" w:type="dxa"/>
            <w:vAlign w:val="bottom"/>
            <w:tcBorders>
              <w:bottom w:val="single" w:sz="8" w:color="CCD2DB"/>
            </w:tcBorders>
            <w:shd w:val="clear" w:color="auto" w:fill="CCD2DB"/>
          </w:tcPr>
          <w:p>
            <w:pPr>
              <w:spacing w:after="0"/>
              <w:rPr>
                <w:sz w:val="20"/>
                <w:szCs w:val="20"/>
                <w:color w:val="auto"/>
              </w:rPr>
            </w:pPr>
          </w:p>
        </w:tc>
        <w:tc>
          <w:tcPr>
            <w:tcW w:w="740" w:type="dxa"/>
            <w:vAlign w:val="bottom"/>
            <w:tcBorders>
              <w:bottom w:val="single" w:sz="8" w:color="CCD2DB"/>
            </w:tcBorders>
            <w:shd w:val="clear" w:color="auto" w:fill="CCD2DB"/>
          </w:tcPr>
          <w:p>
            <w:pPr>
              <w:spacing w:after="0"/>
              <w:rPr>
                <w:sz w:val="20"/>
                <w:szCs w:val="20"/>
                <w:color w:val="auto"/>
              </w:rPr>
            </w:pPr>
          </w:p>
        </w:tc>
        <w:tc>
          <w:tcPr>
            <w:tcW w:w="180" w:type="dxa"/>
            <w:vAlign w:val="bottom"/>
            <w:tcBorders>
              <w:bottom w:val="single" w:sz="8" w:color="CCD2DB"/>
            </w:tcBorders>
            <w:shd w:val="clear" w:color="auto" w:fill="CCD2DB"/>
          </w:tcPr>
          <w:p>
            <w:pPr>
              <w:spacing w:after="0"/>
              <w:rPr>
                <w:sz w:val="20"/>
                <w:szCs w:val="20"/>
                <w:color w:val="auto"/>
              </w:rPr>
            </w:pPr>
          </w:p>
        </w:tc>
        <w:tc>
          <w:tcPr>
            <w:tcW w:w="160" w:type="dxa"/>
            <w:vAlign w:val="bottom"/>
            <w:tcBorders>
              <w:bottom w:val="single" w:sz="8" w:color="CCD2DB"/>
            </w:tcBorders>
            <w:shd w:val="clear" w:color="auto" w:fill="CCD2DB"/>
          </w:tcPr>
          <w:p>
            <w:pPr>
              <w:spacing w:after="0"/>
              <w:rPr>
                <w:sz w:val="20"/>
                <w:szCs w:val="20"/>
                <w:color w:val="auto"/>
              </w:rPr>
            </w:pPr>
          </w:p>
        </w:tc>
        <w:tc>
          <w:tcPr>
            <w:tcW w:w="740" w:type="dxa"/>
            <w:vAlign w:val="bottom"/>
            <w:tcBorders>
              <w:bottom w:val="single" w:sz="8" w:color="CCD2DB"/>
            </w:tcBorders>
            <w:shd w:val="clear" w:color="auto" w:fill="CCD2DB"/>
          </w:tcPr>
          <w:p>
            <w:pPr>
              <w:spacing w:after="0"/>
              <w:rPr>
                <w:sz w:val="20"/>
                <w:szCs w:val="20"/>
                <w:color w:val="auto"/>
              </w:rPr>
            </w:pPr>
          </w:p>
        </w:tc>
        <w:tc>
          <w:tcPr>
            <w:tcW w:w="180" w:type="dxa"/>
            <w:vAlign w:val="bottom"/>
            <w:tcBorders>
              <w:bottom w:val="single" w:sz="8" w:color="CCD2DB"/>
            </w:tcBorders>
            <w:shd w:val="clear" w:color="auto" w:fill="CCD2DB"/>
          </w:tcPr>
          <w:p>
            <w:pPr>
              <w:spacing w:after="0"/>
              <w:rPr>
                <w:sz w:val="20"/>
                <w:szCs w:val="20"/>
                <w:color w:val="auto"/>
              </w:rPr>
            </w:pPr>
          </w:p>
        </w:tc>
        <w:tc>
          <w:tcPr>
            <w:tcW w:w="580" w:type="dxa"/>
            <w:vAlign w:val="bottom"/>
            <w:tcBorders>
              <w:bottom w:val="single" w:sz="8" w:color="CCD2DB"/>
            </w:tcBorders>
            <w:shd w:val="clear" w:color="auto" w:fill="CCD2DB"/>
          </w:tcPr>
          <w:p>
            <w:pPr>
              <w:spacing w:after="0"/>
              <w:rPr>
                <w:sz w:val="20"/>
                <w:szCs w:val="20"/>
                <w:color w:val="auto"/>
              </w:rPr>
            </w:pPr>
          </w:p>
        </w:tc>
        <w:tc>
          <w:tcPr>
            <w:tcW w:w="160" w:type="dxa"/>
            <w:vAlign w:val="bottom"/>
            <w:tcBorders>
              <w:bottom w:val="single" w:sz="8" w:color="CCD2DB"/>
            </w:tcBorders>
            <w:shd w:val="clear" w:color="auto" w:fill="CCD2DB"/>
          </w:tcPr>
          <w:p>
            <w:pPr>
              <w:spacing w:after="0"/>
              <w:rPr>
                <w:sz w:val="20"/>
                <w:szCs w:val="20"/>
                <w:color w:val="auto"/>
              </w:rPr>
            </w:pPr>
          </w:p>
        </w:tc>
        <w:tc>
          <w:tcPr>
            <w:tcW w:w="500" w:type="dxa"/>
            <w:vAlign w:val="bottom"/>
            <w:tcBorders>
              <w:bottom w:val="single" w:sz="8" w:color="CCD2DB"/>
            </w:tcBorders>
            <w:shd w:val="clear" w:color="auto" w:fill="CCD2DB"/>
          </w:tcPr>
          <w:p>
            <w:pPr>
              <w:spacing w:after="0"/>
              <w:rPr>
                <w:sz w:val="20"/>
                <w:szCs w:val="20"/>
                <w:color w:val="auto"/>
              </w:rPr>
            </w:pPr>
          </w:p>
        </w:tc>
        <w:tc>
          <w:tcPr>
            <w:tcW w:w="180" w:type="dxa"/>
            <w:vAlign w:val="bottom"/>
            <w:tcBorders>
              <w:bottom w:val="single" w:sz="8" w:color="CCD2DB"/>
            </w:tcBorders>
            <w:shd w:val="clear" w:color="auto" w:fill="CCD2DB"/>
          </w:tcPr>
          <w:p>
            <w:pPr>
              <w:spacing w:after="0"/>
              <w:rPr>
                <w:sz w:val="20"/>
                <w:szCs w:val="20"/>
                <w:color w:val="auto"/>
              </w:rPr>
            </w:pPr>
          </w:p>
        </w:tc>
        <w:tc>
          <w:tcPr>
            <w:tcW w:w="560" w:type="dxa"/>
            <w:vAlign w:val="bottom"/>
            <w:tcBorders>
              <w:bottom w:val="single" w:sz="8" w:color="CCD2DB"/>
            </w:tcBorders>
            <w:shd w:val="clear" w:color="auto" w:fill="CCD2DB"/>
          </w:tcPr>
          <w:p>
            <w:pPr>
              <w:spacing w:after="0"/>
              <w:rPr>
                <w:sz w:val="20"/>
                <w:szCs w:val="20"/>
                <w:color w:val="auto"/>
              </w:rPr>
            </w:pPr>
          </w:p>
        </w:tc>
        <w:tc>
          <w:tcPr>
            <w:tcW w:w="160" w:type="dxa"/>
            <w:vAlign w:val="bottom"/>
            <w:tcBorders>
              <w:bottom w:val="single" w:sz="8" w:color="CCD2DB"/>
            </w:tcBorders>
            <w:shd w:val="clear" w:color="auto" w:fill="CCD2DB"/>
          </w:tcPr>
          <w:p>
            <w:pPr>
              <w:spacing w:after="0"/>
              <w:rPr>
                <w:sz w:val="20"/>
                <w:szCs w:val="20"/>
                <w:color w:val="auto"/>
              </w:rPr>
            </w:pPr>
          </w:p>
        </w:tc>
        <w:tc>
          <w:tcPr>
            <w:tcW w:w="540" w:type="dxa"/>
            <w:vAlign w:val="bottom"/>
            <w:tcBorders>
              <w:bottom w:val="single" w:sz="8" w:color="CCD2DB"/>
            </w:tcBorders>
            <w:shd w:val="clear" w:color="auto" w:fill="CCD2DB"/>
          </w:tcPr>
          <w:p>
            <w:pPr>
              <w:spacing w:after="0"/>
              <w:rPr>
                <w:sz w:val="20"/>
                <w:szCs w:val="20"/>
                <w:color w:val="auto"/>
              </w:rPr>
            </w:pPr>
          </w:p>
        </w:tc>
        <w:tc>
          <w:tcPr>
            <w:tcW w:w="180" w:type="dxa"/>
            <w:vAlign w:val="bottom"/>
            <w:tcBorders>
              <w:bottom w:val="single" w:sz="8" w:color="CCD2DB"/>
            </w:tcBorders>
            <w:shd w:val="clear" w:color="auto" w:fill="CCD2DB"/>
          </w:tcPr>
          <w:p>
            <w:pPr>
              <w:spacing w:after="0"/>
              <w:rPr>
                <w:sz w:val="20"/>
                <w:szCs w:val="20"/>
                <w:color w:val="auto"/>
              </w:rPr>
            </w:pPr>
          </w:p>
        </w:tc>
        <w:tc>
          <w:tcPr>
            <w:tcW w:w="620" w:type="dxa"/>
            <w:vAlign w:val="bottom"/>
            <w:tcBorders>
              <w:bottom w:val="single" w:sz="8" w:color="CCD2DB"/>
            </w:tcBorders>
            <w:shd w:val="clear" w:color="auto" w:fill="CCD2DB"/>
          </w:tcPr>
          <w:p>
            <w:pPr>
              <w:spacing w:after="0"/>
              <w:rPr>
                <w:sz w:val="20"/>
                <w:szCs w:val="20"/>
                <w:color w:val="auto"/>
              </w:rPr>
            </w:pPr>
          </w:p>
        </w:tc>
        <w:tc>
          <w:tcPr>
            <w:tcW w:w="160" w:type="dxa"/>
            <w:vAlign w:val="bottom"/>
            <w:tcBorders>
              <w:bottom w:val="single" w:sz="8" w:color="CCD2DB"/>
            </w:tcBorders>
            <w:shd w:val="clear" w:color="auto" w:fill="CCD2DB"/>
          </w:tcPr>
          <w:p>
            <w:pPr>
              <w:spacing w:after="0"/>
              <w:rPr>
                <w:sz w:val="20"/>
                <w:szCs w:val="20"/>
                <w:color w:val="auto"/>
              </w:rPr>
            </w:pPr>
          </w:p>
        </w:tc>
        <w:tc>
          <w:tcPr>
            <w:tcW w:w="100" w:type="dxa"/>
            <w:vAlign w:val="bottom"/>
            <w:tcBorders>
              <w:bottom w:val="single" w:sz="8" w:color="CCD2DB"/>
            </w:tcBorders>
            <w:shd w:val="clear" w:color="auto" w:fill="CCD2DB"/>
          </w:tcPr>
          <w:p>
            <w:pPr>
              <w:spacing w:after="0"/>
              <w:rPr>
                <w:sz w:val="20"/>
                <w:szCs w:val="20"/>
                <w:color w:val="auto"/>
              </w:rPr>
            </w:pPr>
          </w:p>
        </w:tc>
        <w:tc>
          <w:tcPr>
            <w:tcW w:w="440" w:type="dxa"/>
            <w:vAlign w:val="bottom"/>
            <w:tcBorders>
              <w:bottom w:val="single" w:sz="8" w:color="CCD2DB"/>
            </w:tcBorders>
            <w:shd w:val="clear" w:color="auto" w:fill="CCD2DB"/>
          </w:tcPr>
          <w:p>
            <w:pPr>
              <w:spacing w:after="0"/>
              <w:rPr>
                <w:sz w:val="20"/>
                <w:szCs w:val="20"/>
                <w:color w:val="auto"/>
              </w:rPr>
            </w:pPr>
          </w:p>
        </w:tc>
        <w:tc>
          <w:tcPr>
            <w:tcW w:w="160" w:type="dxa"/>
            <w:vAlign w:val="bottom"/>
            <w:tcBorders>
              <w:bottom w:val="single" w:sz="8" w:color="CCD2DB"/>
            </w:tcBorders>
            <w:shd w:val="clear" w:color="auto" w:fill="CCD2DB"/>
          </w:tcPr>
          <w:p>
            <w:pPr>
              <w:spacing w:after="0"/>
              <w:rPr>
                <w:sz w:val="20"/>
                <w:szCs w:val="20"/>
                <w:color w:val="auto"/>
              </w:rPr>
            </w:pPr>
          </w:p>
        </w:tc>
        <w:tc>
          <w:tcPr>
            <w:tcW w:w="120" w:type="dxa"/>
            <w:vAlign w:val="bottom"/>
            <w:tcBorders>
              <w:bottom w:val="single" w:sz="8" w:color="CCD2DB"/>
            </w:tcBorders>
            <w:shd w:val="clear" w:color="auto" w:fill="CCD2DB"/>
          </w:tcPr>
          <w:p>
            <w:pPr>
              <w:spacing w:after="0"/>
              <w:rPr>
                <w:sz w:val="20"/>
                <w:szCs w:val="20"/>
                <w:color w:val="auto"/>
              </w:rPr>
            </w:pPr>
          </w:p>
        </w:tc>
        <w:tc>
          <w:tcPr>
            <w:tcW w:w="500" w:type="dxa"/>
            <w:vAlign w:val="bottom"/>
            <w:tcBorders>
              <w:bottom w:val="single" w:sz="8" w:color="CCD2DB"/>
            </w:tcBorders>
            <w:shd w:val="clear" w:color="auto" w:fill="CCD2DB"/>
          </w:tcPr>
          <w:p>
            <w:pPr>
              <w:spacing w:after="0"/>
              <w:rPr>
                <w:sz w:val="20"/>
                <w:szCs w:val="20"/>
                <w:color w:val="auto"/>
              </w:rPr>
            </w:pPr>
          </w:p>
        </w:tc>
        <w:tc>
          <w:tcPr>
            <w:tcW w:w="160" w:type="dxa"/>
            <w:vAlign w:val="bottom"/>
            <w:tcBorders>
              <w:bottom w:val="single" w:sz="8" w:color="CCD2DB"/>
            </w:tcBorders>
            <w:shd w:val="clear" w:color="auto" w:fill="CCD2DB"/>
          </w:tcPr>
          <w:p>
            <w:pPr>
              <w:spacing w:after="0"/>
              <w:rPr>
                <w:sz w:val="20"/>
                <w:szCs w:val="20"/>
                <w:color w:val="auto"/>
              </w:rPr>
            </w:pPr>
          </w:p>
        </w:tc>
        <w:tc>
          <w:tcPr>
            <w:tcW w:w="100" w:type="dxa"/>
            <w:vAlign w:val="bottom"/>
            <w:tcBorders>
              <w:bottom w:val="single" w:sz="8" w:color="CCD2DB"/>
            </w:tcBorders>
            <w:shd w:val="clear" w:color="auto" w:fill="CCD2DB"/>
          </w:tcPr>
          <w:p>
            <w:pPr>
              <w:spacing w:after="0"/>
              <w:rPr>
                <w:sz w:val="20"/>
                <w:szCs w:val="20"/>
                <w:color w:val="auto"/>
              </w:rPr>
            </w:pPr>
          </w:p>
        </w:tc>
        <w:tc>
          <w:tcPr>
            <w:tcW w:w="660" w:type="dxa"/>
            <w:vAlign w:val="bottom"/>
            <w:tcBorders>
              <w:bottom w:val="single" w:sz="8" w:color="CCD2DB"/>
            </w:tcBorders>
            <w:shd w:val="clear" w:color="auto" w:fill="CCD2DB"/>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160" w:type="dxa"/>
            <w:vAlign w:val="bottom"/>
            <w:shd w:val="clear" w:color="auto" w:fill="CCD2DB"/>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160" w:type="dxa"/>
            <w:vAlign w:val="bottom"/>
            <w:shd w:val="clear" w:color="auto" w:fill="CCD2DB"/>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c>
          <w:tcPr>
            <w:tcW w:w="180" w:type="dxa"/>
            <w:vAlign w:val="bottom"/>
            <w:shd w:val="clear" w:color="auto" w:fill="CCD2DB"/>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c>
          <w:tcPr>
            <w:tcW w:w="180" w:type="dxa"/>
            <w:vAlign w:val="bottom"/>
            <w:shd w:val="clear" w:color="auto" w:fill="CCD2DB"/>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c>
          <w:tcPr>
            <w:tcW w:w="180" w:type="dxa"/>
            <w:vAlign w:val="bottom"/>
            <w:shd w:val="clear" w:color="auto" w:fill="CCD2DB"/>
          </w:tcPr>
          <w:p>
            <w:pPr>
              <w:spacing w:after="0" w:line="20" w:lineRule="exact"/>
              <w:rPr>
                <w:sz w:val="1"/>
                <w:szCs w:val="1"/>
                <w:color w:val="auto"/>
              </w:rPr>
            </w:pPr>
          </w:p>
        </w:tc>
        <w:tc>
          <w:tcPr>
            <w:tcW w:w="580" w:type="dxa"/>
            <w:vAlign w:val="bottom"/>
            <w:shd w:val="clear" w:color="auto" w:fill="98A3B8"/>
          </w:tcPr>
          <w:p>
            <w:pPr>
              <w:spacing w:after="0" w:line="20" w:lineRule="exact"/>
              <w:rPr>
                <w:sz w:val="1"/>
                <w:szCs w:val="1"/>
                <w:color w:val="auto"/>
              </w:rPr>
            </w:pPr>
          </w:p>
        </w:tc>
        <w:tc>
          <w:tcPr>
            <w:tcW w:w="160" w:type="dxa"/>
            <w:vAlign w:val="bottom"/>
            <w:shd w:val="clear" w:color="auto" w:fill="CCD2DB"/>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180" w:type="dxa"/>
            <w:vAlign w:val="bottom"/>
            <w:shd w:val="clear" w:color="auto" w:fill="CCD2DB"/>
          </w:tcPr>
          <w:p>
            <w:pPr>
              <w:spacing w:after="0" w:line="20" w:lineRule="exact"/>
              <w:rPr>
                <w:sz w:val="1"/>
                <w:szCs w:val="1"/>
                <w:color w:val="auto"/>
              </w:rPr>
            </w:pPr>
          </w:p>
        </w:tc>
        <w:tc>
          <w:tcPr>
            <w:tcW w:w="560" w:type="dxa"/>
            <w:vAlign w:val="bottom"/>
            <w:shd w:val="clear" w:color="auto" w:fill="98A3B8"/>
          </w:tcPr>
          <w:p>
            <w:pPr>
              <w:spacing w:after="0" w:line="20" w:lineRule="exact"/>
              <w:rPr>
                <w:sz w:val="1"/>
                <w:szCs w:val="1"/>
                <w:color w:val="auto"/>
              </w:rPr>
            </w:pPr>
          </w:p>
        </w:tc>
        <w:tc>
          <w:tcPr>
            <w:tcW w:w="160" w:type="dxa"/>
            <w:vAlign w:val="bottom"/>
            <w:shd w:val="clear" w:color="auto" w:fill="CCD2DB"/>
          </w:tcPr>
          <w:p>
            <w:pPr>
              <w:spacing w:after="0" w:line="20" w:lineRule="exact"/>
              <w:rPr>
                <w:sz w:val="1"/>
                <w:szCs w:val="1"/>
                <w:color w:val="auto"/>
              </w:rPr>
            </w:pPr>
          </w:p>
        </w:tc>
        <w:tc>
          <w:tcPr>
            <w:tcW w:w="540" w:type="dxa"/>
            <w:vAlign w:val="bottom"/>
            <w:shd w:val="clear" w:color="auto" w:fill="98A3B8"/>
          </w:tcPr>
          <w:p>
            <w:pPr>
              <w:spacing w:after="0" w:line="20" w:lineRule="exact"/>
              <w:rPr>
                <w:sz w:val="1"/>
                <w:szCs w:val="1"/>
                <w:color w:val="auto"/>
              </w:rPr>
            </w:pPr>
          </w:p>
        </w:tc>
        <w:tc>
          <w:tcPr>
            <w:tcW w:w="180" w:type="dxa"/>
            <w:vAlign w:val="bottom"/>
            <w:shd w:val="clear" w:color="auto" w:fill="CCD2DB"/>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160" w:type="dxa"/>
            <w:vAlign w:val="bottom"/>
            <w:shd w:val="clear" w:color="auto" w:fill="CCD2DB"/>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440" w:type="dxa"/>
            <w:vAlign w:val="bottom"/>
            <w:shd w:val="clear" w:color="auto" w:fill="98A3B8"/>
          </w:tcPr>
          <w:p>
            <w:pPr>
              <w:spacing w:after="0" w:line="20" w:lineRule="exact"/>
              <w:rPr>
                <w:sz w:val="1"/>
                <w:szCs w:val="1"/>
                <w:color w:val="auto"/>
              </w:rPr>
            </w:pPr>
          </w:p>
        </w:tc>
        <w:tc>
          <w:tcPr>
            <w:tcW w:w="160" w:type="dxa"/>
            <w:vAlign w:val="bottom"/>
            <w:shd w:val="clear" w:color="auto" w:fill="CCD2DB"/>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160" w:type="dxa"/>
            <w:vAlign w:val="bottom"/>
            <w:shd w:val="clear" w:color="auto" w:fill="CCD2DB"/>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660" w:type="dxa"/>
            <w:vAlign w:val="bottom"/>
            <w:shd w:val="clear" w:color="auto" w:fill="98A3B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720" w:type="dxa"/>
            <w:vAlign w:val="bottom"/>
          </w:tcPr>
          <w:p>
            <w:pPr>
              <w:spacing w:after="0"/>
              <w:rPr>
                <w:sz w:val="20"/>
                <w:szCs w:val="20"/>
                <w:color w:val="auto"/>
              </w:rPr>
            </w:pPr>
            <w:r>
              <w:rPr>
                <w:rFonts w:ascii="Arial" w:cs="Arial" w:eastAsia="Arial" w:hAnsi="Arial"/>
                <w:sz w:val="12"/>
                <w:szCs w:val="12"/>
                <w:color w:val="auto"/>
              </w:rPr>
              <w:t>Andrew S.</w:t>
            </w:r>
          </w:p>
        </w:tc>
        <w:tc>
          <w:tcPr>
            <w:tcW w:w="160" w:type="dxa"/>
            <w:vAlign w:val="bottom"/>
          </w:tcPr>
          <w:p>
            <w:pPr>
              <w:spacing w:after="0"/>
              <w:rPr>
                <w:sz w:val="20"/>
                <w:szCs w:val="20"/>
                <w:color w:val="auto"/>
              </w:rPr>
            </w:pPr>
          </w:p>
        </w:tc>
        <w:tc>
          <w:tcPr>
            <w:tcW w:w="620" w:type="dxa"/>
            <w:vAlign w:val="bottom"/>
            <w:shd w:val="clear" w:color="auto" w:fill="CCD2DB"/>
          </w:tcPr>
          <w:p>
            <w:pPr>
              <w:jc w:val="right"/>
              <w:spacing w:after="0"/>
              <w:rPr>
                <w:sz w:val="20"/>
                <w:szCs w:val="20"/>
                <w:color w:val="auto"/>
              </w:rPr>
            </w:pPr>
            <w:r>
              <w:rPr>
                <w:rFonts w:ascii="Arial" w:cs="Arial" w:eastAsia="Arial" w:hAnsi="Arial"/>
                <w:sz w:val="12"/>
                <w:szCs w:val="12"/>
                <w:color w:val="auto"/>
                <w:w w:val="99"/>
              </w:rPr>
              <w:t>01/12/2016</w:t>
            </w:r>
          </w:p>
        </w:tc>
        <w:tc>
          <w:tcPr>
            <w:tcW w:w="160" w:type="dxa"/>
            <w:vAlign w:val="bottom"/>
            <w:shd w:val="clear" w:color="auto" w:fill="CCD2DB"/>
          </w:tcPr>
          <w:p>
            <w:pPr>
              <w:spacing w:after="0"/>
              <w:rPr>
                <w:sz w:val="20"/>
                <w:szCs w:val="20"/>
                <w:color w:val="auto"/>
              </w:rPr>
            </w:pPr>
          </w:p>
        </w:tc>
        <w:tc>
          <w:tcPr>
            <w:tcW w:w="620" w:type="dxa"/>
            <w:vAlign w:val="bottom"/>
            <w:shd w:val="clear" w:color="auto" w:fill="CCD2DB"/>
          </w:tcPr>
          <w:p>
            <w:pPr>
              <w:jc w:val="right"/>
              <w:spacing w:after="0"/>
              <w:rPr>
                <w:sz w:val="20"/>
                <w:szCs w:val="20"/>
                <w:color w:val="auto"/>
              </w:rPr>
            </w:pPr>
            <w:r>
              <w:rPr>
                <w:rFonts w:ascii="Arial" w:cs="Arial" w:eastAsia="Arial" w:hAnsi="Arial"/>
                <w:sz w:val="12"/>
                <w:szCs w:val="12"/>
                <w:color w:val="auto"/>
                <w:w w:val="99"/>
              </w:rPr>
              <w:t>01/12/2016</w:t>
            </w:r>
          </w:p>
        </w:tc>
        <w:tc>
          <w:tcPr>
            <w:tcW w:w="160" w:type="dxa"/>
            <w:vAlign w:val="bottom"/>
            <w:shd w:val="clear" w:color="auto" w:fill="CCD2DB"/>
          </w:tcPr>
          <w:p>
            <w:pPr>
              <w:spacing w:after="0"/>
              <w:rPr>
                <w:sz w:val="20"/>
                <w:szCs w:val="20"/>
                <w:color w:val="auto"/>
              </w:rPr>
            </w:pPr>
          </w:p>
        </w:tc>
        <w:tc>
          <w:tcPr>
            <w:tcW w:w="140" w:type="dxa"/>
            <w:vAlign w:val="bottom"/>
            <w:shd w:val="clear" w:color="auto" w:fill="CCD2DB"/>
          </w:tcPr>
          <w:p>
            <w:pPr>
              <w:spacing w:after="0"/>
              <w:rPr>
                <w:sz w:val="20"/>
                <w:szCs w:val="20"/>
                <w:color w:val="auto"/>
              </w:rPr>
            </w:pPr>
          </w:p>
        </w:tc>
        <w:tc>
          <w:tcPr>
            <w:tcW w:w="920" w:type="dxa"/>
            <w:vAlign w:val="bottom"/>
            <w:gridSpan w:val="2"/>
            <w:shd w:val="clear" w:color="auto" w:fill="CCD2DB"/>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D2DB"/>
          </w:tcPr>
          <w:p>
            <w:pPr>
              <w:spacing w:after="0"/>
              <w:rPr>
                <w:sz w:val="20"/>
                <w:szCs w:val="20"/>
                <w:color w:val="auto"/>
              </w:rPr>
            </w:pPr>
          </w:p>
        </w:tc>
        <w:tc>
          <w:tcPr>
            <w:tcW w:w="920" w:type="dxa"/>
            <w:vAlign w:val="bottom"/>
            <w:gridSpan w:val="2"/>
            <w:shd w:val="clear" w:color="auto" w:fill="CCD2DB"/>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D2DB"/>
          </w:tcPr>
          <w:p>
            <w:pPr>
              <w:spacing w:after="0"/>
              <w:rPr>
                <w:sz w:val="20"/>
                <w:szCs w:val="20"/>
                <w:color w:val="auto"/>
              </w:rPr>
            </w:pPr>
          </w:p>
        </w:tc>
        <w:tc>
          <w:tcPr>
            <w:tcW w:w="920" w:type="dxa"/>
            <w:vAlign w:val="bottom"/>
            <w:gridSpan w:val="2"/>
            <w:shd w:val="clear" w:color="auto" w:fill="CCD2DB"/>
          </w:tcPr>
          <w:p>
            <w:pPr>
              <w:jc w:val="right"/>
              <w:ind w:right="18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D2DB"/>
          </w:tcPr>
          <w:p>
            <w:pPr>
              <w:jc w:val="right"/>
              <w:ind w:right="16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D2DB"/>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D2DB"/>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D2DB"/>
          </w:tcPr>
          <w:p>
            <w:pPr>
              <w:jc w:val="right"/>
              <w:ind w:right="180"/>
              <w:spacing w:after="0"/>
              <w:rPr>
                <w:sz w:val="20"/>
                <w:szCs w:val="20"/>
                <w:color w:val="auto"/>
              </w:rPr>
            </w:pPr>
            <w:r>
              <w:rPr>
                <w:rFonts w:ascii="Arial" w:cs="Arial" w:eastAsia="Arial" w:hAnsi="Arial"/>
                <w:sz w:val="12"/>
                <w:szCs w:val="12"/>
                <w:color w:val="auto"/>
                <w:w w:val="99"/>
              </w:rPr>
              <w:t>10,505</w:t>
            </w:r>
            <w:r>
              <w:rPr>
                <w:rFonts w:ascii="Arial" w:cs="Arial" w:eastAsia="Arial" w:hAnsi="Arial"/>
                <w:sz w:val="19"/>
                <w:szCs w:val="19"/>
                <w:color w:val="auto"/>
                <w:w w:val="99"/>
                <w:vertAlign w:val="superscript"/>
              </w:rPr>
              <w:t>(1)</w:t>
            </w:r>
          </w:p>
        </w:tc>
        <w:tc>
          <w:tcPr>
            <w:tcW w:w="780" w:type="dxa"/>
            <w:vAlign w:val="bottom"/>
            <w:gridSpan w:val="2"/>
            <w:shd w:val="clear" w:color="auto" w:fill="CCD2DB"/>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D2DB"/>
          </w:tcPr>
          <w:p>
            <w:pPr>
              <w:spacing w:after="0"/>
              <w:rPr>
                <w:sz w:val="20"/>
                <w:szCs w:val="20"/>
                <w:color w:val="auto"/>
              </w:rPr>
            </w:pPr>
          </w:p>
        </w:tc>
        <w:tc>
          <w:tcPr>
            <w:tcW w:w="600" w:type="dxa"/>
            <w:vAlign w:val="bottom"/>
            <w:gridSpan w:val="2"/>
            <w:shd w:val="clear" w:color="auto" w:fill="CCD2DB"/>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D2DB"/>
          </w:tcPr>
          <w:p>
            <w:pPr>
              <w:spacing w:after="0"/>
              <w:rPr>
                <w:sz w:val="20"/>
                <w:szCs w:val="20"/>
                <w:color w:val="auto"/>
              </w:rPr>
            </w:pPr>
          </w:p>
        </w:tc>
        <w:tc>
          <w:tcPr>
            <w:tcW w:w="500" w:type="dxa"/>
            <w:vAlign w:val="bottom"/>
            <w:shd w:val="clear" w:color="auto" w:fill="CCD2DB"/>
          </w:tcPr>
          <w:p>
            <w:pPr>
              <w:spacing w:after="0"/>
              <w:rPr>
                <w:sz w:val="20"/>
                <w:szCs w:val="20"/>
                <w:color w:val="auto"/>
              </w:rPr>
            </w:pPr>
          </w:p>
        </w:tc>
        <w:tc>
          <w:tcPr>
            <w:tcW w:w="160" w:type="dxa"/>
            <w:vAlign w:val="bottom"/>
            <w:shd w:val="clear" w:color="auto" w:fill="CCD2DB"/>
          </w:tcPr>
          <w:p>
            <w:pPr>
              <w:spacing w:after="0"/>
              <w:rPr>
                <w:sz w:val="20"/>
                <w:szCs w:val="20"/>
                <w:color w:val="auto"/>
              </w:rPr>
            </w:pPr>
          </w:p>
        </w:tc>
        <w:tc>
          <w:tcPr>
            <w:tcW w:w="100" w:type="dxa"/>
            <w:vAlign w:val="bottom"/>
            <w:shd w:val="clear" w:color="auto" w:fill="CCD2DB"/>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shd w:val="clear" w:color="auto" w:fill="CCD2DB"/>
          </w:tcPr>
          <w:p>
            <w:pPr>
              <w:jc w:val="right"/>
              <w:spacing w:after="0"/>
              <w:rPr>
                <w:sz w:val="20"/>
                <w:szCs w:val="20"/>
                <w:color w:val="auto"/>
              </w:rPr>
            </w:pPr>
            <w:r>
              <w:rPr>
                <w:rFonts w:ascii="Arial" w:cs="Arial" w:eastAsia="Arial" w:hAnsi="Arial"/>
                <w:sz w:val="12"/>
                <w:szCs w:val="12"/>
                <w:color w:val="auto"/>
              </w:rPr>
              <w:t>879,983</w:t>
            </w:r>
          </w:p>
        </w:tc>
        <w:tc>
          <w:tcPr>
            <w:tcW w:w="0" w:type="dxa"/>
            <w:vAlign w:val="bottom"/>
          </w:tcPr>
          <w:p>
            <w:pPr>
              <w:spacing w:after="0"/>
              <w:rPr>
                <w:sz w:val="1"/>
                <w:szCs w:val="1"/>
                <w:color w:val="auto"/>
              </w:rPr>
            </w:pPr>
          </w:p>
        </w:tc>
      </w:tr>
      <w:tr>
        <w:trPr>
          <w:trHeight w:val="24"/>
        </w:trPr>
        <w:tc>
          <w:tcPr>
            <w:tcW w:w="880" w:type="dxa"/>
            <w:vAlign w:val="bottom"/>
            <w:gridSpan w:val="2"/>
            <w:vMerge w:val="restart"/>
          </w:tcPr>
          <w:p>
            <w:pPr>
              <w:spacing w:after="0"/>
              <w:rPr>
                <w:sz w:val="20"/>
                <w:szCs w:val="20"/>
                <w:color w:val="auto"/>
              </w:rPr>
            </w:pPr>
            <w:r>
              <w:rPr>
                <w:rFonts w:ascii="Arial" w:cs="Arial" w:eastAsia="Arial" w:hAnsi="Arial"/>
                <w:sz w:val="12"/>
                <w:szCs w:val="12"/>
                <w:color w:val="auto"/>
              </w:rPr>
              <w:t>Levine</w:t>
            </w:r>
          </w:p>
        </w:tc>
        <w:tc>
          <w:tcPr>
            <w:tcW w:w="620" w:type="dxa"/>
            <w:vAlign w:val="bottom"/>
            <w:shd w:val="clear" w:color="auto" w:fill="98A3B8"/>
          </w:tcPr>
          <w:p>
            <w:pPr>
              <w:spacing w:after="0"/>
              <w:rPr>
                <w:sz w:val="2"/>
                <w:szCs w:val="2"/>
                <w:color w:val="auto"/>
              </w:rPr>
            </w:pPr>
          </w:p>
        </w:tc>
        <w:tc>
          <w:tcPr>
            <w:tcW w:w="160" w:type="dxa"/>
            <w:vAlign w:val="bottom"/>
            <w:shd w:val="clear" w:color="auto" w:fill="CCD2DB"/>
          </w:tcPr>
          <w:p>
            <w:pPr>
              <w:spacing w:after="0"/>
              <w:rPr>
                <w:sz w:val="2"/>
                <w:szCs w:val="2"/>
                <w:color w:val="auto"/>
              </w:rPr>
            </w:pPr>
          </w:p>
        </w:tc>
        <w:tc>
          <w:tcPr>
            <w:tcW w:w="620" w:type="dxa"/>
            <w:vAlign w:val="bottom"/>
            <w:shd w:val="clear" w:color="auto" w:fill="98A3B8"/>
          </w:tcPr>
          <w:p>
            <w:pPr>
              <w:spacing w:after="0"/>
              <w:rPr>
                <w:sz w:val="2"/>
                <w:szCs w:val="2"/>
                <w:color w:val="auto"/>
              </w:rPr>
            </w:pPr>
          </w:p>
        </w:tc>
        <w:tc>
          <w:tcPr>
            <w:tcW w:w="160" w:type="dxa"/>
            <w:vAlign w:val="bottom"/>
            <w:shd w:val="clear" w:color="auto" w:fill="CCD2DB"/>
          </w:tcPr>
          <w:p>
            <w:pPr>
              <w:spacing w:after="0"/>
              <w:rPr>
                <w:sz w:val="2"/>
                <w:szCs w:val="2"/>
                <w:color w:val="auto"/>
              </w:rPr>
            </w:pPr>
          </w:p>
        </w:tc>
        <w:tc>
          <w:tcPr>
            <w:tcW w:w="140" w:type="dxa"/>
            <w:vAlign w:val="bottom"/>
            <w:shd w:val="clear" w:color="auto" w:fill="98A3B8"/>
          </w:tcPr>
          <w:p>
            <w:pPr>
              <w:spacing w:after="0"/>
              <w:rPr>
                <w:sz w:val="2"/>
                <w:szCs w:val="2"/>
                <w:color w:val="auto"/>
              </w:rPr>
            </w:pPr>
          </w:p>
        </w:tc>
        <w:tc>
          <w:tcPr>
            <w:tcW w:w="740" w:type="dxa"/>
            <w:vAlign w:val="bottom"/>
            <w:shd w:val="clear" w:color="auto" w:fill="98A3B8"/>
          </w:tcPr>
          <w:p>
            <w:pPr>
              <w:spacing w:after="0"/>
              <w:rPr>
                <w:sz w:val="2"/>
                <w:szCs w:val="2"/>
                <w:color w:val="auto"/>
              </w:rPr>
            </w:pPr>
          </w:p>
        </w:tc>
        <w:tc>
          <w:tcPr>
            <w:tcW w:w="180" w:type="dxa"/>
            <w:vAlign w:val="bottom"/>
            <w:shd w:val="clear" w:color="auto" w:fill="CCD2DB"/>
          </w:tcPr>
          <w:p>
            <w:pPr>
              <w:spacing w:after="0"/>
              <w:rPr>
                <w:sz w:val="2"/>
                <w:szCs w:val="2"/>
                <w:color w:val="auto"/>
              </w:rPr>
            </w:pPr>
          </w:p>
        </w:tc>
        <w:tc>
          <w:tcPr>
            <w:tcW w:w="140" w:type="dxa"/>
            <w:vAlign w:val="bottom"/>
            <w:shd w:val="clear" w:color="auto" w:fill="98A3B8"/>
          </w:tcPr>
          <w:p>
            <w:pPr>
              <w:spacing w:after="0"/>
              <w:rPr>
                <w:sz w:val="2"/>
                <w:szCs w:val="2"/>
                <w:color w:val="auto"/>
              </w:rPr>
            </w:pPr>
          </w:p>
        </w:tc>
        <w:tc>
          <w:tcPr>
            <w:tcW w:w="740" w:type="dxa"/>
            <w:vAlign w:val="bottom"/>
            <w:shd w:val="clear" w:color="auto" w:fill="98A3B8"/>
          </w:tcPr>
          <w:p>
            <w:pPr>
              <w:spacing w:after="0"/>
              <w:rPr>
                <w:sz w:val="2"/>
                <w:szCs w:val="2"/>
                <w:color w:val="auto"/>
              </w:rPr>
            </w:pPr>
          </w:p>
        </w:tc>
        <w:tc>
          <w:tcPr>
            <w:tcW w:w="180" w:type="dxa"/>
            <w:vAlign w:val="bottom"/>
            <w:shd w:val="clear" w:color="auto" w:fill="CCD2DB"/>
          </w:tcPr>
          <w:p>
            <w:pPr>
              <w:spacing w:after="0"/>
              <w:rPr>
                <w:sz w:val="2"/>
                <w:szCs w:val="2"/>
                <w:color w:val="auto"/>
              </w:rPr>
            </w:pPr>
          </w:p>
        </w:tc>
        <w:tc>
          <w:tcPr>
            <w:tcW w:w="160" w:type="dxa"/>
            <w:vAlign w:val="bottom"/>
            <w:shd w:val="clear" w:color="auto" w:fill="98A3B8"/>
          </w:tcPr>
          <w:p>
            <w:pPr>
              <w:spacing w:after="0"/>
              <w:rPr>
                <w:sz w:val="2"/>
                <w:szCs w:val="2"/>
                <w:color w:val="auto"/>
              </w:rPr>
            </w:pPr>
          </w:p>
        </w:tc>
        <w:tc>
          <w:tcPr>
            <w:tcW w:w="740" w:type="dxa"/>
            <w:vAlign w:val="bottom"/>
            <w:shd w:val="clear" w:color="auto" w:fill="98A3B8"/>
          </w:tcPr>
          <w:p>
            <w:pPr>
              <w:spacing w:after="0"/>
              <w:rPr>
                <w:sz w:val="2"/>
                <w:szCs w:val="2"/>
                <w:color w:val="auto"/>
              </w:rPr>
            </w:pPr>
          </w:p>
        </w:tc>
        <w:tc>
          <w:tcPr>
            <w:tcW w:w="180" w:type="dxa"/>
            <w:vAlign w:val="bottom"/>
            <w:shd w:val="clear" w:color="auto" w:fill="CCD2DB"/>
          </w:tcPr>
          <w:p>
            <w:pPr>
              <w:spacing w:after="0"/>
              <w:rPr>
                <w:sz w:val="2"/>
                <w:szCs w:val="2"/>
                <w:color w:val="auto"/>
              </w:rPr>
            </w:pPr>
          </w:p>
        </w:tc>
        <w:tc>
          <w:tcPr>
            <w:tcW w:w="580" w:type="dxa"/>
            <w:vAlign w:val="bottom"/>
            <w:shd w:val="clear" w:color="auto" w:fill="98A3B8"/>
          </w:tcPr>
          <w:p>
            <w:pPr>
              <w:spacing w:after="0"/>
              <w:rPr>
                <w:sz w:val="2"/>
                <w:szCs w:val="2"/>
                <w:color w:val="auto"/>
              </w:rPr>
            </w:pPr>
          </w:p>
        </w:tc>
        <w:tc>
          <w:tcPr>
            <w:tcW w:w="160" w:type="dxa"/>
            <w:vAlign w:val="bottom"/>
            <w:shd w:val="clear" w:color="auto" w:fill="CCD2DB"/>
          </w:tcPr>
          <w:p>
            <w:pPr>
              <w:spacing w:after="0"/>
              <w:rPr>
                <w:sz w:val="2"/>
                <w:szCs w:val="2"/>
                <w:color w:val="auto"/>
              </w:rPr>
            </w:pPr>
          </w:p>
        </w:tc>
        <w:tc>
          <w:tcPr>
            <w:tcW w:w="500" w:type="dxa"/>
            <w:vAlign w:val="bottom"/>
            <w:shd w:val="clear" w:color="auto" w:fill="98A3B8"/>
          </w:tcPr>
          <w:p>
            <w:pPr>
              <w:spacing w:after="0"/>
              <w:rPr>
                <w:sz w:val="2"/>
                <w:szCs w:val="2"/>
                <w:color w:val="auto"/>
              </w:rPr>
            </w:pPr>
          </w:p>
        </w:tc>
        <w:tc>
          <w:tcPr>
            <w:tcW w:w="180" w:type="dxa"/>
            <w:vAlign w:val="bottom"/>
            <w:shd w:val="clear" w:color="auto" w:fill="CCD2DB"/>
          </w:tcPr>
          <w:p>
            <w:pPr>
              <w:spacing w:after="0"/>
              <w:rPr>
                <w:sz w:val="2"/>
                <w:szCs w:val="2"/>
                <w:color w:val="auto"/>
              </w:rPr>
            </w:pPr>
          </w:p>
        </w:tc>
        <w:tc>
          <w:tcPr>
            <w:tcW w:w="560" w:type="dxa"/>
            <w:vAlign w:val="bottom"/>
            <w:shd w:val="clear" w:color="auto" w:fill="98A3B8"/>
          </w:tcPr>
          <w:p>
            <w:pPr>
              <w:spacing w:after="0"/>
              <w:rPr>
                <w:sz w:val="2"/>
                <w:szCs w:val="2"/>
                <w:color w:val="auto"/>
              </w:rPr>
            </w:pPr>
          </w:p>
        </w:tc>
        <w:tc>
          <w:tcPr>
            <w:tcW w:w="160" w:type="dxa"/>
            <w:vAlign w:val="bottom"/>
            <w:shd w:val="clear" w:color="auto" w:fill="CCD2DB"/>
          </w:tcPr>
          <w:p>
            <w:pPr>
              <w:spacing w:after="0"/>
              <w:rPr>
                <w:sz w:val="2"/>
                <w:szCs w:val="2"/>
                <w:color w:val="auto"/>
              </w:rPr>
            </w:pPr>
          </w:p>
        </w:tc>
        <w:tc>
          <w:tcPr>
            <w:tcW w:w="540" w:type="dxa"/>
            <w:vAlign w:val="bottom"/>
            <w:shd w:val="clear" w:color="auto" w:fill="98A3B8"/>
          </w:tcPr>
          <w:p>
            <w:pPr>
              <w:spacing w:after="0"/>
              <w:rPr>
                <w:sz w:val="2"/>
                <w:szCs w:val="2"/>
                <w:color w:val="auto"/>
              </w:rPr>
            </w:pPr>
          </w:p>
        </w:tc>
        <w:tc>
          <w:tcPr>
            <w:tcW w:w="180" w:type="dxa"/>
            <w:vAlign w:val="bottom"/>
            <w:shd w:val="clear" w:color="auto" w:fill="CCD2DB"/>
          </w:tcPr>
          <w:p>
            <w:pPr>
              <w:spacing w:after="0"/>
              <w:rPr>
                <w:sz w:val="2"/>
                <w:szCs w:val="2"/>
                <w:color w:val="auto"/>
              </w:rPr>
            </w:pPr>
          </w:p>
        </w:tc>
        <w:tc>
          <w:tcPr>
            <w:tcW w:w="620" w:type="dxa"/>
            <w:vAlign w:val="bottom"/>
            <w:shd w:val="clear" w:color="auto" w:fill="98A3B8"/>
          </w:tcPr>
          <w:p>
            <w:pPr>
              <w:spacing w:after="0"/>
              <w:rPr>
                <w:sz w:val="2"/>
                <w:szCs w:val="2"/>
                <w:color w:val="auto"/>
              </w:rPr>
            </w:pPr>
          </w:p>
        </w:tc>
        <w:tc>
          <w:tcPr>
            <w:tcW w:w="160" w:type="dxa"/>
            <w:vAlign w:val="bottom"/>
            <w:shd w:val="clear" w:color="auto" w:fill="CCD2DB"/>
          </w:tcPr>
          <w:p>
            <w:pPr>
              <w:spacing w:after="0"/>
              <w:rPr>
                <w:sz w:val="2"/>
                <w:szCs w:val="2"/>
                <w:color w:val="auto"/>
              </w:rPr>
            </w:pPr>
          </w:p>
        </w:tc>
        <w:tc>
          <w:tcPr>
            <w:tcW w:w="100" w:type="dxa"/>
            <w:vAlign w:val="bottom"/>
            <w:shd w:val="clear" w:color="auto" w:fill="98A3B8"/>
          </w:tcPr>
          <w:p>
            <w:pPr>
              <w:spacing w:after="0"/>
              <w:rPr>
                <w:sz w:val="2"/>
                <w:szCs w:val="2"/>
                <w:color w:val="auto"/>
              </w:rPr>
            </w:pPr>
          </w:p>
        </w:tc>
        <w:tc>
          <w:tcPr>
            <w:tcW w:w="440" w:type="dxa"/>
            <w:vAlign w:val="bottom"/>
            <w:shd w:val="clear" w:color="auto" w:fill="98A3B8"/>
          </w:tcPr>
          <w:p>
            <w:pPr>
              <w:spacing w:after="0"/>
              <w:rPr>
                <w:sz w:val="2"/>
                <w:szCs w:val="2"/>
                <w:color w:val="auto"/>
              </w:rPr>
            </w:pPr>
          </w:p>
        </w:tc>
        <w:tc>
          <w:tcPr>
            <w:tcW w:w="160" w:type="dxa"/>
            <w:vAlign w:val="bottom"/>
            <w:shd w:val="clear" w:color="auto" w:fill="CCD2DB"/>
          </w:tcPr>
          <w:p>
            <w:pPr>
              <w:spacing w:after="0"/>
              <w:rPr>
                <w:sz w:val="2"/>
                <w:szCs w:val="2"/>
                <w:color w:val="auto"/>
              </w:rPr>
            </w:pPr>
          </w:p>
        </w:tc>
        <w:tc>
          <w:tcPr>
            <w:tcW w:w="120" w:type="dxa"/>
            <w:vAlign w:val="bottom"/>
            <w:shd w:val="clear" w:color="auto" w:fill="98A3B8"/>
          </w:tcPr>
          <w:p>
            <w:pPr>
              <w:spacing w:after="0"/>
              <w:rPr>
                <w:sz w:val="2"/>
                <w:szCs w:val="2"/>
                <w:color w:val="auto"/>
              </w:rPr>
            </w:pPr>
          </w:p>
        </w:tc>
        <w:tc>
          <w:tcPr>
            <w:tcW w:w="500" w:type="dxa"/>
            <w:vAlign w:val="bottom"/>
            <w:shd w:val="clear" w:color="auto" w:fill="98A3B8"/>
          </w:tcPr>
          <w:p>
            <w:pPr>
              <w:spacing w:after="0"/>
              <w:rPr>
                <w:sz w:val="2"/>
                <w:szCs w:val="2"/>
                <w:color w:val="auto"/>
              </w:rPr>
            </w:pPr>
          </w:p>
        </w:tc>
        <w:tc>
          <w:tcPr>
            <w:tcW w:w="160" w:type="dxa"/>
            <w:vAlign w:val="bottom"/>
            <w:shd w:val="clear" w:color="auto" w:fill="CCD2DB"/>
          </w:tcPr>
          <w:p>
            <w:pPr>
              <w:spacing w:after="0"/>
              <w:rPr>
                <w:sz w:val="2"/>
                <w:szCs w:val="2"/>
                <w:color w:val="auto"/>
              </w:rPr>
            </w:pPr>
          </w:p>
        </w:tc>
        <w:tc>
          <w:tcPr>
            <w:tcW w:w="100" w:type="dxa"/>
            <w:vAlign w:val="bottom"/>
            <w:shd w:val="clear" w:color="auto" w:fill="98A3B8"/>
          </w:tcPr>
          <w:p>
            <w:pPr>
              <w:spacing w:after="0"/>
              <w:rPr>
                <w:sz w:val="2"/>
                <w:szCs w:val="2"/>
                <w:color w:val="auto"/>
              </w:rPr>
            </w:pPr>
          </w:p>
        </w:tc>
        <w:tc>
          <w:tcPr>
            <w:tcW w:w="660" w:type="dxa"/>
            <w:vAlign w:val="bottom"/>
            <w:shd w:val="clear" w:color="auto" w:fill="98A3B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880" w:type="dxa"/>
            <w:vAlign w:val="bottom"/>
            <w:gridSpan w:val="2"/>
            <w:vMerge w:val="continue"/>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w w:val="99"/>
              </w:rPr>
              <w:t>02/10/2016</w:t>
            </w:r>
          </w:p>
        </w:tc>
        <w:tc>
          <w:tcPr>
            <w:tcW w:w="1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w w:val="99"/>
              </w:rPr>
              <w:t>02/10/2016</w:t>
            </w:r>
          </w:p>
        </w:tc>
        <w:tc>
          <w:tcPr>
            <w:tcW w:w="16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9,000</w:t>
            </w:r>
            <w:r>
              <w:rPr>
                <w:rFonts w:ascii="Arial" w:cs="Arial" w:eastAsia="Arial" w:hAnsi="Arial"/>
                <w:sz w:val="19"/>
                <w:szCs w:val="19"/>
                <w:color w:val="auto"/>
                <w:vertAlign w:val="superscript"/>
              </w:rPr>
              <w:t>(7)</w:t>
            </w: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w w:val="91"/>
              </w:rPr>
              <w:t>13,500</w:t>
            </w:r>
            <w:r>
              <w:rPr>
                <w:rFonts w:ascii="Arial" w:cs="Arial" w:eastAsia="Arial" w:hAnsi="Arial"/>
                <w:sz w:val="19"/>
                <w:szCs w:val="19"/>
                <w:color w:val="auto"/>
                <w:w w:val="91"/>
                <w:vertAlign w:val="superscript"/>
              </w:rPr>
              <w:t>(7)</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18,000</w:t>
            </w:r>
            <w:r>
              <w:rPr>
                <w:rFonts w:ascii="Arial" w:cs="Arial" w:eastAsia="Arial" w:hAnsi="Arial"/>
                <w:sz w:val="19"/>
                <w:szCs w:val="19"/>
                <w:color w:val="auto"/>
                <w:vertAlign w:val="superscript"/>
              </w:rPr>
              <w:t>(7)</w:t>
            </w: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1,340,064</w:t>
            </w:r>
          </w:p>
        </w:tc>
        <w:tc>
          <w:tcPr>
            <w:tcW w:w="0" w:type="dxa"/>
            <w:vAlign w:val="bottom"/>
          </w:tcPr>
          <w:p>
            <w:pPr>
              <w:spacing w:after="0"/>
              <w:rPr>
                <w:sz w:val="1"/>
                <w:szCs w:val="1"/>
                <w:color w:val="auto"/>
              </w:rPr>
            </w:pPr>
          </w:p>
        </w:tc>
      </w:tr>
      <w:tr>
        <w:trPr>
          <w:trHeight w:val="144"/>
        </w:trPr>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98A3B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44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660" w:type="dxa"/>
            <w:vAlign w:val="bottom"/>
            <w:shd w:val="clear" w:color="auto" w:fill="98A3B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02/10/2016</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02/10/2016</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w w:val="99"/>
              </w:rPr>
              <w:t>18,000</w:t>
            </w:r>
            <w:r>
              <w:rPr>
                <w:rFonts w:ascii="Arial" w:cs="Arial" w:eastAsia="Arial" w:hAnsi="Arial"/>
                <w:sz w:val="19"/>
                <w:szCs w:val="19"/>
                <w:color w:val="auto"/>
                <w:w w:val="99"/>
                <w:vertAlign w:val="superscript"/>
              </w:rPr>
              <w:t>(8)</w:t>
            </w: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1,488,960</w:t>
            </w:r>
          </w:p>
        </w:tc>
        <w:tc>
          <w:tcPr>
            <w:tcW w:w="0" w:type="dxa"/>
            <w:vAlign w:val="bottom"/>
          </w:tcPr>
          <w:p>
            <w:pPr>
              <w:spacing w:after="0"/>
              <w:rPr>
                <w:sz w:val="1"/>
                <w:szCs w:val="1"/>
                <w:color w:val="auto"/>
              </w:rPr>
            </w:pPr>
          </w:p>
        </w:tc>
      </w:tr>
      <w:tr>
        <w:trPr>
          <w:trHeight w:val="24"/>
        </w:trPr>
        <w:tc>
          <w:tcPr>
            <w:tcW w:w="720" w:type="dxa"/>
            <w:vAlign w:val="bottom"/>
            <w:shd w:val="clear" w:color="auto" w:fill="325889"/>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325889"/>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325889"/>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325889"/>
          </w:tcPr>
          <w:p>
            <w:pPr>
              <w:spacing w:after="0"/>
              <w:rPr>
                <w:sz w:val="2"/>
                <w:szCs w:val="2"/>
                <w:color w:val="auto"/>
              </w:rPr>
            </w:pPr>
          </w:p>
        </w:tc>
        <w:tc>
          <w:tcPr>
            <w:tcW w:w="740" w:type="dxa"/>
            <w:vAlign w:val="bottom"/>
            <w:shd w:val="clear" w:color="auto" w:fill="325889"/>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325889"/>
          </w:tcPr>
          <w:p>
            <w:pPr>
              <w:spacing w:after="0"/>
              <w:rPr>
                <w:sz w:val="2"/>
                <w:szCs w:val="2"/>
                <w:color w:val="auto"/>
              </w:rPr>
            </w:pPr>
          </w:p>
        </w:tc>
        <w:tc>
          <w:tcPr>
            <w:tcW w:w="740" w:type="dxa"/>
            <w:vAlign w:val="bottom"/>
            <w:shd w:val="clear" w:color="auto" w:fill="325889"/>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325889"/>
          </w:tcPr>
          <w:p>
            <w:pPr>
              <w:spacing w:after="0"/>
              <w:rPr>
                <w:sz w:val="2"/>
                <w:szCs w:val="2"/>
                <w:color w:val="auto"/>
              </w:rPr>
            </w:pPr>
          </w:p>
        </w:tc>
        <w:tc>
          <w:tcPr>
            <w:tcW w:w="740" w:type="dxa"/>
            <w:vAlign w:val="bottom"/>
            <w:shd w:val="clear" w:color="auto" w:fill="325889"/>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325889"/>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325889"/>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325889"/>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325889"/>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325889"/>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325889"/>
          </w:tcPr>
          <w:p>
            <w:pPr>
              <w:spacing w:after="0"/>
              <w:rPr>
                <w:sz w:val="2"/>
                <w:szCs w:val="2"/>
                <w:color w:val="auto"/>
              </w:rPr>
            </w:pPr>
          </w:p>
        </w:tc>
        <w:tc>
          <w:tcPr>
            <w:tcW w:w="440" w:type="dxa"/>
            <w:vAlign w:val="bottom"/>
            <w:shd w:val="clear" w:color="auto" w:fill="325889"/>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325889"/>
          </w:tcPr>
          <w:p>
            <w:pPr>
              <w:spacing w:after="0"/>
              <w:rPr>
                <w:sz w:val="2"/>
                <w:szCs w:val="2"/>
                <w:color w:val="auto"/>
              </w:rPr>
            </w:pPr>
          </w:p>
        </w:tc>
        <w:tc>
          <w:tcPr>
            <w:tcW w:w="500" w:type="dxa"/>
            <w:vAlign w:val="bottom"/>
            <w:shd w:val="clear" w:color="auto" w:fill="325889"/>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325889"/>
          </w:tcPr>
          <w:p>
            <w:pPr>
              <w:spacing w:after="0"/>
              <w:rPr>
                <w:sz w:val="2"/>
                <w:szCs w:val="2"/>
                <w:color w:val="auto"/>
              </w:rPr>
            </w:pPr>
          </w:p>
        </w:tc>
        <w:tc>
          <w:tcPr>
            <w:tcW w:w="660" w:type="dxa"/>
            <w:vAlign w:val="bottom"/>
            <w:shd w:val="clear" w:color="auto" w:fill="325889"/>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ind w:left="305" w:hanging="305"/>
        <w:spacing w:after="0"/>
        <w:tabs>
          <w:tab w:leader="none" w:pos="305"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This grant of LTIP units vested immediately upon grant, but remains subject to a two-year restriction on transfer from the date of grant.</w:t>
      </w:r>
    </w:p>
    <w:p>
      <w:pPr>
        <w:spacing w:after="0" w:line="51" w:lineRule="exact"/>
        <w:rPr>
          <w:rFonts w:ascii="Arial" w:cs="Arial" w:eastAsia="Arial" w:hAnsi="Arial"/>
          <w:sz w:val="12"/>
          <w:szCs w:val="12"/>
          <w:color w:val="auto"/>
        </w:rPr>
      </w:pPr>
    </w:p>
    <w:p>
      <w:pPr>
        <w:ind w:left="305" w:right="100" w:hanging="305"/>
        <w:spacing w:after="0" w:line="231" w:lineRule="auto"/>
        <w:tabs>
          <w:tab w:leader="none" w:pos="305"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This grant of LTIP units was awarded in connection with Mr. Holliday’s employment agreement and was to be subject to vesting based on the achievement of any of the following financial performance goals during 2015 (or on a cumulative basis beginning with 2013 through the end of 2015) and continued employment through January 17th of the year following the year as of which the financial performance goals are achieved: (i) 8% or greater increase in FFO on a per-share basis, (ii) 8% or greater TRS or (iii) TRS or percentage increase in FFO per share in the top 35% of a peer group of companies determined each year by our Compensation Committee. This grant is presented in the “All Other Stock Awards: Number of Shares of Stock or Units” column instead of the “Estimated Future</w:t>
      </w:r>
    </w:p>
    <w:p>
      <w:pPr>
        <w:spacing w:after="0" w:line="184" w:lineRule="exact"/>
        <w:rPr>
          <w:sz w:val="20"/>
          <w:szCs w:val="20"/>
          <w:color w:val="auto"/>
        </w:rPr>
      </w:pPr>
    </w:p>
    <w:p>
      <w:pPr>
        <w:ind w:left="265" w:hanging="265"/>
        <w:spacing w:after="0"/>
        <w:tabs>
          <w:tab w:leader="none" w:pos="265" w:val="left"/>
        </w:tabs>
        <w:numPr>
          <w:ilvl w:val="0"/>
          <w:numId w:val="53"/>
        </w:numPr>
        <w:rPr>
          <w:rFonts w:ascii="Arial" w:cs="Arial" w:eastAsia="Arial" w:hAnsi="Arial"/>
          <w:sz w:val="15"/>
          <w:szCs w:val="15"/>
          <w:color w:val="325889"/>
        </w:rPr>
      </w:pPr>
      <w:r>
        <w:rPr>
          <w:rFonts w:ascii="Arial" w:cs="Arial" w:eastAsia="Arial" w:hAnsi="Arial"/>
          <w:sz w:val="15"/>
          <w:szCs w:val="15"/>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83450" cy="203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525"/>
          </w:cols>
          <w:pgMar w:left="235" w:top="528" w:right="139" w:bottom="1440" w:gutter="0" w:footer="0" w:header="0"/>
        </w:sectPr>
      </w:pPr>
    </w:p>
    <w:bookmarkStart w:id="42" w:name="page43"/>
    <w:bookmarkEnd w:id="42"/>
    <w:p>
      <w:pPr>
        <w:ind w:left="5"/>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325889"/>
        </w:rPr>
        <w:t>EXECUTIVE COMPENSATION</w:t>
      </w:r>
    </w:p>
    <w:p>
      <w:pPr>
        <w:spacing w:after="0" w:line="192" w:lineRule="exact"/>
        <w:rPr>
          <w:sz w:val="20"/>
          <w:szCs w:val="20"/>
          <w:color w:val="auto"/>
        </w:rPr>
      </w:pPr>
    </w:p>
    <w:p>
      <w:pPr>
        <w:ind w:left="305" w:right="100"/>
        <w:spacing w:after="0" w:line="236" w:lineRule="auto"/>
        <w:rPr>
          <w:sz w:val="20"/>
          <w:szCs w:val="20"/>
          <w:color w:val="auto"/>
        </w:rPr>
      </w:pPr>
      <w:r>
        <w:rPr>
          <w:rFonts w:ascii="Arial" w:cs="Arial" w:eastAsia="Arial" w:hAnsi="Arial"/>
          <w:sz w:val="12"/>
          <w:szCs w:val="12"/>
          <w:color w:val="auto"/>
        </w:rPr>
        <w:t>Payouts Under Equity Incentive Plan Award” column, because the grant occurred after performance-based vesting was achieved. Once vested, these LTIP units remain subject to a restriction on transfer until the earlier of two years after vesting, termination of employment or a change in control.</w:t>
      </w:r>
    </w:p>
    <w:p>
      <w:pPr>
        <w:spacing w:after="0" w:line="49" w:lineRule="exact"/>
        <w:rPr>
          <w:sz w:val="20"/>
          <w:szCs w:val="20"/>
          <w:color w:val="auto"/>
        </w:rPr>
      </w:pPr>
    </w:p>
    <w:p>
      <w:pPr>
        <w:ind w:left="305" w:right="20" w:hanging="305"/>
        <w:spacing w:after="0" w:line="236" w:lineRule="auto"/>
        <w:tabs>
          <w:tab w:leader="none" w:pos="305"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This grant of notional stock units was subject to vesting based on continued employment through January 17, 2017. Each stock unit represents the contingent right to receive the value of one share of our common stock in accordance with the terms of a deferred compensation agreement.</w:t>
      </w:r>
    </w:p>
    <w:p>
      <w:pPr>
        <w:spacing w:after="0" w:line="48" w:lineRule="exact"/>
        <w:rPr>
          <w:rFonts w:ascii="Arial" w:cs="Arial" w:eastAsia="Arial" w:hAnsi="Arial"/>
          <w:sz w:val="12"/>
          <w:szCs w:val="12"/>
          <w:color w:val="auto"/>
        </w:rPr>
      </w:pPr>
    </w:p>
    <w:p>
      <w:pPr>
        <w:ind w:left="305" w:right="40" w:hanging="305"/>
        <w:spacing w:after="0" w:line="230" w:lineRule="auto"/>
        <w:tabs>
          <w:tab w:leader="none" w:pos="305"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These grants of Class O LTIP units were awarded in connection with the extension of Mr. Holliday’s employment. These grants reflect an award of 52,500 Class O LTIP units with a mandatory conversion date that is 5 years after the date of grant and an award of 52,500 Class O LTIP units that expire 10 years after the date of grant, each of which vests on June 17, 2017. These grants are presented in the “All Other Option Awards: Number of Securities Underlying Options” column, because Class O LTIP units are economically similar to stock options. The conversion threshold for the Class O LTIP units, which is equivalent to the exercise price for a stock option, was determined by reference to the fair market value under our Fourth Amended and Restated 2005 Stock Option and Incentive Plan of one share of our common stock, meaning, in this instance, the closing stock price of one share of our common stock on the NYSE on June 16, 2016, the last preceding trading date prior to the grant date. See “Compensation Discussion and Analysis— Other Compensation Policies and Information—Other Matters—LTIP units and Class O LTIP units” for a description of Class O LTIP units.</w:t>
      </w:r>
    </w:p>
    <w:p>
      <w:pPr>
        <w:spacing w:after="0" w:line="48" w:lineRule="exact"/>
        <w:rPr>
          <w:rFonts w:ascii="Arial" w:cs="Arial" w:eastAsia="Arial" w:hAnsi="Arial"/>
          <w:sz w:val="12"/>
          <w:szCs w:val="12"/>
          <w:color w:val="auto"/>
        </w:rPr>
      </w:pPr>
    </w:p>
    <w:p>
      <w:pPr>
        <w:ind w:left="305" w:right="380" w:hanging="305"/>
        <w:spacing w:after="0" w:line="236" w:lineRule="auto"/>
        <w:tabs>
          <w:tab w:leader="none" w:pos="305"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This grant of notional stock units was subject to vesting based on continued employment through December 31, 2016. Each stock unit represents the contingent right to receive the value of one share of our common stock in accordance with the terms of a deferred compensation agreement.</w:t>
      </w:r>
    </w:p>
    <w:p>
      <w:pPr>
        <w:spacing w:after="0" w:line="48" w:lineRule="exact"/>
        <w:rPr>
          <w:rFonts w:ascii="Arial" w:cs="Arial" w:eastAsia="Arial" w:hAnsi="Arial"/>
          <w:sz w:val="12"/>
          <w:szCs w:val="12"/>
          <w:color w:val="auto"/>
        </w:rPr>
      </w:pPr>
    </w:p>
    <w:p>
      <w:pPr>
        <w:jc w:val="both"/>
        <w:ind w:left="305" w:right="20" w:hanging="305"/>
        <w:spacing w:after="0" w:line="247" w:lineRule="auto"/>
        <w:tabs>
          <w:tab w:leader="none" w:pos="305" w:val="left"/>
        </w:tabs>
        <w:numPr>
          <w:ilvl w:val="0"/>
          <w:numId w:val="54"/>
        </w:numPr>
        <w:rPr>
          <w:rFonts w:ascii="Arial" w:cs="Arial" w:eastAsia="Arial" w:hAnsi="Arial"/>
          <w:sz w:val="11"/>
          <w:szCs w:val="11"/>
          <w:color w:val="auto"/>
        </w:rPr>
      </w:pPr>
      <w:r>
        <w:rPr>
          <w:rFonts w:ascii="Arial" w:cs="Arial" w:eastAsia="Arial" w:hAnsi="Arial"/>
          <w:sz w:val="11"/>
          <w:szCs w:val="11"/>
          <w:color w:val="auto"/>
        </w:rPr>
        <w:t>This grant of LTIP units was awarded in connection with Mr. Mathias’s employment agreement and was subject to vesting based on the achievement of any of the following financial performance goals during 2016 (or on a cumulative basis beginning with 2014 through the end of 2016) and continued employment through the end of the year as of which the financial performance goals are achieved: (i) 8% or greater increase in FFO on a per-share basis, (ii) 8% or greater TRS or (iii) TRS or percentage increase in FFO per share in the top 35% of a peer group of companies determined each year by our Compensation Committee.</w:t>
      </w:r>
    </w:p>
    <w:p>
      <w:pPr>
        <w:spacing w:after="0" w:line="1" w:lineRule="exact"/>
        <w:rPr>
          <w:rFonts w:ascii="Arial" w:cs="Arial" w:eastAsia="Arial" w:hAnsi="Arial"/>
          <w:sz w:val="11"/>
          <w:szCs w:val="11"/>
          <w:color w:val="auto"/>
        </w:rPr>
      </w:pPr>
    </w:p>
    <w:p>
      <w:pPr>
        <w:ind w:left="305" w:right="220"/>
        <w:spacing w:after="0" w:line="233" w:lineRule="auto"/>
        <w:rPr>
          <w:rFonts w:ascii="Arial" w:cs="Arial" w:eastAsia="Arial" w:hAnsi="Arial"/>
          <w:sz w:val="11"/>
          <w:szCs w:val="11"/>
          <w:color w:val="auto"/>
        </w:rPr>
      </w:pPr>
      <w:r>
        <w:rPr>
          <w:rFonts w:ascii="Arial" w:cs="Arial" w:eastAsia="Arial" w:hAnsi="Arial"/>
          <w:sz w:val="12"/>
          <w:szCs w:val="12"/>
          <w:color w:val="auto"/>
        </w:rPr>
        <w:t>Once vested, these LTIP units remain subject to a restriction on transfer until the earlier of two years after vesting, termination of employment or a change in control. The “Maximum (#)” column represents the maximum number of LTIP units that could be earned. The “Target (#)” column represents the number of LTIP units that would be earned if the performance goals are achieved. The LTIP units only provide for a single level of performance. Accordingly, the “Threshold(#)” subcolumn is not applicable.</w:t>
      </w:r>
    </w:p>
    <w:p>
      <w:pPr>
        <w:spacing w:after="0" w:line="48" w:lineRule="exact"/>
        <w:rPr>
          <w:rFonts w:ascii="Arial" w:cs="Arial" w:eastAsia="Arial" w:hAnsi="Arial"/>
          <w:sz w:val="11"/>
          <w:szCs w:val="11"/>
          <w:color w:val="auto"/>
        </w:rPr>
      </w:pPr>
    </w:p>
    <w:p>
      <w:pPr>
        <w:ind w:left="305" w:right="220" w:hanging="305"/>
        <w:spacing w:after="0" w:line="231" w:lineRule="auto"/>
        <w:tabs>
          <w:tab w:leader="none" w:pos="305"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This grant of LTIP units was awarded in connection with Mr. Levine’s employment agreement. This grant of LTIP units vests pro-rata over a three-year period on January 1, 2017, 2018 and 2019, subject to the achievement of financial performance goals and continued employment through each vesting date. In each case, from 50-100% of the LTIP units eligible to vest on each vesting date will vest based on the achievement of either (i) annual FFO growth or TRS of 5-8% per year or (ii) TRS in the top 35-50% of the MSCI US REIT Index, respectively, for the prior year (or on a cumulative basis from 2016 through such year or a subsequent quarter during the term). None of the LTIP units will vest unless the 50% minimum performance vesting threshold is met.</w:t>
      </w:r>
    </w:p>
    <w:p>
      <w:pPr>
        <w:spacing w:after="0" w:line="50" w:lineRule="exact"/>
        <w:rPr>
          <w:rFonts w:ascii="Arial" w:cs="Arial" w:eastAsia="Arial" w:hAnsi="Arial"/>
          <w:sz w:val="12"/>
          <w:szCs w:val="12"/>
          <w:color w:val="auto"/>
        </w:rPr>
      </w:pPr>
    </w:p>
    <w:p>
      <w:pPr>
        <w:ind w:left="305" w:right="300" w:hanging="305"/>
        <w:spacing w:after="0" w:line="236" w:lineRule="auto"/>
        <w:tabs>
          <w:tab w:leader="none" w:pos="305"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This grant of LTIP units was awarded in connection with Mr. Levine's employment agreement. This grant of LTIP units vests pro-rata over a three-year period on January 1, 2017, 2018 and 2019, respectively, subject to continued employment through each vesting date. Once vested, LTIP units remain subject to a two-year restriction on transfer from the date of grant.</w:t>
      </w:r>
    </w:p>
    <w:p>
      <w:pPr>
        <w:spacing w:after="0" w:line="48" w:lineRule="exact"/>
        <w:rPr>
          <w:rFonts w:ascii="Arial" w:cs="Arial" w:eastAsia="Arial" w:hAnsi="Arial"/>
          <w:sz w:val="12"/>
          <w:szCs w:val="12"/>
          <w:color w:val="auto"/>
        </w:rPr>
      </w:pPr>
    </w:p>
    <w:p>
      <w:pPr>
        <w:ind w:left="305" w:right="200" w:hanging="305"/>
        <w:spacing w:after="0" w:line="236" w:lineRule="auto"/>
        <w:tabs>
          <w:tab w:leader="none" w:pos="305" w:val="left"/>
        </w:tabs>
        <w:numPr>
          <w:ilvl w:val="0"/>
          <w:numId w:val="54"/>
        </w:numPr>
        <w:rPr>
          <w:rFonts w:ascii="Arial" w:cs="Arial" w:eastAsia="Arial" w:hAnsi="Arial"/>
          <w:sz w:val="12"/>
          <w:szCs w:val="12"/>
          <w:color w:val="auto"/>
        </w:rPr>
      </w:pPr>
      <w:r>
        <w:rPr>
          <w:rFonts w:ascii="Arial" w:cs="Arial" w:eastAsia="Arial" w:hAnsi="Arial"/>
          <w:sz w:val="12"/>
          <w:szCs w:val="12"/>
          <w:color w:val="auto"/>
        </w:rPr>
        <w:t>Represents cash payouts that were possible pursuant to the formulaic component of our annual cash bonus program for 2016. See “Compensation Discussion and Analysis—Annual Incentive Awards—Annual Cash Bonus Program (Top Three Named Executive Officers)” for a description of these awards.</w:t>
      </w:r>
    </w:p>
    <w:p>
      <w:pPr>
        <w:spacing w:after="0" w:line="183" w:lineRule="exact"/>
        <w:rPr>
          <w:sz w:val="20"/>
          <w:szCs w:val="20"/>
          <w:color w:val="auto"/>
        </w:rPr>
      </w:pPr>
    </w:p>
    <w:p>
      <w:pPr>
        <w:ind w:left="5" w:right="20"/>
        <w:spacing w:after="0" w:line="253" w:lineRule="auto"/>
        <w:rPr>
          <w:sz w:val="20"/>
          <w:szCs w:val="20"/>
          <w:color w:val="auto"/>
        </w:rPr>
      </w:pPr>
      <w:r>
        <w:rPr>
          <w:rFonts w:ascii="Arial" w:cs="Arial" w:eastAsia="Arial" w:hAnsi="Arial"/>
          <w:sz w:val="15"/>
          <w:szCs w:val="15"/>
          <w:color w:val="auto"/>
        </w:rPr>
        <w:t>Grants of all equity awards were made pursuant to the Fourth Amended and Restated 2005 Stock Option and Incentive Plan. LTIP units that are only subject to time-based vesting based on continued employment through a specified date (and have not been forfeited) generally entitle executives to receive cash dividends, dividend equivalents or distributions whether or not then vested. LTIP units that are subject to performance-based vesting hurdles accrue cash dividends, dividend equivalents or distributions prior to the achievement of these hurdles, and such accrued amounts are only paid to the executives if and when the performance hurdles are met.</w:t>
      </w:r>
    </w:p>
    <w:p>
      <w:pPr>
        <w:spacing w:after="0" w:line="174" w:lineRule="exact"/>
        <w:rPr>
          <w:sz w:val="20"/>
          <w:szCs w:val="20"/>
          <w:color w:val="auto"/>
        </w:rPr>
      </w:pPr>
    </w:p>
    <w:p>
      <w:pPr>
        <w:ind w:left="5" w:right="240"/>
        <w:spacing w:after="0" w:line="265" w:lineRule="auto"/>
        <w:rPr>
          <w:sz w:val="20"/>
          <w:szCs w:val="20"/>
          <w:color w:val="auto"/>
        </w:rPr>
      </w:pPr>
      <w:r>
        <w:rPr>
          <w:rFonts w:ascii="Arial" w:cs="Arial" w:eastAsia="Arial" w:hAnsi="Arial"/>
          <w:sz w:val="15"/>
          <w:szCs w:val="15"/>
          <w:color w:val="auto"/>
        </w:rPr>
        <w:t>See “Potential Payments Upon Termination or a Change in Control” below, for a discussion regarding potential acceleration of the equity awards and a description of the material terms of each named executive officer’s employment agreement.</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2017 Proxy Statement </w:t>
      </w:r>
      <w:r>
        <w:rPr>
          <w:rFonts w:ascii="Arial" w:cs="Arial" w:eastAsia="Arial" w:hAnsi="Arial"/>
          <w:sz w:val="15"/>
          <w:szCs w:val="15"/>
          <w:color w:val="325889"/>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83450" cy="203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5"/>
          </w:cols>
          <w:pgMar w:left="235" w:top="528" w:right="219" w:bottom="1440" w:gutter="0" w:footer="0" w:header="0"/>
        </w:sectPr>
      </w:pPr>
    </w:p>
    <w:bookmarkStart w:id="43" w:name="page44"/>
    <w:bookmarkEnd w:id="43"/>
    <w:p>
      <w:pPr>
        <w:ind w:left="5"/>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ind w:left="5"/>
        <w:spacing w:after="0"/>
        <w:rPr>
          <w:sz w:val="20"/>
          <w:szCs w:val="20"/>
          <w:color w:val="auto"/>
        </w:rPr>
      </w:pPr>
      <w:r>
        <w:rPr>
          <w:rFonts w:ascii="Arial" w:cs="Arial" w:eastAsia="Arial" w:hAnsi="Arial"/>
          <w:sz w:val="15"/>
          <w:szCs w:val="15"/>
          <w:u w:val="single" w:color="auto"/>
          <w:color w:val="325889"/>
        </w:rPr>
        <w:t>EXECUTIVE COMPENSATION</w:t>
      </w:r>
    </w:p>
    <w:p>
      <w:pPr>
        <w:spacing w:after="0" w:line="167"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325889"/>
        </w:rPr>
        <w:t>Outstanding Equity Awards at Fiscal Year-End 2016</w:t>
      </w:r>
    </w:p>
    <w:p>
      <w:pPr>
        <w:spacing w:after="0" w:line="212" w:lineRule="exact"/>
        <w:rPr>
          <w:sz w:val="20"/>
          <w:szCs w:val="20"/>
          <w:color w:val="auto"/>
        </w:rPr>
      </w:pPr>
    </w:p>
    <w:p>
      <w:pPr>
        <w:ind w:left="5" w:right="120"/>
        <w:spacing w:after="0" w:line="265" w:lineRule="auto"/>
        <w:rPr>
          <w:sz w:val="20"/>
          <w:szCs w:val="20"/>
          <w:color w:val="auto"/>
        </w:rPr>
      </w:pPr>
      <w:r>
        <w:rPr>
          <w:rFonts w:ascii="Arial" w:cs="Arial" w:eastAsia="Arial" w:hAnsi="Arial"/>
          <w:sz w:val="15"/>
          <w:szCs w:val="15"/>
          <w:color w:val="auto"/>
        </w:rPr>
        <w:t>The following table sets forth certain information with respect to all outstanding equity awards held by each named executive officer at the fiscal year ended December 31, 2016.</w:t>
      </w:r>
    </w:p>
    <w:p>
      <w:pPr>
        <w:spacing w:after="0" w:line="183" w:lineRule="exact"/>
        <w:rPr>
          <w:sz w:val="20"/>
          <w:szCs w:val="20"/>
          <w:color w:val="auto"/>
        </w:rPr>
      </w:pPr>
    </w:p>
    <w:tbl>
      <w:tblPr>
        <w:tblLayout w:type="fixed"/>
        <w:tblInd w:w="5" w:type="dxa"/>
        <w:tblCellMar>
          <w:top w:w="0" w:type="dxa"/>
          <w:left w:w="0" w:type="dxa"/>
          <w:bottom w:w="0" w:type="dxa"/>
          <w:right w:w="0" w:type="dxa"/>
        </w:tblCellMar>
      </w:tblPr>
      <w:tr>
        <w:trPr>
          <w:trHeight w:val="155"/>
        </w:trPr>
        <w:tc>
          <w:tcPr>
            <w:tcW w:w="2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gridSpan w:val="5"/>
          </w:tcPr>
          <w:p>
            <w:pPr>
              <w:jc w:val="right"/>
              <w:ind w:right="620"/>
              <w:spacing w:after="0"/>
              <w:rPr>
                <w:sz w:val="20"/>
                <w:szCs w:val="20"/>
                <w:color w:val="auto"/>
              </w:rPr>
            </w:pPr>
            <w:r>
              <w:rPr>
                <w:rFonts w:ascii="Arial" w:cs="Arial" w:eastAsia="Arial" w:hAnsi="Arial"/>
                <w:sz w:val="12"/>
                <w:szCs w:val="12"/>
                <w:b w:val="1"/>
                <w:bCs w:val="1"/>
                <w:color w:val="325889"/>
              </w:rPr>
              <w:t>Option Awards</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7"/>
          </w:tcPr>
          <w:p>
            <w:pPr>
              <w:jc w:val="right"/>
              <w:ind w:right="375"/>
              <w:spacing w:after="0"/>
              <w:rPr>
                <w:sz w:val="20"/>
                <w:szCs w:val="20"/>
                <w:color w:val="auto"/>
              </w:rPr>
            </w:pPr>
            <w:r>
              <w:rPr>
                <w:rFonts w:ascii="Arial" w:cs="Arial" w:eastAsia="Arial" w:hAnsi="Arial"/>
                <w:sz w:val="12"/>
                <w:szCs w:val="12"/>
                <w:b w:val="1"/>
                <w:bCs w:val="1"/>
                <w:color w:val="325889"/>
                <w:w w:val="95"/>
              </w:rPr>
              <w:t>Stock Awards</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1"/>
        </w:trPr>
        <w:tc>
          <w:tcPr>
            <w:tcW w:w="2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Borders>
              <w:bottom w:val="single" w:sz="8" w:color="325889"/>
            </w:tcBorders>
          </w:tcPr>
          <w:p>
            <w:pPr>
              <w:spacing w:after="0"/>
              <w:rPr>
                <w:sz w:val="3"/>
                <w:szCs w:val="3"/>
                <w:color w:val="auto"/>
              </w:rPr>
            </w:pPr>
          </w:p>
        </w:tc>
        <w:tc>
          <w:tcPr>
            <w:tcW w:w="220" w:type="dxa"/>
            <w:vAlign w:val="bottom"/>
            <w:tcBorders>
              <w:bottom w:val="single" w:sz="8" w:color="325889"/>
            </w:tcBorders>
          </w:tcPr>
          <w:p>
            <w:pPr>
              <w:spacing w:after="0"/>
              <w:rPr>
                <w:sz w:val="3"/>
                <w:szCs w:val="3"/>
                <w:color w:val="auto"/>
              </w:rPr>
            </w:pPr>
          </w:p>
        </w:tc>
        <w:tc>
          <w:tcPr>
            <w:tcW w:w="820" w:type="dxa"/>
            <w:vAlign w:val="bottom"/>
            <w:tcBorders>
              <w:bottom w:val="single" w:sz="8" w:color="325889"/>
            </w:tcBorders>
          </w:tcPr>
          <w:p>
            <w:pPr>
              <w:spacing w:after="0"/>
              <w:rPr>
                <w:sz w:val="3"/>
                <w:szCs w:val="3"/>
                <w:color w:val="auto"/>
              </w:rPr>
            </w:pPr>
          </w:p>
        </w:tc>
        <w:tc>
          <w:tcPr>
            <w:tcW w:w="240" w:type="dxa"/>
            <w:vAlign w:val="bottom"/>
            <w:tcBorders>
              <w:bottom w:val="single" w:sz="8" w:color="325889"/>
            </w:tcBorders>
          </w:tcPr>
          <w:p>
            <w:pPr>
              <w:spacing w:after="0"/>
              <w:rPr>
                <w:sz w:val="3"/>
                <w:szCs w:val="3"/>
                <w:color w:val="auto"/>
              </w:rPr>
            </w:pPr>
          </w:p>
        </w:tc>
        <w:tc>
          <w:tcPr>
            <w:tcW w:w="120" w:type="dxa"/>
            <w:vAlign w:val="bottom"/>
            <w:tcBorders>
              <w:bottom w:val="single" w:sz="8" w:color="325889"/>
            </w:tcBorders>
          </w:tcPr>
          <w:p>
            <w:pPr>
              <w:spacing w:after="0"/>
              <w:rPr>
                <w:sz w:val="3"/>
                <w:szCs w:val="3"/>
                <w:color w:val="auto"/>
              </w:rPr>
            </w:pPr>
          </w:p>
        </w:tc>
        <w:tc>
          <w:tcPr>
            <w:tcW w:w="500" w:type="dxa"/>
            <w:vAlign w:val="bottom"/>
            <w:tcBorders>
              <w:bottom w:val="single" w:sz="8" w:color="325889"/>
            </w:tcBorders>
          </w:tcPr>
          <w:p>
            <w:pPr>
              <w:spacing w:after="0"/>
              <w:rPr>
                <w:sz w:val="3"/>
                <w:szCs w:val="3"/>
                <w:color w:val="auto"/>
              </w:rPr>
            </w:pPr>
          </w:p>
        </w:tc>
        <w:tc>
          <w:tcPr>
            <w:tcW w:w="240" w:type="dxa"/>
            <w:vAlign w:val="bottom"/>
            <w:tcBorders>
              <w:bottom w:val="single" w:sz="8" w:color="325889"/>
            </w:tcBorders>
          </w:tcPr>
          <w:p>
            <w:pPr>
              <w:spacing w:after="0"/>
              <w:rPr>
                <w:sz w:val="3"/>
                <w:szCs w:val="3"/>
                <w:color w:val="auto"/>
              </w:rPr>
            </w:pPr>
          </w:p>
        </w:tc>
        <w:tc>
          <w:tcPr>
            <w:tcW w:w="780" w:type="dxa"/>
            <w:vAlign w:val="bottom"/>
            <w:tcBorders>
              <w:bottom w:val="single" w:sz="8" w:color="325889"/>
            </w:tcBorders>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Borders>
              <w:bottom w:val="single" w:sz="8" w:color="325889"/>
            </w:tcBorders>
          </w:tcPr>
          <w:p>
            <w:pPr>
              <w:spacing w:after="0"/>
              <w:rPr>
                <w:sz w:val="3"/>
                <w:szCs w:val="3"/>
                <w:color w:val="auto"/>
              </w:rPr>
            </w:pPr>
          </w:p>
        </w:tc>
        <w:tc>
          <w:tcPr>
            <w:tcW w:w="140" w:type="dxa"/>
            <w:vAlign w:val="bottom"/>
            <w:tcBorders>
              <w:bottom w:val="single" w:sz="8" w:color="325889"/>
            </w:tcBorders>
          </w:tcPr>
          <w:p>
            <w:pPr>
              <w:spacing w:after="0"/>
              <w:rPr>
                <w:sz w:val="3"/>
                <w:szCs w:val="3"/>
                <w:color w:val="auto"/>
              </w:rPr>
            </w:pPr>
          </w:p>
        </w:tc>
        <w:tc>
          <w:tcPr>
            <w:tcW w:w="80" w:type="dxa"/>
            <w:vAlign w:val="bottom"/>
            <w:tcBorders>
              <w:bottom w:val="single" w:sz="8" w:color="325889"/>
            </w:tcBorders>
          </w:tcPr>
          <w:p>
            <w:pPr>
              <w:spacing w:after="0"/>
              <w:rPr>
                <w:sz w:val="3"/>
                <w:szCs w:val="3"/>
                <w:color w:val="auto"/>
              </w:rPr>
            </w:pPr>
          </w:p>
        </w:tc>
        <w:tc>
          <w:tcPr>
            <w:tcW w:w="180" w:type="dxa"/>
            <w:vAlign w:val="bottom"/>
            <w:tcBorders>
              <w:bottom w:val="single" w:sz="8" w:color="325889"/>
            </w:tcBorders>
          </w:tcPr>
          <w:p>
            <w:pPr>
              <w:spacing w:after="0"/>
              <w:rPr>
                <w:sz w:val="3"/>
                <w:szCs w:val="3"/>
                <w:color w:val="auto"/>
              </w:rPr>
            </w:pPr>
          </w:p>
        </w:tc>
        <w:tc>
          <w:tcPr>
            <w:tcW w:w="520" w:type="dxa"/>
            <w:vAlign w:val="bottom"/>
            <w:tcBorders>
              <w:bottom w:val="single" w:sz="8" w:color="325889"/>
            </w:tcBorders>
          </w:tcPr>
          <w:p>
            <w:pPr>
              <w:spacing w:after="0"/>
              <w:rPr>
                <w:sz w:val="3"/>
                <w:szCs w:val="3"/>
                <w:color w:val="auto"/>
              </w:rPr>
            </w:pPr>
          </w:p>
        </w:tc>
        <w:tc>
          <w:tcPr>
            <w:tcW w:w="20" w:type="dxa"/>
            <w:vAlign w:val="bottom"/>
            <w:tcBorders>
              <w:bottom w:val="single" w:sz="8" w:color="325889"/>
            </w:tcBorders>
          </w:tcPr>
          <w:p>
            <w:pPr>
              <w:spacing w:after="0"/>
              <w:rPr>
                <w:sz w:val="3"/>
                <w:szCs w:val="3"/>
                <w:color w:val="auto"/>
              </w:rPr>
            </w:pPr>
          </w:p>
        </w:tc>
        <w:tc>
          <w:tcPr>
            <w:tcW w:w="140" w:type="dxa"/>
            <w:vAlign w:val="bottom"/>
            <w:tcBorders>
              <w:bottom w:val="single" w:sz="8" w:color="325889"/>
            </w:tcBorders>
          </w:tcPr>
          <w:p>
            <w:pPr>
              <w:spacing w:after="0"/>
              <w:rPr>
                <w:sz w:val="3"/>
                <w:szCs w:val="3"/>
                <w:color w:val="auto"/>
              </w:rPr>
            </w:pPr>
          </w:p>
        </w:tc>
        <w:tc>
          <w:tcPr>
            <w:tcW w:w="80" w:type="dxa"/>
            <w:vAlign w:val="bottom"/>
            <w:tcBorders>
              <w:bottom w:val="single" w:sz="8" w:color="325889"/>
            </w:tcBorders>
          </w:tcPr>
          <w:p>
            <w:pPr>
              <w:spacing w:after="0"/>
              <w:rPr>
                <w:sz w:val="3"/>
                <w:szCs w:val="3"/>
                <w:color w:val="auto"/>
              </w:rPr>
            </w:pPr>
          </w:p>
        </w:tc>
        <w:tc>
          <w:tcPr>
            <w:tcW w:w="240" w:type="dxa"/>
            <w:vAlign w:val="bottom"/>
            <w:tcBorders>
              <w:bottom w:val="single" w:sz="8" w:color="325889"/>
            </w:tcBorders>
          </w:tcPr>
          <w:p>
            <w:pPr>
              <w:spacing w:after="0"/>
              <w:rPr>
                <w:sz w:val="3"/>
                <w:szCs w:val="3"/>
                <w:color w:val="auto"/>
              </w:rPr>
            </w:pPr>
          </w:p>
        </w:tc>
        <w:tc>
          <w:tcPr>
            <w:tcW w:w="100" w:type="dxa"/>
            <w:vAlign w:val="bottom"/>
            <w:tcBorders>
              <w:bottom w:val="single" w:sz="8" w:color="325889"/>
            </w:tcBorders>
          </w:tcPr>
          <w:p>
            <w:pPr>
              <w:spacing w:after="0"/>
              <w:rPr>
                <w:sz w:val="3"/>
                <w:szCs w:val="3"/>
                <w:color w:val="auto"/>
              </w:rPr>
            </w:pPr>
          </w:p>
        </w:tc>
        <w:tc>
          <w:tcPr>
            <w:tcW w:w="40" w:type="dxa"/>
            <w:vAlign w:val="bottom"/>
            <w:tcBorders>
              <w:bottom w:val="single" w:sz="8" w:color="325889"/>
            </w:tcBorders>
          </w:tcPr>
          <w:p>
            <w:pPr>
              <w:spacing w:after="0"/>
              <w:rPr>
                <w:sz w:val="3"/>
                <w:szCs w:val="3"/>
                <w:color w:val="auto"/>
              </w:rPr>
            </w:pPr>
          </w:p>
        </w:tc>
        <w:tc>
          <w:tcPr>
            <w:tcW w:w="120" w:type="dxa"/>
            <w:vAlign w:val="bottom"/>
            <w:tcBorders>
              <w:bottom w:val="single" w:sz="8" w:color="325889"/>
            </w:tcBorders>
          </w:tcPr>
          <w:p>
            <w:pPr>
              <w:spacing w:after="0"/>
              <w:rPr>
                <w:sz w:val="3"/>
                <w:szCs w:val="3"/>
                <w:color w:val="auto"/>
              </w:rPr>
            </w:pPr>
          </w:p>
        </w:tc>
        <w:tc>
          <w:tcPr>
            <w:tcW w:w="500" w:type="dxa"/>
            <w:vAlign w:val="bottom"/>
            <w:tcBorders>
              <w:bottom w:val="single" w:sz="8" w:color="325889"/>
            </w:tcBorders>
          </w:tcPr>
          <w:p>
            <w:pPr>
              <w:spacing w:after="0"/>
              <w:rPr>
                <w:sz w:val="3"/>
                <w:szCs w:val="3"/>
                <w:color w:val="auto"/>
              </w:rPr>
            </w:pPr>
          </w:p>
        </w:tc>
        <w:tc>
          <w:tcPr>
            <w:tcW w:w="280" w:type="dxa"/>
            <w:vAlign w:val="bottom"/>
            <w:tcBorders>
              <w:bottom w:val="single" w:sz="8" w:color="325889"/>
            </w:tcBorders>
          </w:tcPr>
          <w:p>
            <w:pPr>
              <w:spacing w:after="0"/>
              <w:rPr>
                <w:sz w:val="3"/>
                <w:szCs w:val="3"/>
                <w:color w:val="auto"/>
              </w:rPr>
            </w:pPr>
          </w:p>
        </w:tc>
        <w:tc>
          <w:tcPr>
            <w:tcW w:w="140" w:type="dxa"/>
            <w:vAlign w:val="bottom"/>
            <w:tcBorders>
              <w:bottom w:val="single" w:sz="8" w:color="325889"/>
            </w:tcBorders>
          </w:tcPr>
          <w:p>
            <w:pPr>
              <w:spacing w:after="0"/>
              <w:rPr>
                <w:sz w:val="3"/>
                <w:szCs w:val="3"/>
                <w:color w:val="auto"/>
              </w:rPr>
            </w:pPr>
          </w:p>
        </w:tc>
        <w:tc>
          <w:tcPr>
            <w:tcW w:w="740" w:type="dxa"/>
            <w:vAlign w:val="bottom"/>
            <w:tcBorders>
              <w:bottom w:val="single" w:sz="8" w:color="325889"/>
            </w:tcBorders>
          </w:tcPr>
          <w:p>
            <w:pPr>
              <w:spacing w:after="0"/>
              <w:rPr>
                <w:sz w:val="3"/>
                <w:szCs w:val="3"/>
                <w:color w:val="auto"/>
              </w:rPr>
            </w:pPr>
          </w:p>
        </w:tc>
      </w:tr>
      <w:tr>
        <w:trPr>
          <w:trHeight w:val="140"/>
        </w:trPr>
        <w:tc>
          <w:tcPr>
            <w:tcW w:w="2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b w:val="1"/>
                <w:bCs w:val="1"/>
                <w:color w:val="325889"/>
              </w:rPr>
              <w:t>Equity</w:t>
            </w:r>
          </w:p>
        </w:tc>
      </w:tr>
      <w:tr>
        <w:trPr>
          <w:trHeight w:val="131"/>
        </w:trPr>
        <w:tc>
          <w:tcPr>
            <w:tcW w:w="2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2"/>
                <w:szCs w:val="12"/>
                <w:b w:val="1"/>
                <w:bCs w:val="1"/>
                <w:color w:val="325889"/>
              </w:rPr>
              <w:t>Incentive</w:t>
            </w:r>
          </w:p>
        </w:tc>
      </w:tr>
      <w:tr>
        <w:trPr>
          <w:trHeight w:val="131"/>
        </w:trPr>
        <w:tc>
          <w:tcPr>
            <w:tcW w:w="2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2"/>
                <w:szCs w:val="12"/>
                <w:b w:val="1"/>
                <w:bCs w:val="1"/>
                <w:color w:val="325889"/>
              </w:rPr>
              <w:t>Plan</w:t>
            </w:r>
          </w:p>
        </w:tc>
      </w:tr>
      <w:tr>
        <w:trPr>
          <w:trHeight w:val="157"/>
        </w:trPr>
        <w:tc>
          <w:tcPr>
            <w:tcW w:w="2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b w:val="1"/>
                <w:bCs w:val="1"/>
                <w:color w:val="325889"/>
              </w:rPr>
              <w:t>Equity</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b w:val="1"/>
                <w:bCs w:val="1"/>
                <w:color w:val="325889"/>
              </w:rPr>
              <w:t>Awards:</w:t>
            </w:r>
          </w:p>
        </w:tc>
      </w:tr>
      <w:tr>
        <w:trPr>
          <w:trHeight w:val="131"/>
        </w:trPr>
        <w:tc>
          <w:tcPr>
            <w:tcW w:w="2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right"/>
              <w:spacing w:after="0" w:line="131" w:lineRule="exact"/>
              <w:rPr>
                <w:sz w:val="20"/>
                <w:szCs w:val="20"/>
                <w:color w:val="auto"/>
              </w:rPr>
            </w:pPr>
            <w:r>
              <w:rPr>
                <w:rFonts w:ascii="Arial" w:cs="Arial" w:eastAsia="Arial" w:hAnsi="Arial"/>
                <w:sz w:val="12"/>
                <w:szCs w:val="12"/>
                <w:b w:val="1"/>
                <w:bCs w:val="1"/>
                <w:color w:val="325889"/>
              </w:rPr>
              <w:t>Incentive</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2"/>
                <w:szCs w:val="12"/>
                <w:b w:val="1"/>
                <w:bCs w:val="1"/>
                <w:color w:val="325889"/>
              </w:rPr>
              <w:t>Market</w:t>
            </w:r>
          </w:p>
        </w:tc>
      </w:tr>
      <w:tr>
        <w:trPr>
          <w:trHeight w:val="131"/>
        </w:trPr>
        <w:tc>
          <w:tcPr>
            <w:tcW w:w="2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4"/>
          </w:tcPr>
          <w:p>
            <w:pPr>
              <w:jc w:val="right"/>
              <w:spacing w:after="0" w:line="131" w:lineRule="exact"/>
              <w:rPr>
                <w:sz w:val="20"/>
                <w:szCs w:val="20"/>
                <w:color w:val="auto"/>
              </w:rPr>
            </w:pPr>
            <w:r>
              <w:rPr>
                <w:rFonts w:ascii="Arial" w:cs="Arial" w:eastAsia="Arial" w:hAnsi="Arial"/>
                <w:sz w:val="12"/>
                <w:szCs w:val="12"/>
                <w:b w:val="1"/>
                <w:bCs w:val="1"/>
                <w:color w:val="325889"/>
                <w:w w:val="97"/>
              </w:rPr>
              <w:t>Plan Awards:</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2"/>
                <w:szCs w:val="12"/>
                <w:b w:val="1"/>
                <w:bCs w:val="1"/>
                <w:color w:val="325889"/>
              </w:rPr>
              <w:t>or Payout</w:t>
            </w:r>
          </w:p>
        </w:tc>
      </w:tr>
      <w:tr>
        <w:trPr>
          <w:trHeight w:val="131"/>
        </w:trPr>
        <w:tc>
          <w:tcPr>
            <w:tcW w:w="2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right"/>
              <w:spacing w:after="0" w:line="131" w:lineRule="exact"/>
              <w:rPr>
                <w:sz w:val="20"/>
                <w:szCs w:val="20"/>
                <w:color w:val="auto"/>
              </w:rPr>
            </w:pPr>
            <w:r>
              <w:rPr>
                <w:rFonts w:ascii="Arial" w:cs="Arial" w:eastAsia="Arial" w:hAnsi="Arial"/>
                <w:sz w:val="12"/>
                <w:szCs w:val="12"/>
                <w:b w:val="1"/>
                <w:bCs w:val="1"/>
                <w:color w:val="325889"/>
                <w:w w:val="99"/>
              </w:rPr>
              <w:t>Number of</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2"/>
                <w:szCs w:val="12"/>
                <w:b w:val="1"/>
                <w:bCs w:val="1"/>
                <w:color w:val="325889"/>
              </w:rPr>
              <w:t>Value of</w:t>
            </w:r>
          </w:p>
        </w:tc>
      </w:tr>
      <w:tr>
        <w:trPr>
          <w:trHeight w:val="131"/>
        </w:trPr>
        <w:tc>
          <w:tcPr>
            <w:tcW w:w="2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4"/>
          </w:tcPr>
          <w:p>
            <w:pPr>
              <w:jc w:val="right"/>
              <w:spacing w:after="0" w:line="131" w:lineRule="exact"/>
              <w:rPr>
                <w:sz w:val="20"/>
                <w:szCs w:val="20"/>
                <w:color w:val="auto"/>
              </w:rPr>
            </w:pPr>
            <w:r>
              <w:rPr>
                <w:rFonts w:ascii="Arial" w:cs="Arial" w:eastAsia="Arial" w:hAnsi="Arial"/>
                <w:sz w:val="12"/>
                <w:szCs w:val="12"/>
                <w:b w:val="1"/>
                <w:bCs w:val="1"/>
                <w:color w:val="325889"/>
              </w:rPr>
              <w:t>Market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right"/>
              <w:spacing w:after="0" w:line="131" w:lineRule="exact"/>
              <w:rPr>
                <w:sz w:val="20"/>
                <w:szCs w:val="20"/>
                <w:color w:val="auto"/>
              </w:rPr>
            </w:pPr>
            <w:r>
              <w:rPr>
                <w:rFonts w:ascii="Arial" w:cs="Arial" w:eastAsia="Arial" w:hAnsi="Arial"/>
                <w:sz w:val="12"/>
                <w:szCs w:val="12"/>
                <w:b w:val="1"/>
                <w:bCs w:val="1"/>
                <w:color w:val="325889"/>
              </w:rPr>
              <w:t>Unearned</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2"/>
                <w:szCs w:val="12"/>
                <w:b w:val="1"/>
                <w:bCs w:val="1"/>
                <w:color w:val="325889"/>
              </w:rPr>
              <w:t>Unearned</w:t>
            </w:r>
          </w:p>
        </w:tc>
      </w:tr>
      <w:tr>
        <w:trPr>
          <w:trHeight w:val="131"/>
        </w:trPr>
        <w:tc>
          <w:tcPr>
            <w:tcW w:w="2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right"/>
              <w:ind w:right="220"/>
              <w:spacing w:after="0" w:line="131" w:lineRule="exact"/>
              <w:rPr>
                <w:sz w:val="20"/>
                <w:szCs w:val="20"/>
                <w:color w:val="auto"/>
              </w:rPr>
            </w:pPr>
            <w:r>
              <w:rPr>
                <w:rFonts w:ascii="Arial" w:cs="Arial" w:eastAsia="Arial" w:hAnsi="Arial"/>
                <w:sz w:val="12"/>
                <w:szCs w:val="12"/>
                <w:b w:val="1"/>
                <w:bCs w:val="1"/>
                <w:color w:val="325889"/>
              </w:rPr>
              <w:t>Number of</w:t>
            </w:r>
          </w:p>
        </w:tc>
        <w:tc>
          <w:tcPr>
            <w:tcW w:w="1060" w:type="dxa"/>
            <w:vAlign w:val="bottom"/>
            <w:gridSpan w:val="2"/>
          </w:tcPr>
          <w:p>
            <w:pPr>
              <w:jc w:val="right"/>
              <w:ind w:right="240"/>
              <w:spacing w:after="0" w:line="131" w:lineRule="exact"/>
              <w:rPr>
                <w:sz w:val="20"/>
                <w:szCs w:val="20"/>
                <w:color w:val="auto"/>
              </w:rPr>
            </w:pPr>
            <w:r>
              <w:rPr>
                <w:rFonts w:ascii="Arial" w:cs="Arial" w:eastAsia="Arial" w:hAnsi="Arial"/>
                <w:sz w:val="12"/>
                <w:szCs w:val="12"/>
                <w:b w:val="1"/>
                <w:bCs w:val="1"/>
                <w:color w:val="325889"/>
              </w:rPr>
              <w:t>Number of</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2"/>
          </w:tcPr>
          <w:p>
            <w:pPr>
              <w:jc w:val="right"/>
              <w:ind w:right="140"/>
              <w:spacing w:after="0" w:line="131" w:lineRule="exact"/>
              <w:rPr>
                <w:sz w:val="20"/>
                <w:szCs w:val="20"/>
                <w:color w:val="auto"/>
              </w:rPr>
            </w:pPr>
            <w:r>
              <w:rPr>
                <w:rFonts w:ascii="Arial" w:cs="Arial" w:eastAsia="Arial" w:hAnsi="Arial"/>
                <w:sz w:val="12"/>
                <w:szCs w:val="12"/>
                <w:b w:val="1"/>
                <w:bCs w:val="1"/>
                <w:color w:val="325889"/>
              </w:rPr>
              <w:t>Number</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4"/>
          </w:tcPr>
          <w:p>
            <w:pPr>
              <w:jc w:val="right"/>
              <w:spacing w:after="0" w:line="131" w:lineRule="exact"/>
              <w:rPr>
                <w:sz w:val="20"/>
                <w:szCs w:val="20"/>
                <w:color w:val="auto"/>
              </w:rPr>
            </w:pPr>
            <w:r>
              <w:rPr>
                <w:rFonts w:ascii="Arial" w:cs="Arial" w:eastAsia="Arial" w:hAnsi="Arial"/>
                <w:sz w:val="12"/>
                <w:szCs w:val="12"/>
                <w:b w:val="1"/>
                <w:bCs w:val="1"/>
                <w:color w:val="325889"/>
              </w:rPr>
              <w:t>Value of</w:t>
            </w:r>
          </w:p>
        </w:tc>
        <w:tc>
          <w:tcPr>
            <w:tcW w:w="240" w:type="dxa"/>
            <w:vAlign w:val="bottom"/>
          </w:tcPr>
          <w:p>
            <w:pPr>
              <w:spacing w:after="0"/>
              <w:rPr>
                <w:sz w:val="11"/>
                <w:szCs w:val="11"/>
                <w:color w:val="auto"/>
              </w:rPr>
            </w:pPr>
          </w:p>
        </w:tc>
        <w:tc>
          <w:tcPr>
            <w:tcW w:w="760" w:type="dxa"/>
            <w:vAlign w:val="bottom"/>
            <w:gridSpan w:val="4"/>
          </w:tcPr>
          <w:p>
            <w:pPr>
              <w:jc w:val="right"/>
              <w:spacing w:after="0" w:line="131" w:lineRule="exact"/>
              <w:rPr>
                <w:sz w:val="20"/>
                <w:szCs w:val="20"/>
                <w:color w:val="auto"/>
              </w:rPr>
            </w:pPr>
            <w:r>
              <w:rPr>
                <w:rFonts w:ascii="Arial" w:cs="Arial" w:eastAsia="Arial" w:hAnsi="Arial"/>
                <w:sz w:val="12"/>
                <w:szCs w:val="12"/>
                <w:b w:val="1"/>
                <w:bCs w:val="1"/>
                <w:color w:val="325889"/>
                <w:w w:val="96"/>
              </w:rPr>
              <w:t>Shares, Units</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2"/>
                <w:szCs w:val="12"/>
                <w:b w:val="1"/>
                <w:bCs w:val="1"/>
                <w:color w:val="325889"/>
              </w:rPr>
              <w:t>Shares</w:t>
            </w:r>
          </w:p>
        </w:tc>
      </w:tr>
      <w:tr>
        <w:trPr>
          <w:trHeight w:val="131"/>
        </w:trPr>
        <w:tc>
          <w:tcPr>
            <w:tcW w:w="2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right"/>
              <w:ind w:right="220"/>
              <w:spacing w:after="0" w:line="131" w:lineRule="exact"/>
              <w:rPr>
                <w:sz w:val="20"/>
                <w:szCs w:val="20"/>
                <w:color w:val="auto"/>
              </w:rPr>
            </w:pPr>
            <w:r>
              <w:rPr>
                <w:rFonts w:ascii="Arial" w:cs="Arial" w:eastAsia="Arial" w:hAnsi="Arial"/>
                <w:sz w:val="12"/>
                <w:szCs w:val="12"/>
                <w:b w:val="1"/>
                <w:bCs w:val="1"/>
                <w:color w:val="325889"/>
              </w:rPr>
              <w:t>Securities</w:t>
            </w:r>
          </w:p>
        </w:tc>
        <w:tc>
          <w:tcPr>
            <w:tcW w:w="1060" w:type="dxa"/>
            <w:vAlign w:val="bottom"/>
            <w:gridSpan w:val="2"/>
          </w:tcPr>
          <w:p>
            <w:pPr>
              <w:jc w:val="right"/>
              <w:ind w:right="240"/>
              <w:spacing w:after="0" w:line="131" w:lineRule="exact"/>
              <w:rPr>
                <w:sz w:val="20"/>
                <w:szCs w:val="20"/>
                <w:color w:val="auto"/>
              </w:rPr>
            </w:pPr>
            <w:r>
              <w:rPr>
                <w:rFonts w:ascii="Arial" w:cs="Arial" w:eastAsia="Arial" w:hAnsi="Arial"/>
                <w:sz w:val="12"/>
                <w:szCs w:val="12"/>
                <w:b w:val="1"/>
                <w:bCs w:val="1"/>
                <w:color w:val="325889"/>
              </w:rPr>
              <w:t>Securities</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2"/>
          </w:tcPr>
          <w:p>
            <w:pPr>
              <w:jc w:val="right"/>
              <w:ind w:right="140"/>
              <w:spacing w:after="0" w:line="131" w:lineRule="exact"/>
              <w:rPr>
                <w:sz w:val="20"/>
                <w:szCs w:val="20"/>
                <w:color w:val="auto"/>
              </w:rPr>
            </w:pPr>
            <w:r>
              <w:rPr>
                <w:rFonts w:ascii="Arial" w:cs="Arial" w:eastAsia="Arial" w:hAnsi="Arial"/>
                <w:sz w:val="12"/>
                <w:szCs w:val="12"/>
                <w:b w:val="1"/>
                <w:bCs w:val="1"/>
                <w:color w:val="325889"/>
              </w:rPr>
              <w:t>of Shares</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4"/>
          </w:tcPr>
          <w:p>
            <w:pPr>
              <w:jc w:val="right"/>
              <w:spacing w:after="0" w:line="131" w:lineRule="exact"/>
              <w:rPr>
                <w:sz w:val="20"/>
                <w:szCs w:val="20"/>
                <w:color w:val="auto"/>
              </w:rPr>
            </w:pPr>
            <w:r>
              <w:rPr>
                <w:rFonts w:ascii="Arial" w:cs="Arial" w:eastAsia="Arial" w:hAnsi="Arial"/>
                <w:sz w:val="12"/>
                <w:szCs w:val="12"/>
                <w:b w:val="1"/>
                <w:bCs w:val="1"/>
                <w:color w:val="325889"/>
              </w:rPr>
              <w:t>Shares 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1" w:lineRule="exact"/>
              <w:rPr>
                <w:sz w:val="20"/>
                <w:szCs w:val="20"/>
                <w:color w:val="auto"/>
              </w:rPr>
            </w:pPr>
            <w:r>
              <w:rPr>
                <w:rFonts w:ascii="Arial" w:cs="Arial" w:eastAsia="Arial" w:hAnsi="Arial"/>
                <w:sz w:val="12"/>
                <w:szCs w:val="12"/>
                <w:b w:val="1"/>
                <w:bCs w:val="1"/>
                <w:color w:val="325889"/>
              </w:rPr>
              <w:t>or Other</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2"/>
                <w:szCs w:val="12"/>
                <w:b w:val="1"/>
                <w:bCs w:val="1"/>
                <w:color w:val="325889"/>
              </w:rPr>
              <w:t>or Units</w:t>
            </w:r>
          </w:p>
        </w:tc>
      </w:tr>
      <w:tr>
        <w:trPr>
          <w:trHeight w:val="131"/>
        </w:trPr>
        <w:tc>
          <w:tcPr>
            <w:tcW w:w="2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right"/>
              <w:ind w:right="220"/>
              <w:spacing w:after="0" w:line="131" w:lineRule="exact"/>
              <w:rPr>
                <w:sz w:val="20"/>
                <w:szCs w:val="20"/>
                <w:color w:val="auto"/>
              </w:rPr>
            </w:pPr>
            <w:r>
              <w:rPr>
                <w:rFonts w:ascii="Arial" w:cs="Arial" w:eastAsia="Arial" w:hAnsi="Arial"/>
                <w:sz w:val="12"/>
                <w:szCs w:val="12"/>
                <w:b w:val="1"/>
                <w:bCs w:val="1"/>
                <w:color w:val="325889"/>
              </w:rPr>
              <w:t>Underlying</w:t>
            </w:r>
          </w:p>
        </w:tc>
        <w:tc>
          <w:tcPr>
            <w:tcW w:w="1060" w:type="dxa"/>
            <w:vAlign w:val="bottom"/>
            <w:gridSpan w:val="2"/>
          </w:tcPr>
          <w:p>
            <w:pPr>
              <w:jc w:val="right"/>
              <w:ind w:right="240"/>
              <w:spacing w:after="0" w:line="131" w:lineRule="exact"/>
              <w:rPr>
                <w:sz w:val="20"/>
                <w:szCs w:val="20"/>
                <w:color w:val="auto"/>
              </w:rPr>
            </w:pPr>
            <w:r>
              <w:rPr>
                <w:rFonts w:ascii="Arial" w:cs="Arial" w:eastAsia="Arial" w:hAnsi="Arial"/>
                <w:sz w:val="12"/>
                <w:szCs w:val="12"/>
                <w:b w:val="1"/>
                <w:bCs w:val="1"/>
                <w:color w:val="325889"/>
              </w:rPr>
              <w:t>Underlying</w:t>
            </w:r>
          </w:p>
        </w:tc>
        <w:tc>
          <w:tcPr>
            <w:tcW w:w="120" w:type="dxa"/>
            <w:vAlign w:val="bottom"/>
          </w:tcPr>
          <w:p>
            <w:pPr>
              <w:spacing w:after="0"/>
              <w:rPr>
                <w:sz w:val="11"/>
                <w:szCs w:val="11"/>
                <w:color w:val="auto"/>
              </w:rPr>
            </w:pPr>
          </w:p>
        </w:tc>
        <w:tc>
          <w:tcPr>
            <w:tcW w:w="740" w:type="dxa"/>
            <w:vAlign w:val="bottom"/>
            <w:gridSpan w:val="2"/>
          </w:tcPr>
          <w:p>
            <w:pPr>
              <w:jc w:val="right"/>
              <w:ind w:right="240"/>
              <w:spacing w:after="0" w:line="131" w:lineRule="exact"/>
              <w:rPr>
                <w:sz w:val="20"/>
                <w:szCs w:val="20"/>
                <w:color w:val="auto"/>
              </w:rPr>
            </w:pPr>
            <w:r>
              <w:rPr>
                <w:rFonts w:ascii="Arial" w:cs="Arial" w:eastAsia="Arial" w:hAnsi="Arial"/>
                <w:sz w:val="12"/>
                <w:szCs w:val="12"/>
                <w:b w:val="1"/>
                <w:bCs w:val="1"/>
                <w:color w:val="325889"/>
              </w:rPr>
              <w:t>Option</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2"/>
          </w:tcPr>
          <w:p>
            <w:pPr>
              <w:jc w:val="right"/>
              <w:ind w:right="140"/>
              <w:spacing w:after="0" w:line="131" w:lineRule="exact"/>
              <w:rPr>
                <w:sz w:val="20"/>
                <w:szCs w:val="20"/>
                <w:color w:val="auto"/>
              </w:rPr>
            </w:pPr>
            <w:r>
              <w:rPr>
                <w:rFonts w:ascii="Arial" w:cs="Arial" w:eastAsia="Arial" w:hAnsi="Arial"/>
                <w:sz w:val="12"/>
                <w:szCs w:val="12"/>
                <w:b w:val="1"/>
                <w:bCs w:val="1"/>
                <w:color w:val="325889"/>
              </w:rPr>
              <w:t>or Units of</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4"/>
          </w:tcPr>
          <w:p>
            <w:pPr>
              <w:jc w:val="right"/>
              <w:spacing w:after="0" w:line="131" w:lineRule="exact"/>
              <w:rPr>
                <w:sz w:val="20"/>
                <w:szCs w:val="20"/>
                <w:color w:val="auto"/>
              </w:rPr>
            </w:pPr>
            <w:r>
              <w:rPr>
                <w:rFonts w:ascii="Arial" w:cs="Arial" w:eastAsia="Arial" w:hAnsi="Arial"/>
                <w:sz w:val="12"/>
                <w:szCs w:val="12"/>
                <w:b w:val="1"/>
                <w:bCs w:val="1"/>
                <w:color w:val="325889"/>
              </w:rPr>
              <w:t>Units of</w:t>
            </w:r>
          </w:p>
        </w:tc>
        <w:tc>
          <w:tcPr>
            <w:tcW w:w="240" w:type="dxa"/>
            <w:vAlign w:val="bottom"/>
          </w:tcPr>
          <w:p>
            <w:pPr>
              <w:spacing w:after="0"/>
              <w:rPr>
                <w:sz w:val="11"/>
                <w:szCs w:val="11"/>
                <w:color w:val="auto"/>
              </w:rPr>
            </w:pPr>
          </w:p>
        </w:tc>
        <w:tc>
          <w:tcPr>
            <w:tcW w:w="760" w:type="dxa"/>
            <w:vAlign w:val="bottom"/>
            <w:gridSpan w:val="4"/>
          </w:tcPr>
          <w:p>
            <w:pPr>
              <w:jc w:val="right"/>
              <w:spacing w:after="0" w:line="131" w:lineRule="exact"/>
              <w:rPr>
                <w:sz w:val="20"/>
                <w:szCs w:val="20"/>
                <w:color w:val="auto"/>
              </w:rPr>
            </w:pPr>
            <w:r>
              <w:rPr>
                <w:rFonts w:ascii="Arial" w:cs="Arial" w:eastAsia="Arial" w:hAnsi="Arial"/>
                <w:sz w:val="12"/>
                <w:szCs w:val="12"/>
                <w:b w:val="1"/>
                <w:bCs w:val="1"/>
                <w:color w:val="325889"/>
              </w:rPr>
              <w:t>Rights That</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2"/>
                <w:szCs w:val="12"/>
                <w:b w:val="1"/>
                <w:bCs w:val="1"/>
                <w:color w:val="325889"/>
              </w:rPr>
              <w:t>or Other</w:t>
            </w:r>
          </w:p>
        </w:tc>
      </w:tr>
      <w:tr>
        <w:trPr>
          <w:trHeight w:val="131"/>
        </w:trPr>
        <w:tc>
          <w:tcPr>
            <w:tcW w:w="2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right"/>
              <w:ind w:right="220"/>
              <w:spacing w:after="0" w:line="131" w:lineRule="exact"/>
              <w:rPr>
                <w:sz w:val="20"/>
                <w:szCs w:val="20"/>
                <w:color w:val="auto"/>
              </w:rPr>
            </w:pPr>
            <w:r>
              <w:rPr>
                <w:rFonts w:ascii="Arial" w:cs="Arial" w:eastAsia="Arial" w:hAnsi="Arial"/>
                <w:sz w:val="12"/>
                <w:szCs w:val="12"/>
                <w:b w:val="1"/>
                <w:bCs w:val="1"/>
                <w:color w:val="325889"/>
                <w:w w:val="98"/>
              </w:rPr>
              <w:t>Unexercised</w:t>
            </w:r>
          </w:p>
        </w:tc>
        <w:tc>
          <w:tcPr>
            <w:tcW w:w="1060" w:type="dxa"/>
            <w:vAlign w:val="bottom"/>
            <w:gridSpan w:val="2"/>
          </w:tcPr>
          <w:p>
            <w:pPr>
              <w:jc w:val="right"/>
              <w:ind w:right="240"/>
              <w:spacing w:after="0" w:line="131" w:lineRule="exact"/>
              <w:rPr>
                <w:sz w:val="20"/>
                <w:szCs w:val="20"/>
                <w:color w:val="auto"/>
              </w:rPr>
            </w:pPr>
            <w:r>
              <w:rPr>
                <w:rFonts w:ascii="Arial" w:cs="Arial" w:eastAsia="Arial" w:hAnsi="Arial"/>
                <w:sz w:val="12"/>
                <w:szCs w:val="12"/>
                <w:b w:val="1"/>
                <w:bCs w:val="1"/>
                <w:color w:val="325889"/>
              </w:rPr>
              <w:t>Unexercised</w:t>
            </w:r>
          </w:p>
        </w:tc>
        <w:tc>
          <w:tcPr>
            <w:tcW w:w="120" w:type="dxa"/>
            <w:vAlign w:val="bottom"/>
          </w:tcPr>
          <w:p>
            <w:pPr>
              <w:spacing w:after="0"/>
              <w:rPr>
                <w:sz w:val="11"/>
                <w:szCs w:val="11"/>
                <w:color w:val="auto"/>
              </w:rPr>
            </w:pPr>
          </w:p>
        </w:tc>
        <w:tc>
          <w:tcPr>
            <w:tcW w:w="740" w:type="dxa"/>
            <w:vAlign w:val="bottom"/>
            <w:gridSpan w:val="2"/>
          </w:tcPr>
          <w:p>
            <w:pPr>
              <w:jc w:val="right"/>
              <w:ind w:right="240"/>
              <w:spacing w:after="0" w:line="131" w:lineRule="exact"/>
              <w:rPr>
                <w:sz w:val="20"/>
                <w:szCs w:val="20"/>
                <w:color w:val="auto"/>
              </w:rPr>
            </w:pPr>
            <w:r>
              <w:rPr>
                <w:rFonts w:ascii="Arial" w:cs="Arial" w:eastAsia="Arial" w:hAnsi="Arial"/>
                <w:sz w:val="12"/>
                <w:szCs w:val="12"/>
                <w:b w:val="1"/>
                <w:bCs w:val="1"/>
                <w:color w:val="325889"/>
                <w:w w:val="97"/>
              </w:rPr>
              <w:t>Exercise</w:t>
            </w:r>
          </w:p>
        </w:tc>
        <w:tc>
          <w:tcPr>
            <w:tcW w:w="1020" w:type="dxa"/>
            <w:vAlign w:val="bottom"/>
            <w:gridSpan w:val="2"/>
          </w:tcPr>
          <w:p>
            <w:pPr>
              <w:jc w:val="right"/>
              <w:ind w:right="240"/>
              <w:spacing w:after="0" w:line="131" w:lineRule="exact"/>
              <w:rPr>
                <w:sz w:val="20"/>
                <w:szCs w:val="20"/>
                <w:color w:val="auto"/>
              </w:rPr>
            </w:pPr>
            <w:r>
              <w:rPr>
                <w:rFonts w:ascii="Arial" w:cs="Arial" w:eastAsia="Arial" w:hAnsi="Arial"/>
                <w:sz w:val="12"/>
                <w:szCs w:val="12"/>
                <w:b w:val="1"/>
                <w:bCs w:val="1"/>
                <w:color w:val="325889"/>
              </w:rPr>
              <w:t>Option</w:t>
            </w:r>
          </w:p>
        </w:tc>
        <w:tc>
          <w:tcPr>
            <w:tcW w:w="800" w:type="dxa"/>
            <w:vAlign w:val="bottom"/>
            <w:gridSpan w:val="2"/>
          </w:tcPr>
          <w:p>
            <w:pPr>
              <w:jc w:val="right"/>
              <w:ind w:right="140"/>
              <w:spacing w:after="0" w:line="131" w:lineRule="exact"/>
              <w:rPr>
                <w:sz w:val="20"/>
                <w:szCs w:val="20"/>
                <w:color w:val="auto"/>
              </w:rPr>
            </w:pPr>
            <w:r>
              <w:rPr>
                <w:rFonts w:ascii="Arial" w:cs="Arial" w:eastAsia="Arial" w:hAnsi="Arial"/>
                <w:sz w:val="12"/>
                <w:szCs w:val="12"/>
                <w:b w:val="1"/>
                <w:bCs w:val="1"/>
                <w:color w:val="325889"/>
              </w:rPr>
              <w:t>Stock That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4"/>
          </w:tcPr>
          <w:p>
            <w:pPr>
              <w:jc w:val="right"/>
              <w:spacing w:after="0" w:line="131" w:lineRule="exact"/>
              <w:rPr>
                <w:sz w:val="20"/>
                <w:szCs w:val="20"/>
                <w:color w:val="auto"/>
              </w:rPr>
            </w:pPr>
            <w:r>
              <w:rPr>
                <w:rFonts w:ascii="Arial" w:cs="Arial" w:eastAsia="Arial" w:hAnsi="Arial"/>
                <w:sz w:val="12"/>
                <w:szCs w:val="12"/>
                <w:b w:val="1"/>
                <w:bCs w:val="1"/>
                <w:color w:val="325889"/>
              </w:rPr>
              <w:t>Stock That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right"/>
              <w:spacing w:after="0" w:line="131" w:lineRule="exact"/>
              <w:rPr>
                <w:sz w:val="20"/>
                <w:szCs w:val="20"/>
                <w:color w:val="auto"/>
              </w:rPr>
            </w:pPr>
            <w:r>
              <w:rPr>
                <w:rFonts w:ascii="Arial" w:cs="Arial" w:eastAsia="Arial" w:hAnsi="Arial"/>
                <w:sz w:val="12"/>
                <w:szCs w:val="12"/>
                <w:b w:val="1"/>
                <w:bCs w:val="1"/>
                <w:color w:val="325889"/>
              </w:rPr>
              <w:t>Have Not</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2"/>
                <w:szCs w:val="12"/>
                <w:b w:val="1"/>
                <w:bCs w:val="1"/>
                <w:color w:val="325889"/>
              </w:rPr>
              <w:t>Rights that</w:t>
            </w:r>
          </w:p>
        </w:tc>
      </w:tr>
      <w:tr>
        <w:trPr>
          <w:trHeight w:val="131"/>
        </w:trPr>
        <w:tc>
          <w:tcPr>
            <w:tcW w:w="2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right"/>
              <w:ind w:right="220"/>
              <w:spacing w:after="0" w:line="131" w:lineRule="exact"/>
              <w:rPr>
                <w:sz w:val="20"/>
                <w:szCs w:val="20"/>
                <w:color w:val="auto"/>
              </w:rPr>
            </w:pPr>
            <w:r>
              <w:rPr>
                <w:rFonts w:ascii="Arial" w:cs="Arial" w:eastAsia="Arial" w:hAnsi="Arial"/>
                <w:sz w:val="12"/>
                <w:szCs w:val="12"/>
                <w:b w:val="1"/>
                <w:bCs w:val="1"/>
                <w:color w:val="325889"/>
              </w:rPr>
              <w:t>Options (#)</w:t>
            </w:r>
          </w:p>
        </w:tc>
        <w:tc>
          <w:tcPr>
            <w:tcW w:w="1060" w:type="dxa"/>
            <w:vAlign w:val="bottom"/>
            <w:gridSpan w:val="2"/>
          </w:tcPr>
          <w:p>
            <w:pPr>
              <w:jc w:val="right"/>
              <w:ind w:right="240"/>
              <w:spacing w:after="0" w:line="131" w:lineRule="exact"/>
              <w:rPr>
                <w:sz w:val="20"/>
                <w:szCs w:val="20"/>
                <w:color w:val="auto"/>
              </w:rPr>
            </w:pPr>
            <w:r>
              <w:rPr>
                <w:rFonts w:ascii="Arial" w:cs="Arial" w:eastAsia="Arial" w:hAnsi="Arial"/>
                <w:sz w:val="12"/>
                <w:szCs w:val="12"/>
                <w:b w:val="1"/>
                <w:bCs w:val="1"/>
                <w:color w:val="325889"/>
              </w:rPr>
              <w:t>Options (#)</w:t>
            </w:r>
          </w:p>
        </w:tc>
        <w:tc>
          <w:tcPr>
            <w:tcW w:w="120" w:type="dxa"/>
            <w:vAlign w:val="bottom"/>
          </w:tcPr>
          <w:p>
            <w:pPr>
              <w:spacing w:after="0"/>
              <w:rPr>
                <w:sz w:val="11"/>
                <w:szCs w:val="11"/>
                <w:color w:val="auto"/>
              </w:rPr>
            </w:pPr>
          </w:p>
        </w:tc>
        <w:tc>
          <w:tcPr>
            <w:tcW w:w="740" w:type="dxa"/>
            <w:vAlign w:val="bottom"/>
            <w:gridSpan w:val="2"/>
          </w:tcPr>
          <w:p>
            <w:pPr>
              <w:jc w:val="right"/>
              <w:ind w:right="240"/>
              <w:spacing w:after="0" w:line="131" w:lineRule="exact"/>
              <w:rPr>
                <w:sz w:val="20"/>
                <w:szCs w:val="20"/>
                <w:color w:val="auto"/>
              </w:rPr>
            </w:pPr>
            <w:r>
              <w:rPr>
                <w:rFonts w:ascii="Arial" w:cs="Arial" w:eastAsia="Arial" w:hAnsi="Arial"/>
                <w:sz w:val="12"/>
                <w:szCs w:val="12"/>
                <w:b w:val="1"/>
                <w:bCs w:val="1"/>
                <w:color w:val="325889"/>
              </w:rPr>
              <w:t>Price</w:t>
            </w:r>
          </w:p>
        </w:tc>
        <w:tc>
          <w:tcPr>
            <w:tcW w:w="1020" w:type="dxa"/>
            <w:vAlign w:val="bottom"/>
            <w:gridSpan w:val="2"/>
          </w:tcPr>
          <w:p>
            <w:pPr>
              <w:jc w:val="right"/>
              <w:ind w:right="240"/>
              <w:spacing w:after="0" w:line="131" w:lineRule="exact"/>
              <w:rPr>
                <w:sz w:val="20"/>
                <w:szCs w:val="20"/>
                <w:color w:val="auto"/>
              </w:rPr>
            </w:pPr>
            <w:r>
              <w:rPr>
                <w:rFonts w:ascii="Arial" w:cs="Arial" w:eastAsia="Arial" w:hAnsi="Arial"/>
                <w:sz w:val="12"/>
                <w:szCs w:val="12"/>
                <w:b w:val="1"/>
                <w:bCs w:val="1"/>
                <w:color w:val="325889"/>
              </w:rPr>
              <w:t>Expiration</w:t>
            </w:r>
          </w:p>
        </w:tc>
        <w:tc>
          <w:tcPr>
            <w:tcW w:w="800" w:type="dxa"/>
            <w:vAlign w:val="bottom"/>
            <w:gridSpan w:val="2"/>
          </w:tcPr>
          <w:p>
            <w:pPr>
              <w:jc w:val="right"/>
              <w:ind w:right="140"/>
              <w:spacing w:after="0" w:line="131" w:lineRule="exact"/>
              <w:rPr>
                <w:sz w:val="20"/>
                <w:szCs w:val="20"/>
                <w:color w:val="auto"/>
              </w:rPr>
            </w:pPr>
            <w:r>
              <w:rPr>
                <w:rFonts w:ascii="Arial" w:cs="Arial" w:eastAsia="Arial" w:hAnsi="Arial"/>
                <w:sz w:val="12"/>
                <w:szCs w:val="12"/>
                <w:b w:val="1"/>
                <w:bCs w:val="1"/>
                <w:color w:val="325889"/>
              </w:rPr>
              <w:t>Have Not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4"/>
          </w:tcPr>
          <w:p>
            <w:pPr>
              <w:jc w:val="right"/>
              <w:spacing w:after="0" w:line="131" w:lineRule="exact"/>
              <w:rPr>
                <w:sz w:val="20"/>
                <w:szCs w:val="20"/>
                <w:color w:val="auto"/>
              </w:rPr>
            </w:pPr>
            <w:r>
              <w:rPr>
                <w:rFonts w:ascii="Arial" w:cs="Arial" w:eastAsia="Arial" w:hAnsi="Arial"/>
                <w:sz w:val="12"/>
                <w:szCs w:val="12"/>
                <w:b w:val="1"/>
                <w:bCs w:val="1"/>
                <w:color w:val="325889"/>
              </w:rPr>
              <w:t>Have Not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1" w:lineRule="exact"/>
              <w:rPr>
                <w:sz w:val="20"/>
                <w:szCs w:val="20"/>
                <w:color w:val="auto"/>
              </w:rPr>
            </w:pPr>
            <w:r>
              <w:rPr>
                <w:rFonts w:ascii="Arial" w:cs="Arial" w:eastAsia="Arial" w:hAnsi="Arial"/>
                <w:sz w:val="12"/>
                <w:szCs w:val="12"/>
                <w:b w:val="1"/>
                <w:bCs w:val="1"/>
                <w:color w:val="325889"/>
              </w:rPr>
              <w:t>Vested</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2"/>
                <w:szCs w:val="12"/>
                <w:b w:val="1"/>
                <w:bCs w:val="1"/>
                <w:color w:val="325889"/>
              </w:rPr>
              <w:t>Have Not</w:t>
            </w:r>
          </w:p>
        </w:tc>
      </w:tr>
      <w:tr>
        <w:trPr>
          <w:trHeight w:val="178"/>
        </w:trPr>
        <w:tc>
          <w:tcPr>
            <w:tcW w:w="334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325889"/>
              </w:rPr>
              <w:t>Exercisable</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325889"/>
                <w:w w:val="98"/>
              </w:rPr>
              <w:t>Unexercisable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b w:val="1"/>
                <w:bCs w:val="1"/>
                <w:color w:val="325889"/>
              </w:rPr>
              <w:t>($)</w:t>
            </w:r>
          </w:p>
        </w:tc>
        <w:tc>
          <w:tcPr>
            <w:tcW w:w="24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325889"/>
              </w:rPr>
              <w:t>Date</w:t>
            </w:r>
          </w:p>
        </w:tc>
        <w:tc>
          <w:tcPr>
            <w:tcW w:w="800" w:type="dxa"/>
            <w:vAlign w:val="bottom"/>
            <w:gridSpan w:val="2"/>
          </w:tcPr>
          <w:p>
            <w:pPr>
              <w:jc w:val="right"/>
              <w:ind w:right="140"/>
              <w:spacing w:after="0" w:line="178" w:lineRule="exact"/>
              <w:rPr>
                <w:sz w:val="20"/>
                <w:szCs w:val="20"/>
                <w:color w:val="auto"/>
              </w:rPr>
            </w:pPr>
            <w:r>
              <w:rPr>
                <w:rFonts w:ascii="Arial" w:cs="Arial" w:eastAsia="Arial" w:hAnsi="Arial"/>
                <w:sz w:val="12"/>
                <w:szCs w:val="12"/>
                <w:b w:val="1"/>
                <w:bCs w:val="1"/>
                <w:color w:val="325889"/>
                <w:w w:val="92"/>
              </w:rPr>
              <w:t>Vested(#)</w:t>
            </w:r>
            <w:r>
              <w:rPr>
                <w:rFonts w:ascii="Arial" w:cs="Arial" w:eastAsia="Arial" w:hAnsi="Arial"/>
                <w:sz w:val="19"/>
                <w:szCs w:val="19"/>
                <w:b w:val="1"/>
                <w:bCs w:val="1"/>
                <w:color w:val="325889"/>
                <w:w w:val="92"/>
                <w:vertAlign w:val="superscript"/>
              </w:rPr>
              <w:t>(1)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4"/>
          </w:tcPr>
          <w:p>
            <w:pPr>
              <w:jc w:val="right"/>
              <w:spacing w:after="0" w:line="178" w:lineRule="exact"/>
              <w:rPr>
                <w:sz w:val="20"/>
                <w:szCs w:val="20"/>
                <w:color w:val="auto"/>
              </w:rPr>
            </w:pPr>
            <w:r>
              <w:rPr>
                <w:rFonts w:ascii="Arial" w:cs="Arial" w:eastAsia="Arial" w:hAnsi="Arial"/>
                <w:sz w:val="12"/>
                <w:szCs w:val="12"/>
                <w:b w:val="1"/>
                <w:bCs w:val="1"/>
                <w:color w:val="325889"/>
              </w:rPr>
              <w:t>Vested</w:t>
            </w:r>
            <w:r>
              <w:rPr>
                <w:rFonts w:ascii="Arial" w:cs="Arial" w:eastAsia="Arial" w:hAnsi="Arial"/>
                <w:sz w:val="19"/>
                <w:szCs w:val="19"/>
                <w:b w:val="1"/>
                <w:bCs w:val="1"/>
                <w:color w:val="325889"/>
                <w:vertAlign w:val="superscript"/>
              </w:rPr>
              <w:t>(2)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2"/>
                <w:szCs w:val="12"/>
                <w:b w:val="1"/>
                <w:bCs w:val="1"/>
                <w:color w:val="325889"/>
              </w:rPr>
              <w: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line="178" w:lineRule="exact"/>
              <w:rPr>
                <w:sz w:val="20"/>
                <w:szCs w:val="20"/>
                <w:color w:val="auto"/>
              </w:rPr>
            </w:pPr>
            <w:r>
              <w:rPr>
                <w:rFonts w:ascii="Arial" w:cs="Arial" w:eastAsia="Arial" w:hAnsi="Arial"/>
                <w:sz w:val="12"/>
                <w:szCs w:val="12"/>
                <w:b w:val="1"/>
                <w:bCs w:val="1"/>
                <w:color w:val="325889"/>
              </w:rPr>
              <w:t>Vested</w:t>
            </w:r>
            <w:r>
              <w:rPr>
                <w:rFonts w:ascii="Arial" w:cs="Arial" w:eastAsia="Arial" w:hAnsi="Arial"/>
                <w:sz w:val="19"/>
                <w:szCs w:val="19"/>
                <w:b w:val="1"/>
                <w:bCs w:val="1"/>
                <w:color w:val="325889"/>
                <w:vertAlign w:val="superscript"/>
              </w:rPr>
              <w:t>(2)</w:t>
            </w:r>
          </w:p>
        </w:tc>
      </w:tr>
      <w:tr>
        <w:trPr>
          <w:trHeight w:val="24"/>
        </w:trPr>
        <w:tc>
          <w:tcPr>
            <w:tcW w:w="280" w:type="dxa"/>
            <w:vAlign w:val="bottom"/>
            <w:shd w:val="clear" w:color="auto" w:fill="325889"/>
          </w:tcPr>
          <w:p>
            <w:pPr>
              <w:spacing w:after="0"/>
              <w:rPr>
                <w:sz w:val="2"/>
                <w:szCs w:val="2"/>
                <w:color w:val="auto"/>
              </w:rPr>
            </w:pPr>
          </w:p>
        </w:tc>
        <w:tc>
          <w:tcPr>
            <w:tcW w:w="3060" w:type="dxa"/>
            <w:vAlign w:val="bottom"/>
            <w:shd w:val="clear" w:color="auto" w:fill="325889"/>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325889"/>
          </w:tcPr>
          <w:p>
            <w:pPr>
              <w:spacing w:after="0"/>
              <w:rPr>
                <w:sz w:val="2"/>
                <w:szCs w:val="2"/>
                <w:color w:val="auto"/>
              </w:rPr>
            </w:pPr>
          </w:p>
        </w:tc>
        <w:tc>
          <w:tcPr>
            <w:tcW w:w="220" w:type="dxa"/>
            <w:vAlign w:val="bottom"/>
            <w:shd w:val="clear" w:color="auto" w:fill="CCD2DB"/>
          </w:tcPr>
          <w:p>
            <w:pPr>
              <w:spacing w:after="0"/>
              <w:rPr>
                <w:sz w:val="2"/>
                <w:szCs w:val="2"/>
                <w:color w:val="auto"/>
              </w:rPr>
            </w:pPr>
          </w:p>
        </w:tc>
        <w:tc>
          <w:tcPr>
            <w:tcW w:w="820" w:type="dxa"/>
            <w:vAlign w:val="bottom"/>
            <w:shd w:val="clear" w:color="auto" w:fill="325889"/>
          </w:tcPr>
          <w:p>
            <w:pPr>
              <w:spacing w:after="0"/>
              <w:rPr>
                <w:sz w:val="2"/>
                <w:szCs w:val="2"/>
                <w:color w:val="auto"/>
              </w:rPr>
            </w:pPr>
          </w:p>
        </w:tc>
        <w:tc>
          <w:tcPr>
            <w:tcW w:w="240" w:type="dxa"/>
            <w:vAlign w:val="bottom"/>
            <w:shd w:val="clear" w:color="auto" w:fill="CCD2DB"/>
          </w:tcPr>
          <w:p>
            <w:pPr>
              <w:spacing w:after="0"/>
              <w:rPr>
                <w:sz w:val="2"/>
                <w:szCs w:val="2"/>
                <w:color w:val="auto"/>
              </w:rPr>
            </w:pPr>
          </w:p>
        </w:tc>
        <w:tc>
          <w:tcPr>
            <w:tcW w:w="120" w:type="dxa"/>
            <w:vAlign w:val="bottom"/>
            <w:shd w:val="clear" w:color="auto" w:fill="325889"/>
          </w:tcPr>
          <w:p>
            <w:pPr>
              <w:spacing w:after="0"/>
              <w:rPr>
                <w:sz w:val="2"/>
                <w:szCs w:val="2"/>
                <w:color w:val="auto"/>
              </w:rPr>
            </w:pPr>
          </w:p>
        </w:tc>
        <w:tc>
          <w:tcPr>
            <w:tcW w:w="500" w:type="dxa"/>
            <w:vAlign w:val="bottom"/>
            <w:shd w:val="clear" w:color="auto" w:fill="325889"/>
          </w:tcPr>
          <w:p>
            <w:pPr>
              <w:spacing w:after="0"/>
              <w:rPr>
                <w:sz w:val="2"/>
                <w:szCs w:val="2"/>
                <w:color w:val="auto"/>
              </w:rPr>
            </w:pPr>
          </w:p>
        </w:tc>
        <w:tc>
          <w:tcPr>
            <w:tcW w:w="240" w:type="dxa"/>
            <w:vAlign w:val="bottom"/>
            <w:shd w:val="clear" w:color="auto" w:fill="CCD2DB"/>
          </w:tcPr>
          <w:p>
            <w:pPr>
              <w:spacing w:after="0"/>
              <w:rPr>
                <w:sz w:val="2"/>
                <w:szCs w:val="2"/>
                <w:color w:val="auto"/>
              </w:rPr>
            </w:pPr>
          </w:p>
        </w:tc>
        <w:tc>
          <w:tcPr>
            <w:tcW w:w="780" w:type="dxa"/>
            <w:vAlign w:val="bottom"/>
            <w:shd w:val="clear" w:color="auto" w:fill="325889"/>
          </w:tcPr>
          <w:p>
            <w:pPr>
              <w:spacing w:after="0"/>
              <w:rPr>
                <w:sz w:val="2"/>
                <w:szCs w:val="2"/>
                <w:color w:val="auto"/>
              </w:rPr>
            </w:pPr>
          </w:p>
        </w:tc>
        <w:tc>
          <w:tcPr>
            <w:tcW w:w="240" w:type="dxa"/>
            <w:vAlign w:val="bottom"/>
            <w:shd w:val="clear" w:color="auto" w:fill="CCD2DB"/>
          </w:tcPr>
          <w:p>
            <w:pPr>
              <w:spacing w:after="0"/>
              <w:rPr>
                <w:sz w:val="2"/>
                <w:szCs w:val="2"/>
                <w:color w:val="auto"/>
              </w:rPr>
            </w:pPr>
          </w:p>
        </w:tc>
        <w:tc>
          <w:tcPr>
            <w:tcW w:w="660" w:type="dxa"/>
            <w:vAlign w:val="bottom"/>
            <w:shd w:val="clear" w:color="auto" w:fill="325889"/>
          </w:tcPr>
          <w:p>
            <w:pPr>
              <w:spacing w:after="0"/>
              <w:rPr>
                <w:sz w:val="2"/>
                <w:szCs w:val="2"/>
                <w:color w:val="auto"/>
              </w:rPr>
            </w:pPr>
          </w:p>
        </w:tc>
        <w:tc>
          <w:tcPr>
            <w:tcW w:w="140" w:type="dxa"/>
            <w:vAlign w:val="bottom"/>
            <w:shd w:val="clear" w:color="auto" w:fill="CCD2DB"/>
          </w:tcPr>
          <w:p>
            <w:pPr>
              <w:spacing w:after="0"/>
              <w:rPr>
                <w:sz w:val="2"/>
                <w:szCs w:val="2"/>
                <w:color w:val="auto"/>
              </w:rPr>
            </w:pPr>
          </w:p>
        </w:tc>
        <w:tc>
          <w:tcPr>
            <w:tcW w:w="80" w:type="dxa"/>
            <w:vAlign w:val="bottom"/>
            <w:shd w:val="clear" w:color="auto" w:fill="CCD2DB"/>
          </w:tcPr>
          <w:p>
            <w:pPr>
              <w:spacing w:after="0"/>
              <w:rPr>
                <w:sz w:val="2"/>
                <w:szCs w:val="2"/>
                <w:color w:val="auto"/>
              </w:rPr>
            </w:pPr>
          </w:p>
        </w:tc>
        <w:tc>
          <w:tcPr>
            <w:tcW w:w="180" w:type="dxa"/>
            <w:vAlign w:val="bottom"/>
            <w:shd w:val="clear" w:color="auto" w:fill="325889"/>
          </w:tcPr>
          <w:p>
            <w:pPr>
              <w:spacing w:after="0"/>
              <w:rPr>
                <w:sz w:val="2"/>
                <w:szCs w:val="2"/>
                <w:color w:val="auto"/>
              </w:rPr>
            </w:pPr>
          </w:p>
        </w:tc>
        <w:tc>
          <w:tcPr>
            <w:tcW w:w="520" w:type="dxa"/>
            <w:vAlign w:val="bottom"/>
            <w:shd w:val="clear" w:color="auto" w:fill="325889"/>
          </w:tcPr>
          <w:p>
            <w:pPr>
              <w:spacing w:after="0"/>
              <w:rPr>
                <w:sz w:val="2"/>
                <w:szCs w:val="2"/>
                <w:color w:val="auto"/>
              </w:rPr>
            </w:pPr>
          </w:p>
        </w:tc>
        <w:tc>
          <w:tcPr>
            <w:tcW w:w="160" w:type="dxa"/>
            <w:vAlign w:val="bottom"/>
            <w:gridSpan w:val="2"/>
            <w:shd w:val="clear" w:color="auto" w:fill="325889"/>
          </w:tcPr>
          <w:p>
            <w:pPr>
              <w:spacing w:after="0"/>
              <w:rPr>
                <w:sz w:val="2"/>
                <w:szCs w:val="2"/>
                <w:color w:val="auto"/>
              </w:rPr>
            </w:pPr>
          </w:p>
        </w:tc>
        <w:tc>
          <w:tcPr>
            <w:tcW w:w="80" w:type="dxa"/>
            <w:vAlign w:val="bottom"/>
            <w:shd w:val="clear" w:color="auto" w:fill="325889"/>
          </w:tcPr>
          <w:p>
            <w:pPr>
              <w:spacing w:after="0"/>
              <w:rPr>
                <w:sz w:val="2"/>
                <w:szCs w:val="2"/>
                <w:color w:val="auto"/>
              </w:rPr>
            </w:pPr>
          </w:p>
        </w:tc>
        <w:tc>
          <w:tcPr>
            <w:tcW w:w="240" w:type="dxa"/>
            <w:vAlign w:val="bottom"/>
            <w:tcBorders>
              <w:left w:val="single" w:sz="8" w:color="CCD2DB"/>
            </w:tcBorders>
            <w:shd w:val="clear" w:color="auto" w:fill="CCD2DB"/>
          </w:tcPr>
          <w:p>
            <w:pPr>
              <w:spacing w:after="0"/>
              <w:rPr>
                <w:sz w:val="2"/>
                <w:szCs w:val="2"/>
                <w:color w:val="auto"/>
              </w:rPr>
            </w:pPr>
          </w:p>
        </w:tc>
        <w:tc>
          <w:tcPr>
            <w:tcW w:w="100" w:type="dxa"/>
            <w:vAlign w:val="bottom"/>
            <w:shd w:val="clear" w:color="auto" w:fill="325889"/>
          </w:tcPr>
          <w:p>
            <w:pPr>
              <w:spacing w:after="0"/>
              <w:rPr>
                <w:sz w:val="2"/>
                <w:szCs w:val="2"/>
                <w:color w:val="auto"/>
              </w:rPr>
            </w:pPr>
          </w:p>
        </w:tc>
        <w:tc>
          <w:tcPr>
            <w:tcW w:w="40" w:type="dxa"/>
            <w:vAlign w:val="bottom"/>
            <w:shd w:val="clear" w:color="auto" w:fill="325889"/>
          </w:tcPr>
          <w:p>
            <w:pPr>
              <w:spacing w:after="0"/>
              <w:rPr>
                <w:sz w:val="2"/>
                <w:szCs w:val="2"/>
                <w:color w:val="auto"/>
              </w:rPr>
            </w:pPr>
          </w:p>
        </w:tc>
        <w:tc>
          <w:tcPr>
            <w:tcW w:w="120" w:type="dxa"/>
            <w:vAlign w:val="bottom"/>
            <w:shd w:val="clear" w:color="auto" w:fill="325889"/>
          </w:tcPr>
          <w:p>
            <w:pPr>
              <w:spacing w:after="0"/>
              <w:rPr>
                <w:sz w:val="2"/>
                <w:szCs w:val="2"/>
                <w:color w:val="auto"/>
              </w:rPr>
            </w:pPr>
          </w:p>
        </w:tc>
        <w:tc>
          <w:tcPr>
            <w:tcW w:w="500" w:type="dxa"/>
            <w:vAlign w:val="bottom"/>
            <w:shd w:val="clear" w:color="auto" w:fill="325889"/>
          </w:tcPr>
          <w:p>
            <w:pPr>
              <w:spacing w:after="0"/>
              <w:rPr>
                <w:sz w:val="2"/>
                <w:szCs w:val="2"/>
                <w:color w:val="auto"/>
              </w:rPr>
            </w:pPr>
          </w:p>
        </w:tc>
        <w:tc>
          <w:tcPr>
            <w:tcW w:w="280" w:type="dxa"/>
            <w:vAlign w:val="bottom"/>
            <w:tcBorders>
              <w:left w:val="single" w:sz="8" w:color="CCD2DB"/>
              <w:right w:val="single" w:sz="8" w:color="325889"/>
            </w:tcBorders>
            <w:shd w:val="clear" w:color="auto" w:fill="CCD2DB"/>
          </w:tcPr>
          <w:p>
            <w:pPr>
              <w:spacing w:after="0"/>
              <w:rPr>
                <w:sz w:val="2"/>
                <w:szCs w:val="2"/>
                <w:color w:val="auto"/>
              </w:rPr>
            </w:pPr>
          </w:p>
        </w:tc>
        <w:tc>
          <w:tcPr>
            <w:tcW w:w="140" w:type="dxa"/>
            <w:vAlign w:val="bottom"/>
            <w:shd w:val="clear" w:color="auto" w:fill="325889"/>
          </w:tcPr>
          <w:p>
            <w:pPr>
              <w:spacing w:after="0"/>
              <w:rPr>
                <w:sz w:val="2"/>
                <w:szCs w:val="2"/>
                <w:color w:val="auto"/>
              </w:rPr>
            </w:pPr>
          </w:p>
        </w:tc>
        <w:tc>
          <w:tcPr>
            <w:tcW w:w="740" w:type="dxa"/>
            <w:vAlign w:val="bottom"/>
            <w:shd w:val="clear" w:color="auto" w:fill="325889"/>
          </w:tcPr>
          <w:p>
            <w:pPr>
              <w:spacing w:after="0"/>
              <w:rPr>
                <w:sz w:val="2"/>
                <w:szCs w:val="2"/>
                <w:color w:val="auto"/>
              </w:rPr>
            </w:pPr>
          </w:p>
        </w:tc>
      </w:tr>
      <w:tr>
        <w:trPr>
          <w:trHeight w:val="207"/>
        </w:trPr>
        <w:tc>
          <w:tcPr>
            <w:tcW w:w="3340" w:type="dxa"/>
            <w:vAlign w:val="bottom"/>
            <w:gridSpan w:val="2"/>
          </w:tcPr>
          <w:p>
            <w:pPr>
              <w:spacing w:after="0"/>
              <w:rPr>
                <w:sz w:val="20"/>
                <w:szCs w:val="20"/>
                <w:color w:val="auto"/>
              </w:rPr>
            </w:pPr>
            <w:r>
              <w:rPr>
                <w:rFonts w:ascii="Arial" w:cs="Arial" w:eastAsia="Arial" w:hAnsi="Arial"/>
                <w:sz w:val="15"/>
                <w:szCs w:val="15"/>
                <w:color w:val="auto"/>
              </w:rPr>
              <w:t>Marc Holliday</w:t>
            </w:r>
          </w:p>
        </w:tc>
        <w:tc>
          <w:tcPr>
            <w:tcW w:w="240" w:type="dxa"/>
            <w:vAlign w:val="bottom"/>
          </w:tcPr>
          <w:p>
            <w:pPr>
              <w:spacing w:after="0"/>
              <w:rPr>
                <w:sz w:val="17"/>
                <w:szCs w:val="17"/>
                <w:color w:val="auto"/>
              </w:rPr>
            </w:pPr>
          </w:p>
        </w:tc>
        <w:tc>
          <w:tcPr>
            <w:tcW w:w="720" w:type="dxa"/>
            <w:vAlign w:val="bottom"/>
            <w:shd w:val="clear" w:color="auto" w:fill="CCD2DB"/>
          </w:tcPr>
          <w:p>
            <w:pPr>
              <w:jc w:val="right"/>
              <w:spacing w:after="0"/>
              <w:rPr>
                <w:sz w:val="20"/>
                <w:szCs w:val="20"/>
                <w:color w:val="auto"/>
              </w:rPr>
            </w:pPr>
            <w:r>
              <w:rPr>
                <w:rFonts w:ascii="Arial" w:cs="Arial" w:eastAsia="Arial" w:hAnsi="Arial"/>
                <w:sz w:val="15"/>
                <w:szCs w:val="15"/>
                <w:color w:val="auto"/>
              </w:rPr>
              <w:t>100,000</w:t>
            </w:r>
          </w:p>
        </w:tc>
        <w:tc>
          <w:tcPr>
            <w:tcW w:w="220" w:type="dxa"/>
            <w:vAlign w:val="bottom"/>
            <w:shd w:val="clear" w:color="auto" w:fill="CCD2DB"/>
          </w:tcPr>
          <w:p>
            <w:pPr>
              <w:spacing w:after="0"/>
              <w:rPr>
                <w:sz w:val="17"/>
                <w:szCs w:val="17"/>
                <w:color w:val="auto"/>
              </w:rPr>
            </w:pPr>
          </w:p>
        </w:tc>
        <w:tc>
          <w:tcPr>
            <w:tcW w:w="820" w:type="dxa"/>
            <w:vAlign w:val="bottom"/>
            <w:shd w:val="clear" w:color="auto" w:fill="CCD2DB"/>
          </w:tcPr>
          <w:p>
            <w:pPr>
              <w:spacing w:after="0"/>
              <w:rPr>
                <w:sz w:val="17"/>
                <w:szCs w:val="17"/>
                <w:color w:val="auto"/>
              </w:rPr>
            </w:pPr>
          </w:p>
        </w:tc>
        <w:tc>
          <w:tcPr>
            <w:tcW w:w="240" w:type="dxa"/>
            <w:vAlign w:val="bottom"/>
            <w:shd w:val="clear" w:color="auto" w:fill="CCD2DB"/>
          </w:tcPr>
          <w:p>
            <w:pPr>
              <w:spacing w:after="0"/>
              <w:rPr>
                <w:sz w:val="17"/>
                <w:szCs w:val="17"/>
                <w:color w:val="auto"/>
              </w:rPr>
            </w:pPr>
          </w:p>
        </w:tc>
        <w:tc>
          <w:tcPr>
            <w:tcW w:w="120" w:type="dxa"/>
            <w:vAlign w:val="bottom"/>
            <w:shd w:val="clear" w:color="auto" w:fill="CCD2DB"/>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gridSpan w:val="2"/>
            <w:shd w:val="clear" w:color="auto" w:fill="CCD2DB"/>
          </w:tcPr>
          <w:p>
            <w:pPr>
              <w:jc w:val="right"/>
              <w:ind w:right="240"/>
              <w:spacing w:after="0"/>
              <w:rPr>
                <w:sz w:val="20"/>
                <w:szCs w:val="20"/>
                <w:color w:val="auto"/>
              </w:rPr>
            </w:pPr>
            <w:r>
              <w:rPr>
                <w:rFonts w:ascii="Arial" w:cs="Arial" w:eastAsia="Arial" w:hAnsi="Arial"/>
                <w:sz w:val="15"/>
                <w:szCs w:val="15"/>
                <w:color w:val="auto"/>
              </w:rPr>
              <w:t>76.65</w:t>
            </w:r>
          </w:p>
        </w:tc>
        <w:tc>
          <w:tcPr>
            <w:tcW w:w="1020" w:type="dxa"/>
            <w:vAlign w:val="bottom"/>
            <w:gridSpan w:val="2"/>
            <w:shd w:val="clear" w:color="auto" w:fill="CCD2DB"/>
          </w:tcPr>
          <w:p>
            <w:pPr>
              <w:jc w:val="right"/>
              <w:ind w:right="240"/>
              <w:spacing w:after="0"/>
              <w:rPr>
                <w:sz w:val="20"/>
                <w:szCs w:val="20"/>
                <w:color w:val="auto"/>
              </w:rPr>
            </w:pPr>
            <w:r>
              <w:rPr>
                <w:rFonts w:ascii="Arial" w:cs="Arial" w:eastAsia="Arial" w:hAnsi="Arial"/>
                <w:sz w:val="15"/>
                <w:szCs w:val="15"/>
                <w:color w:val="auto"/>
              </w:rPr>
              <w:t>01/02/2018</w:t>
            </w:r>
          </w:p>
        </w:tc>
        <w:tc>
          <w:tcPr>
            <w:tcW w:w="800" w:type="dxa"/>
            <w:vAlign w:val="bottom"/>
            <w:gridSpan w:val="2"/>
            <w:shd w:val="clear" w:color="auto" w:fill="CCD2DB"/>
          </w:tcPr>
          <w:p>
            <w:pPr>
              <w:jc w:val="right"/>
              <w:ind w:right="140"/>
              <w:spacing w:after="0"/>
              <w:rPr>
                <w:sz w:val="20"/>
                <w:szCs w:val="20"/>
                <w:color w:val="auto"/>
              </w:rPr>
            </w:pPr>
            <w:r>
              <w:rPr>
                <w:rFonts w:ascii="Arial" w:cs="Arial" w:eastAsia="Arial" w:hAnsi="Arial"/>
                <w:sz w:val="15"/>
                <w:szCs w:val="15"/>
                <w:color w:val="auto"/>
              </w:rPr>
              <w:t>13,253</w:t>
            </w:r>
          </w:p>
        </w:tc>
        <w:tc>
          <w:tcPr>
            <w:tcW w:w="260" w:type="dxa"/>
            <w:vAlign w:val="bottom"/>
            <w:gridSpan w:val="2"/>
            <w:shd w:val="clear" w:color="auto" w:fill="CCD2DB"/>
          </w:tcPr>
          <w:p>
            <w:pPr>
              <w:jc w:val="right"/>
              <w:ind w:right="60"/>
              <w:spacing w:after="0"/>
              <w:rPr>
                <w:sz w:val="20"/>
                <w:szCs w:val="20"/>
                <w:color w:val="auto"/>
              </w:rPr>
            </w:pPr>
            <w:r>
              <w:rPr>
                <w:rFonts w:ascii="Arial" w:cs="Arial" w:eastAsia="Arial" w:hAnsi="Arial"/>
                <w:sz w:val="15"/>
                <w:szCs w:val="15"/>
                <w:color w:val="auto"/>
              </w:rPr>
              <w:t>$</w:t>
            </w:r>
          </w:p>
        </w:tc>
        <w:tc>
          <w:tcPr>
            <w:tcW w:w="760" w:type="dxa"/>
            <w:vAlign w:val="bottom"/>
            <w:gridSpan w:val="4"/>
            <w:shd w:val="clear" w:color="auto" w:fill="CCD2DB"/>
          </w:tcPr>
          <w:p>
            <w:pPr>
              <w:jc w:val="right"/>
              <w:spacing w:after="0"/>
              <w:rPr>
                <w:sz w:val="20"/>
                <w:szCs w:val="20"/>
                <w:color w:val="auto"/>
              </w:rPr>
            </w:pPr>
            <w:r>
              <w:rPr>
                <w:rFonts w:ascii="Arial" w:cs="Arial" w:eastAsia="Arial" w:hAnsi="Arial"/>
                <w:sz w:val="15"/>
                <w:szCs w:val="15"/>
                <w:color w:val="auto"/>
              </w:rPr>
              <w:t>1,425,360</w:t>
            </w:r>
          </w:p>
        </w:tc>
        <w:tc>
          <w:tcPr>
            <w:tcW w:w="240" w:type="dxa"/>
            <w:vAlign w:val="bottom"/>
            <w:tcBorders>
              <w:left w:val="single" w:sz="8" w:color="CCD2DB"/>
            </w:tcBorders>
            <w:shd w:val="clear" w:color="auto" w:fill="CCD2DB"/>
          </w:tcPr>
          <w:p>
            <w:pPr>
              <w:spacing w:after="0"/>
              <w:rPr>
                <w:sz w:val="17"/>
                <w:szCs w:val="17"/>
                <w:color w:val="auto"/>
              </w:rPr>
            </w:pPr>
          </w:p>
        </w:tc>
        <w:tc>
          <w:tcPr>
            <w:tcW w:w="100" w:type="dxa"/>
            <w:vAlign w:val="bottom"/>
            <w:shd w:val="clear" w:color="auto" w:fill="CCD2DB"/>
          </w:tcPr>
          <w:p>
            <w:pPr>
              <w:spacing w:after="0"/>
              <w:rPr>
                <w:sz w:val="17"/>
                <w:szCs w:val="17"/>
                <w:color w:val="auto"/>
              </w:rPr>
            </w:pPr>
          </w:p>
        </w:tc>
        <w:tc>
          <w:tcPr>
            <w:tcW w:w="40" w:type="dxa"/>
            <w:vAlign w:val="bottom"/>
            <w:shd w:val="clear" w:color="auto" w:fill="CCD2DB"/>
          </w:tcPr>
          <w:p>
            <w:pPr>
              <w:spacing w:after="0"/>
              <w:rPr>
                <w:sz w:val="17"/>
                <w:szCs w:val="17"/>
                <w:color w:val="auto"/>
              </w:rPr>
            </w:pPr>
          </w:p>
        </w:tc>
        <w:tc>
          <w:tcPr>
            <w:tcW w:w="120" w:type="dxa"/>
            <w:vAlign w:val="bottom"/>
            <w:shd w:val="clear" w:color="auto" w:fill="CCD2DB"/>
          </w:tcPr>
          <w:p>
            <w:pPr>
              <w:spacing w:after="0"/>
              <w:rPr>
                <w:sz w:val="17"/>
                <w:szCs w:val="17"/>
                <w:color w:val="auto"/>
              </w:rPr>
            </w:pPr>
          </w:p>
        </w:tc>
        <w:tc>
          <w:tcPr>
            <w:tcW w:w="500" w:type="dxa"/>
            <w:vAlign w:val="bottom"/>
            <w:shd w:val="clear" w:color="auto" w:fill="CCD2DB"/>
          </w:tcPr>
          <w:p>
            <w:pPr>
              <w:jc w:val="right"/>
              <w:spacing w:after="0"/>
              <w:rPr>
                <w:sz w:val="20"/>
                <w:szCs w:val="20"/>
                <w:color w:val="auto"/>
              </w:rPr>
            </w:pPr>
            <w:r>
              <w:rPr>
                <w:rFonts w:ascii="Arial" w:cs="Arial" w:eastAsia="Arial" w:hAnsi="Arial"/>
                <w:sz w:val="15"/>
                <w:szCs w:val="15"/>
                <w:color w:val="auto"/>
              </w:rPr>
              <w:t>—</w:t>
            </w:r>
          </w:p>
        </w:tc>
        <w:tc>
          <w:tcPr>
            <w:tcW w:w="280" w:type="dxa"/>
            <w:vAlign w:val="bottom"/>
            <w:tcBorders>
              <w:left w:val="single" w:sz="8" w:color="CCD2DB"/>
              <w:right w:val="single" w:sz="8" w:color="CCD2DB"/>
            </w:tcBorders>
            <w:shd w:val="clear" w:color="auto" w:fill="CCD2DB"/>
          </w:tcPr>
          <w:p>
            <w:pPr>
              <w:spacing w:after="0"/>
              <w:rPr>
                <w:sz w:val="17"/>
                <w:szCs w:val="17"/>
                <w:color w:val="auto"/>
              </w:rPr>
            </w:pPr>
          </w:p>
        </w:tc>
        <w:tc>
          <w:tcPr>
            <w:tcW w:w="140" w:type="dxa"/>
            <w:vAlign w:val="bottom"/>
            <w:shd w:val="clear" w:color="auto" w:fill="CCD2DB"/>
          </w:tcPr>
          <w:p>
            <w:pPr>
              <w:spacing w:after="0"/>
              <w:rPr>
                <w:sz w:val="17"/>
                <w:szCs w:val="17"/>
                <w:color w:val="auto"/>
              </w:rPr>
            </w:pPr>
          </w:p>
        </w:tc>
        <w:tc>
          <w:tcPr>
            <w:tcW w:w="740" w:type="dxa"/>
            <w:vAlign w:val="bottom"/>
            <w:shd w:val="clear" w:color="auto" w:fill="CCD2DB"/>
          </w:tcPr>
          <w:p>
            <w:pPr>
              <w:jc w:val="right"/>
              <w:spacing w:after="0"/>
              <w:rPr>
                <w:sz w:val="20"/>
                <w:szCs w:val="20"/>
                <w:color w:val="auto"/>
              </w:rPr>
            </w:pPr>
            <w:r>
              <w:rPr>
                <w:rFonts w:ascii="Arial" w:cs="Arial" w:eastAsia="Arial" w:hAnsi="Arial"/>
                <w:sz w:val="15"/>
                <w:szCs w:val="15"/>
                <w:color w:val="auto"/>
              </w:rPr>
              <w:t>—</w:t>
            </w:r>
          </w:p>
        </w:tc>
      </w:tr>
      <w:tr>
        <w:trPr>
          <w:trHeight w:val="20"/>
        </w:trPr>
        <w:tc>
          <w:tcPr>
            <w:tcW w:w="280" w:type="dxa"/>
            <w:vAlign w:val="bottom"/>
            <w:shd w:val="clear" w:color="auto" w:fill="98A3B8"/>
          </w:tcPr>
          <w:p>
            <w:pPr>
              <w:spacing w:after="0" w:line="20" w:lineRule="exact"/>
              <w:rPr>
                <w:sz w:val="1"/>
                <w:szCs w:val="1"/>
                <w:color w:val="auto"/>
              </w:rPr>
            </w:pPr>
          </w:p>
        </w:tc>
        <w:tc>
          <w:tcPr>
            <w:tcW w:w="3060" w:type="dxa"/>
            <w:vAlign w:val="bottom"/>
            <w:shd w:val="clear" w:color="auto" w:fill="98A3B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98A3B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98A3B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520" w:type="dxa"/>
            <w:vAlign w:val="bottom"/>
            <w:shd w:val="clear" w:color="auto" w:fill="98A3B8"/>
          </w:tcPr>
          <w:p>
            <w:pPr>
              <w:spacing w:after="0" w:line="20" w:lineRule="exact"/>
              <w:rPr>
                <w:sz w:val="1"/>
                <w:szCs w:val="1"/>
                <w:color w:val="auto"/>
              </w:rPr>
            </w:pPr>
          </w:p>
        </w:tc>
        <w:tc>
          <w:tcPr>
            <w:tcW w:w="20" w:type="dxa"/>
            <w:vAlign w:val="bottom"/>
            <w:shd w:val="clear" w:color="auto" w:fill="98A3B8"/>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80" w:type="dxa"/>
            <w:vAlign w:val="bottom"/>
            <w:shd w:val="clear" w:color="auto" w:fill="98A3B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160" w:type="dxa"/>
            <w:vAlign w:val="bottom"/>
            <w:gridSpan w:val="2"/>
            <w:shd w:val="clear" w:color="auto" w:fill="98A3B8"/>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280" w:type="dxa"/>
            <w:vAlign w:val="bottom"/>
            <w:tcBorders>
              <w:right w:val="single" w:sz="8" w:color="98A3B8"/>
            </w:tcBorders>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r>
      <w:tr>
        <w:trPr>
          <w:trHeight w:val="271"/>
        </w:trPr>
        <w:tc>
          <w:tcPr>
            <w:tcW w:w="28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100,000</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gridSpan w:val="2"/>
          </w:tcPr>
          <w:p>
            <w:pPr>
              <w:jc w:val="right"/>
              <w:ind w:right="240"/>
              <w:spacing w:after="0"/>
              <w:rPr>
                <w:sz w:val="20"/>
                <w:szCs w:val="20"/>
                <w:color w:val="auto"/>
              </w:rPr>
            </w:pPr>
            <w:r>
              <w:rPr>
                <w:rFonts w:ascii="Arial" w:cs="Arial" w:eastAsia="Arial" w:hAnsi="Arial"/>
                <w:sz w:val="15"/>
                <w:szCs w:val="15"/>
                <w:color w:val="auto"/>
              </w:rPr>
              <w:t>76.65</w:t>
            </w: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01/02/2023</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0" w:type="dxa"/>
            <w:vAlign w:val="bottom"/>
            <w:gridSpan w:val="5"/>
          </w:tcPr>
          <w:p>
            <w:pPr>
              <w:jc w:val="right"/>
              <w:spacing w:after="0" w:line="271" w:lineRule="exact"/>
              <w:rPr>
                <w:sz w:val="20"/>
                <w:szCs w:val="20"/>
                <w:color w:val="auto"/>
              </w:rPr>
            </w:pPr>
            <w:r>
              <w:rPr>
                <w:rFonts w:ascii="Arial" w:cs="Arial" w:eastAsia="Arial" w:hAnsi="Arial"/>
                <w:sz w:val="15"/>
                <w:szCs w:val="15"/>
                <w:color w:val="auto"/>
              </w:rPr>
              <w:t>25,925</w:t>
            </w:r>
            <w:r>
              <w:rPr>
                <w:rFonts w:ascii="Arial" w:cs="Arial" w:eastAsia="Arial" w:hAnsi="Arial"/>
                <w:sz w:val="25"/>
                <w:szCs w:val="25"/>
                <w:color w:val="auto"/>
                <w:vertAlign w:val="superscript"/>
              </w:rPr>
              <w:t>(</w:t>
            </w:r>
            <w:r>
              <w:rPr>
                <w:rFonts w:ascii="Arial" w:cs="Arial" w:eastAsia="Arial" w:hAnsi="Arial"/>
                <w:sz w:val="30"/>
                <w:szCs w:val="30"/>
                <w:color w:val="auto"/>
                <w:vertAlign w:val="superscript"/>
              </w:rPr>
              <w:t>3)</w:t>
            </w:r>
          </w:p>
        </w:tc>
        <w:tc>
          <w:tcPr>
            <w:tcW w:w="4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2,788,234</w:t>
            </w:r>
          </w:p>
        </w:tc>
      </w:tr>
      <w:tr>
        <w:trPr>
          <w:trHeight w:val="20"/>
        </w:trPr>
        <w:tc>
          <w:tcPr>
            <w:tcW w:w="280" w:type="dxa"/>
            <w:vAlign w:val="bottom"/>
            <w:shd w:val="clear" w:color="auto" w:fill="98A3B8"/>
          </w:tcPr>
          <w:p>
            <w:pPr>
              <w:spacing w:after="0" w:line="20" w:lineRule="exact"/>
              <w:rPr>
                <w:sz w:val="1"/>
                <w:szCs w:val="1"/>
                <w:color w:val="auto"/>
              </w:rPr>
            </w:pPr>
          </w:p>
        </w:tc>
        <w:tc>
          <w:tcPr>
            <w:tcW w:w="3060" w:type="dxa"/>
            <w:vAlign w:val="bottom"/>
            <w:shd w:val="clear" w:color="auto" w:fill="98A3B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98A3B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98A3B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520" w:type="dxa"/>
            <w:vAlign w:val="bottom"/>
            <w:shd w:val="clear" w:color="auto" w:fill="98A3B8"/>
          </w:tcPr>
          <w:p>
            <w:pPr>
              <w:spacing w:after="0" w:line="20" w:lineRule="exact"/>
              <w:rPr>
                <w:sz w:val="1"/>
                <w:szCs w:val="1"/>
                <w:color w:val="auto"/>
              </w:rPr>
            </w:pPr>
          </w:p>
        </w:tc>
        <w:tc>
          <w:tcPr>
            <w:tcW w:w="20" w:type="dxa"/>
            <w:vAlign w:val="bottom"/>
            <w:shd w:val="clear" w:color="auto" w:fill="98A3B8"/>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80" w:type="dxa"/>
            <w:vAlign w:val="bottom"/>
            <w:shd w:val="clear" w:color="auto" w:fill="98A3B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40" w:type="dxa"/>
            <w:vAlign w:val="bottom"/>
            <w:shd w:val="clear" w:color="auto" w:fill="98A3B8"/>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280" w:type="dxa"/>
            <w:vAlign w:val="bottom"/>
            <w:tcBorders>
              <w:right w:val="single" w:sz="8" w:color="98A3B8"/>
            </w:tcBorders>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r>
      <w:tr>
        <w:trPr>
          <w:trHeight w:val="265"/>
        </w:trPr>
        <w:tc>
          <w:tcPr>
            <w:tcW w:w="28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line="265" w:lineRule="exact"/>
              <w:rPr>
                <w:sz w:val="20"/>
                <w:szCs w:val="20"/>
                <w:color w:val="auto"/>
              </w:rPr>
            </w:pPr>
            <w:r>
              <w:rPr>
                <w:rFonts w:ascii="Arial" w:cs="Arial" w:eastAsia="Arial" w:hAnsi="Arial"/>
                <w:sz w:val="15"/>
                <w:szCs w:val="15"/>
                <w:color w:val="auto"/>
              </w:rPr>
              <w:t>52,500</w:t>
            </w:r>
            <w:r>
              <w:rPr>
                <w:rFonts w:ascii="Arial" w:cs="Arial" w:eastAsia="Arial" w:hAnsi="Arial"/>
                <w:sz w:val="25"/>
                <w:szCs w:val="25"/>
                <w:color w:val="auto"/>
                <w:vertAlign w:val="superscript"/>
              </w:rPr>
              <w:t>(</w:t>
            </w:r>
            <w:r>
              <w:rPr>
                <w:rFonts w:ascii="Arial" w:cs="Arial" w:eastAsia="Arial" w:hAnsi="Arial"/>
                <w:sz w:val="30"/>
                <w:szCs w:val="30"/>
                <w:color w:val="auto"/>
                <w:vertAlign w:val="superscript"/>
              </w:rPr>
              <w:t>4)</w:t>
            </w:r>
          </w:p>
        </w:tc>
        <w:tc>
          <w:tcPr>
            <w:tcW w:w="2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gridSpan w:val="2"/>
          </w:tcPr>
          <w:p>
            <w:pPr>
              <w:jc w:val="right"/>
              <w:ind w:right="240"/>
              <w:spacing w:after="0"/>
              <w:rPr>
                <w:sz w:val="20"/>
                <w:szCs w:val="20"/>
                <w:color w:val="auto"/>
              </w:rPr>
            </w:pPr>
            <w:r>
              <w:rPr>
                <w:rFonts w:ascii="Arial" w:cs="Arial" w:eastAsia="Arial" w:hAnsi="Arial"/>
                <w:sz w:val="15"/>
                <w:szCs w:val="15"/>
                <w:color w:val="auto"/>
              </w:rPr>
              <w:t>99.86</w:t>
            </w: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06/17/2021</w:t>
            </w: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0"/>
        </w:trPr>
        <w:tc>
          <w:tcPr>
            <w:tcW w:w="280" w:type="dxa"/>
            <w:vAlign w:val="bottom"/>
            <w:shd w:val="clear" w:color="auto" w:fill="98A3B8"/>
          </w:tcPr>
          <w:p>
            <w:pPr>
              <w:spacing w:after="0" w:line="20" w:lineRule="exact"/>
              <w:rPr>
                <w:sz w:val="1"/>
                <w:szCs w:val="1"/>
                <w:color w:val="auto"/>
              </w:rPr>
            </w:pPr>
          </w:p>
        </w:tc>
        <w:tc>
          <w:tcPr>
            <w:tcW w:w="3060" w:type="dxa"/>
            <w:vAlign w:val="bottom"/>
            <w:shd w:val="clear" w:color="auto" w:fill="98A3B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98A3B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98A3B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520" w:type="dxa"/>
            <w:vAlign w:val="bottom"/>
            <w:shd w:val="clear" w:color="auto" w:fill="98A3B8"/>
          </w:tcPr>
          <w:p>
            <w:pPr>
              <w:spacing w:after="0" w:line="20" w:lineRule="exact"/>
              <w:rPr>
                <w:sz w:val="1"/>
                <w:szCs w:val="1"/>
                <w:color w:val="auto"/>
              </w:rPr>
            </w:pPr>
          </w:p>
        </w:tc>
        <w:tc>
          <w:tcPr>
            <w:tcW w:w="20" w:type="dxa"/>
            <w:vAlign w:val="bottom"/>
            <w:shd w:val="clear" w:color="auto" w:fill="98A3B8"/>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80" w:type="dxa"/>
            <w:vAlign w:val="bottom"/>
            <w:shd w:val="clear" w:color="auto" w:fill="98A3B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40" w:type="dxa"/>
            <w:vAlign w:val="bottom"/>
            <w:shd w:val="clear" w:color="auto" w:fill="98A3B8"/>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280" w:type="dxa"/>
            <w:vAlign w:val="bottom"/>
            <w:tcBorders>
              <w:right w:val="single" w:sz="8" w:color="98A3B8"/>
            </w:tcBorders>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r>
      <w:tr>
        <w:trPr>
          <w:trHeight w:val="265"/>
        </w:trPr>
        <w:tc>
          <w:tcPr>
            <w:tcW w:w="28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line="265" w:lineRule="exact"/>
              <w:rPr>
                <w:sz w:val="20"/>
                <w:szCs w:val="20"/>
                <w:color w:val="auto"/>
              </w:rPr>
            </w:pPr>
            <w:r>
              <w:rPr>
                <w:rFonts w:ascii="Arial" w:cs="Arial" w:eastAsia="Arial" w:hAnsi="Arial"/>
                <w:sz w:val="15"/>
                <w:szCs w:val="15"/>
                <w:color w:val="auto"/>
              </w:rPr>
              <w:t>52,500</w:t>
            </w:r>
            <w:r>
              <w:rPr>
                <w:rFonts w:ascii="Arial" w:cs="Arial" w:eastAsia="Arial" w:hAnsi="Arial"/>
                <w:sz w:val="25"/>
                <w:szCs w:val="25"/>
                <w:color w:val="auto"/>
                <w:vertAlign w:val="superscript"/>
              </w:rPr>
              <w:t>(</w:t>
            </w:r>
            <w:r>
              <w:rPr>
                <w:rFonts w:ascii="Arial" w:cs="Arial" w:eastAsia="Arial" w:hAnsi="Arial"/>
                <w:sz w:val="30"/>
                <w:szCs w:val="30"/>
                <w:color w:val="auto"/>
                <w:vertAlign w:val="superscript"/>
              </w:rPr>
              <w:t>4)</w:t>
            </w:r>
          </w:p>
        </w:tc>
        <w:tc>
          <w:tcPr>
            <w:tcW w:w="2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gridSpan w:val="2"/>
          </w:tcPr>
          <w:p>
            <w:pPr>
              <w:jc w:val="right"/>
              <w:ind w:right="240"/>
              <w:spacing w:after="0"/>
              <w:rPr>
                <w:sz w:val="20"/>
                <w:szCs w:val="20"/>
                <w:color w:val="auto"/>
              </w:rPr>
            </w:pPr>
            <w:r>
              <w:rPr>
                <w:rFonts w:ascii="Arial" w:cs="Arial" w:eastAsia="Arial" w:hAnsi="Arial"/>
                <w:sz w:val="15"/>
                <w:szCs w:val="15"/>
                <w:color w:val="auto"/>
              </w:rPr>
              <w:t>99.86</w:t>
            </w: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06/17/2026</w:t>
            </w: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0"/>
        </w:trPr>
        <w:tc>
          <w:tcPr>
            <w:tcW w:w="280" w:type="dxa"/>
            <w:vAlign w:val="bottom"/>
            <w:shd w:val="clear" w:color="auto" w:fill="98A3B8"/>
          </w:tcPr>
          <w:p>
            <w:pPr>
              <w:spacing w:after="0" w:line="20" w:lineRule="exact"/>
              <w:rPr>
                <w:sz w:val="1"/>
                <w:szCs w:val="1"/>
                <w:color w:val="auto"/>
              </w:rPr>
            </w:pPr>
          </w:p>
        </w:tc>
        <w:tc>
          <w:tcPr>
            <w:tcW w:w="3060" w:type="dxa"/>
            <w:vAlign w:val="bottom"/>
            <w:shd w:val="clear" w:color="auto" w:fill="98A3B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98A3B8"/>
          </w:tcPr>
          <w:p>
            <w:pPr>
              <w:spacing w:after="0" w:line="20" w:lineRule="exact"/>
              <w:rPr>
                <w:sz w:val="1"/>
                <w:szCs w:val="1"/>
                <w:color w:val="auto"/>
              </w:rPr>
            </w:pPr>
          </w:p>
        </w:tc>
        <w:tc>
          <w:tcPr>
            <w:tcW w:w="220" w:type="dxa"/>
            <w:vAlign w:val="bottom"/>
            <w:shd w:val="clear" w:color="auto" w:fill="CCD2DB"/>
          </w:tcPr>
          <w:p>
            <w:pPr>
              <w:spacing w:after="0" w:line="20" w:lineRule="exact"/>
              <w:rPr>
                <w:sz w:val="1"/>
                <w:szCs w:val="1"/>
                <w:color w:val="auto"/>
              </w:rPr>
            </w:pPr>
          </w:p>
        </w:tc>
        <w:tc>
          <w:tcPr>
            <w:tcW w:w="820" w:type="dxa"/>
            <w:vAlign w:val="bottom"/>
            <w:shd w:val="clear" w:color="auto" w:fill="98A3B8"/>
          </w:tcPr>
          <w:p>
            <w:pPr>
              <w:spacing w:after="0" w:line="20" w:lineRule="exact"/>
              <w:rPr>
                <w:sz w:val="1"/>
                <w:szCs w:val="1"/>
                <w:color w:val="auto"/>
              </w:rPr>
            </w:pPr>
          </w:p>
        </w:tc>
        <w:tc>
          <w:tcPr>
            <w:tcW w:w="240" w:type="dxa"/>
            <w:vAlign w:val="bottom"/>
            <w:shd w:val="clear" w:color="auto" w:fill="CCD2DB"/>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240" w:type="dxa"/>
            <w:vAlign w:val="bottom"/>
            <w:shd w:val="clear" w:color="auto" w:fill="CCD2DB"/>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240" w:type="dxa"/>
            <w:vAlign w:val="bottom"/>
            <w:shd w:val="clear" w:color="auto" w:fill="CCD2DB"/>
          </w:tcPr>
          <w:p>
            <w:pPr>
              <w:spacing w:after="0" w:line="20" w:lineRule="exact"/>
              <w:rPr>
                <w:sz w:val="1"/>
                <w:szCs w:val="1"/>
                <w:color w:val="auto"/>
              </w:rPr>
            </w:pPr>
          </w:p>
        </w:tc>
        <w:tc>
          <w:tcPr>
            <w:tcW w:w="660" w:type="dxa"/>
            <w:vAlign w:val="bottom"/>
            <w:shd w:val="clear" w:color="auto" w:fill="98A3B8"/>
          </w:tcPr>
          <w:p>
            <w:pPr>
              <w:spacing w:after="0" w:line="20" w:lineRule="exact"/>
              <w:rPr>
                <w:sz w:val="1"/>
                <w:szCs w:val="1"/>
                <w:color w:val="auto"/>
              </w:rPr>
            </w:pPr>
          </w:p>
        </w:tc>
        <w:tc>
          <w:tcPr>
            <w:tcW w:w="140" w:type="dxa"/>
            <w:vAlign w:val="bottom"/>
            <w:shd w:val="clear" w:color="auto" w:fill="CCD2DB"/>
          </w:tcPr>
          <w:p>
            <w:pPr>
              <w:spacing w:after="0" w:line="20" w:lineRule="exact"/>
              <w:rPr>
                <w:sz w:val="1"/>
                <w:szCs w:val="1"/>
                <w:color w:val="auto"/>
              </w:rPr>
            </w:pPr>
          </w:p>
        </w:tc>
        <w:tc>
          <w:tcPr>
            <w:tcW w:w="80" w:type="dxa"/>
            <w:vAlign w:val="bottom"/>
            <w:shd w:val="clear" w:color="auto" w:fill="CCD2DB"/>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520" w:type="dxa"/>
            <w:vAlign w:val="bottom"/>
            <w:shd w:val="clear" w:color="auto" w:fill="98A3B8"/>
          </w:tcPr>
          <w:p>
            <w:pPr>
              <w:spacing w:after="0" w:line="20" w:lineRule="exact"/>
              <w:rPr>
                <w:sz w:val="1"/>
                <w:szCs w:val="1"/>
                <w:color w:val="auto"/>
              </w:rPr>
            </w:pPr>
          </w:p>
        </w:tc>
        <w:tc>
          <w:tcPr>
            <w:tcW w:w="160" w:type="dxa"/>
            <w:vAlign w:val="bottom"/>
            <w:gridSpan w:val="2"/>
            <w:shd w:val="clear" w:color="auto" w:fill="98A3B8"/>
          </w:tcPr>
          <w:p>
            <w:pPr>
              <w:spacing w:after="0" w:line="20" w:lineRule="exact"/>
              <w:rPr>
                <w:sz w:val="1"/>
                <w:szCs w:val="1"/>
                <w:color w:val="auto"/>
              </w:rPr>
            </w:pPr>
          </w:p>
        </w:tc>
        <w:tc>
          <w:tcPr>
            <w:tcW w:w="80" w:type="dxa"/>
            <w:vAlign w:val="bottom"/>
            <w:shd w:val="clear" w:color="auto" w:fill="98A3B8"/>
          </w:tcPr>
          <w:p>
            <w:pPr>
              <w:spacing w:after="0" w:line="20" w:lineRule="exact"/>
              <w:rPr>
                <w:sz w:val="1"/>
                <w:szCs w:val="1"/>
                <w:color w:val="auto"/>
              </w:rPr>
            </w:pPr>
          </w:p>
        </w:tc>
        <w:tc>
          <w:tcPr>
            <w:tcW w:w="240" w:type="dxa"/>
            <w:vAlign w:val="bottom"/>
            <w:tcBorders>
              <w:left w:val="single" w:sz="8" w:color="CCD2DB"/>
            </w:tcBorders>
            <w:shd w:val="clear" w:color="auto" w:fill="CCD2DB"/>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40" w:type="dxa"/>
            <w:vAlign w:val="bottom"/>
            <w:shd w:val="clear" w:color="auto" w:fill="98A3B8"/>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280" w:type="dxa"/>
            <w:vAlign w:val="bottom"/>
            <w:tcBorders>
              <w:left w:val="single" w:sz="8" w:color="CCD2DB"/>
              <w:right w:val="single" w:sz="8" w:color="98A3B8"/>
            </w:tcBorders>
            <w:shd w:val="clear" w:color="auto" w:fill="CCD2DB"/>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r>
      <w:tr>
        <w:trPr>
          <w:trHeight w:val="265"/>
        </w:trPr>
        <w:tc>
          <w:tcPr>
            <w:tcW w:w="3340" w:type="dxa"/>
            <w:vAlign w:val="bottom"/>
            <w:gridSpan w:val="2"/>
          </w:tcPr>
          <w:p>
            <w:pPr>
              <w:spacing w:after="0"/>
              <w:rPr>
                <w:sz w:val="20"/>
                <w:szCs w:val="20"/>
                <w:color w:val="auto"/>
              </w:rPr>
            </w:pPr>
            <w:r>
              <w:rPr>
                <w:rFonts w:ascii="Arial" w:cs="Arial" w:eastAsia="Arial" w:hAnsi="Arial"/>
                <w:sz w:val="15"/>
                <w:szCs w:val="15"/>
                <w:color w:val="auto"/>
              </w:rPr>
              <w:t>Stephen L. Green</w:t>
            </w:r>
          </w:p>
        </w:tc>
        <w:tc>
          <w:tcPr>
            <w:tcW w:w="240" w:type="dxa"/>
            <w:vAlign w:val="bottom"/>
          </w:tcPr>
          <w:p>
            <w:pPr>
              <w:spacing w:after="0"/>
              <w:rPr>
                <w:sz w:val="23"/>
                <w:szCs w:val="23"/>
                <w:color w:val="auto"/>
              </w:rPr>
            </w:pPr>
          </w:p>
        </w:tc>
        <w:tc>
          <w:tcPr>
            <w:tcW w:w="720" w:type="dxa"/>
            <w:vAlign w:val="bottom"/>
            <w:shd w:val="clear" w:color="auto" w:fill="CCD2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D2DB"/>
          </w:tcPr>
          <w:p>
            <w:pPr>
              <w:spacing w:after="0"/>
              <w:rPr>
                <w:sz w:val="23"/>
                <w:szCs w:val="23"/>
                <w:color w:val="auto"/>
              </w:rPr>
            </w:pPr>
          </w:p>
        </w:tc>
        <w:tc>
          <w:tcPr>
            <w:tcW w:w="820" w:type="dxa"/>
            <w:vAlign w:val="bottom"/>
            <w:shd w:val="clear" w:color="auto" w:fill="CCD2DB"/>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D2DB"/>
          </w:tcPr>
          <w:p>
            <w:pPr>
              <w:spacing w:after="0"/>
              <w:rPr>
                <w:sz w:val="23"/>
                <w:szCs w:val="23"/>
                <w:color w:val="auto"/>
              </w:rPr>
            </w:pPr>
          </w:p>
        </w:tc>
        <w:tc>
          <w:tcPr>
            <w:tcW w:w="120" w:type="dxa"/>
            <w:vAlign w:val="bottom"/>
            <w:shd w:val="clear" w:color="auto" w:fill="CCD2DB"/>
          </w:tcPr>
          <w:p>
            <w:pPr>
              <w:spacing w:after="0"/>
              <w:rPr>
                <w:sz w:val="23"/>
                <w:szCs w:val="23"/>
                <w:color w:val="auto"/>
              </w:rPr>
            </w:pPr>
          </w:p>
        </w:tc>
        <w:tc>
          <w:tcPr>
            <w:tcW w:w="740" w:type="dxa"/>
            <w:vAlign w:val="bottom"/>
            <w:gridSpan w:val="2"/>
            <w:shd w:val="clear" w:color="auto" w:fill="CCD2DB"/>
          </w:tcPr>
          <w:p>
            <w:pPr>
              <w:jc w:val="right"/>
              <w:ind w:right="24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D2DB"/>
          </w:tcPr>
          <w:p>
            <w:pPr>
              <w:jc w:val="right"/>
              <w:ind w:right="24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D2DB"/>
          </w:tcPr>
          <w:p>
            <w:pPr>
              <w:jc w:val="right"/>
              <w:ind w:right="140"/>
              <w:spacing w:after="0"/>
              <w:rPr>
                <w:sz w:val="20"/>
                <w:szCs w:val="20"/>
                <w:color w:val="auto"/>
              </w:rPr>
            </w:pPr>
            <w:r>
              <w:rPr>
                <w:rFonts w:ascii="Arial" w:cs="Arial" w:eastAsia="Arial" w:hAnsi="Arial"/>
                <w:sz w:val="15"/>
                <w:szCs w:val="15"/>
                <w:color w:val="auto"/>
              </w:rPr>
              <w:t>2,201</w:t>
            </w:r>
          </w:p>
        </w:tc>
        <w:tc>
          <w:tcPr>
            <w:tcW w:w="260" w:type="dxa"/>
            <w:vAlign w:val="bottom"/>
            <w:gridSpan w:val="2"/>
            <w:shd w:val="clear" w:color="auto" w:fill="CCD2DB"/>
          </w:tcPr>
          <w:p>
            <w:pPr>
              <w:jc w:val="right"/>
              <w:ind w:right="60"/>
              <w:spacing w:after="0"/>
              <w:rPr>
                <w:sz w:val="20"/>
                <w:szCs w:val="20"/>
                <w:color w:val="auto"/>
              </w:rPr>
            </w:pPr>
            <w:r>
              <w:rPr>
                <w:rFonts w:ascii="Arial" w:cs="Arial" w:eastAsia="Arial" w:hAnsi="Arial"/>
                <w:sz w:val="15"/>
                <w:szCs w:val="15"/>
                <w:color w:val="auto"/>
              </w:rPr>
              <w:t>$</w:t>
            </w:r>
          </w:p>
        </w:tc>
        <w:tc>
          <w:tcPr>
            <w:tcW w:w="760" w:type="dxa"/>
            <w:vAlign w:val="bottom"/>
            <w:gridSpan w:val="4"/>
            <w:shd w:val="clear" w:color="auto" w:fill="CCD2DB"/>
          </w:tcPr>
          <w:p>
            <w:pPr>
              <w:jc w:val="right"/>
              <w:spacing w:after="0"/>
              <w:rPr>
                <w:sz w:val="20"/>
                <w:szCs w:val="20"/>
                <w:color w:val="auto"/>
              </w:rPr>
            </w:pPr>
            <w:r>
              <w:rPr>
                <w:rFonts w:ascii="Arial" w:cs="Arial" w:eastAsia="Arial" w:hAnsi="Arial"/>
                <w:sz w:val="15"/>
                <w:szCs w:val="15"/>
                <w:color w:val="auto"/>
              </w:rPr>
              <w:t>236,718</w:t>
            </w:r>
          </w:p>
        </w:tc>
        <w:tc>
          <w:tcPr>
            <w:tcW w:w="240" w:type="dxa"/>
            <w:vAlign w:val="bottom"/>
            <w:tcBorders>
              <w:left w:val="single" w:sz="8" w:color="CCD2DB"/>
            </w:tcBorders>
            <w:shd w:val="clear" w:color="auto" w:fill="CCD2DB"/>
          </w:tcPr>
          <w:p>
            <w:pPr>
              <w:spacing w:after="0"/>
              <w:rPr>
                <w:sz w:val="23"/>
                <w:szCs w:val="23"/>
                <w:color w:val="auto"/>
              </w:rPr>
            </w:pPr>
          </w:p>
        </w:tc>
        <w:tc>
          <w:tcPr>
            <w:tcW w:w="100" w:type="dxa"/>
            <w:vAlign w:val="bottom"/>
            <w:shd w:val="clear" w:color="auto" w:fill="CCD2DB"/>
          </w:tcPr>
          <w:p>
            <w:pPr>
              <w:spacing w:after="0"/>
              <w:rPr>
                <w:sz w:val="23"/>
                <w:szCs w:val="23"/>
                <w:color w:val="auto"/>
              </w:rPr>
            </w:pPr>
          </w:p>
        </w:tc>
        <w:tc>
          <w:tcPr>
            <w:tcW w:w="40" w:type="dxa"/>
            <w:vAlign w:val="bottom"/>
            <w:shd w:val="clear" w:color="auto" w:fill="CCD2DB"/>
          </w:tcPr>
          <w:p>
            <w:pPr>
              <w:spacing w:after="0"/>
              <w:rPr>
                <w:sz w:val="23"/>
                <w:szCs w:val="23"/>
                <w:color w:val="auto"/>
              </w:rPr>
            </w:pPr>
          </w:p>
        </w:tc>
        <w:tc>
          <w:tcPr>
            <w:tcW w:w="620" w:type="dxa"/>
            <w:vAlign w:val="bottom"/>
            <w:gridSpan w:val="2"/>
            <w:shd w:val="clear" w:color="auto" w:fill="CCD2DB"/>
          </w:tcPr>
          <w:p>
            <w:pPr>
              <w:jc w:val="right"/>
              <w:spacing w:after="0" w:line="265" w:lineRule="exact"/>
              <w:rPr>
                <w:sz w:val="20"/>
                <w:szCs w:val="20"/>
                <w:color w:val="auto"/>
              </w:rPr>
            </w:pPr>
            <w:r>
              <w:rPr>
                <w:rFonts w:ascii="Arial" w:cs="Arial" w:eastAsia="Arial" w:hAnsi="Arial"/>
                <w:sz w:val="15"/>
                <w:szCs w:val="15"/>
                <w:color w:val="auto"/>
                <w:w w:val="98"/>
              </w:rPr>
              <w:t>8,427</w:t>
            </w:r>
            <w:r>
              <w:rPr>
                <w:rFonts w:ascii="Arial" w:cs="Arial" w:eastAsia="Arial" w:hAnsi="Arial"/>
                <w:sz w:val="25"/>
                <w:szCs w:val="25"/>
                <w:color w:val="auto"/>
                <w:w w:val="98"/>
                <w:vertAlign w:val="superscript"/>
              </w:rPr>
              <w:t>(</w:t>
            </w:r>
            <w:r>
              <w:rPr>
                <w:rFonts w:ascii="Arial" w:cs="Arial" w:eastAsia="Arial" w:hAnsi="Arial"/>
                <w:sz w:val="30"/>
                <w:szCs w:val="30"/>
                <w:color w:val="auto"/>
                <w:w w:val="98"/>
                <w:vertAlign w:val="superscript"/>
              </w:rPr>
              <w:t>3)</w:t>
            </w:r>
          </w:p>
        </w:tc>
        <w:tc>
          <w:tcPr>
            <w:tcW w:w="420" w:type="dxa"/>
            <w:vAlign w:val="bottom"/>
            <w:tcBorders>
              <w:left w:val="single" w:sz="8" w:color="CCD2DB"/>
            </w:tcBorders>
            <w:gridSpan w:val="2"/>
            <w:shd w:val="clear" w:color="auto" w:fill="CCD2DB"/>
          </w:tcPr>
          <w:p>
            <w:pPr>
              <w:jc w:val="right"/>
              <w:ind w:right="8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D2DB"/>
          </w:tcPr>
          <w:p>
            <w:pPr>
              <w:jc w:val="right"/>
              <w:spacing w:after="0"/>
              <w:rPr>
                <w:sz w:val="20"/>
                <w:szCs w:val="20"/>
                <w:color w:val="auto"/>
              </w:rPr>
            </w:pPr>
            <w:r>
              <w:rPr>
                <w:rFonts w:ascii="Arial" w:cs="Arial" w:eastAsia="Arial" w:hAnsi="Arial"/>
                <w:sz w:val="15"/>
                <w:szCs w:val="15"/>
                <w:color w:val="auto"/>
              </w:rPr>
              <w:t>906,324</w:t>
            </w:r>
          </w:p>
        </w:tc>
      </w:tr>
      <w:tr>
        <w:trPr>
          <w:trHeight w:val="20"/>
        </w:trPr>
        <w:tc>
          <w:tcPr>
            <w:tcW w:w="280" w:type="dxa"/>
            <w:vAlign w:val="bottom"/>
            <w:shd w:val="clear" w:color="auto" w:fill="98A3B8"/>
          </w:tcPr>
          <w:p>
            <w:pPr>
              <w:spacing w:after="0" w:line="20" w:lineRule="exact"/>
              <w:rPr>
                <w:sz w:val="1"/>
                <w:szCs w:val="1"/>
                <w:color w:val="auto"/>
              </w:rPr>
            </w:pPr>
          </w:p>
        </w:tc>
        <w:tc>
          <w:tcPr>
            <w:tcW w:w="3060" w:type="dxa"/>
            <w:vAlign w:val="bottom"/>
            <w:shd w:val="clear" w:color="auto" w:fill="98A3B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98A3B8"/>
          </w:tcPr>
          <w:p>
            <w:pPr>
              <w:spacing w:after="0" w:line="20" w:lineRule="exact"/>
              <w:rPr>
                <w:sz w:val="1"/>
                <w:szCs w:val="1"/>
                <w:color w:val="auto"/>
              </w:rPr>
            </w:pPr>
          </w:p>
        </w:tc>
        <w:tc>
          <w:tcPr>
            <w:tcW w:w="220" w:type="dxa"/>
            <w:vAlign w:val="bottom"/>
            <w:shd w:val="clear" w:color="auto" w:fill="CCD2DB"/>
          </w:tcPr>
          <w:p>
            <w:pPr>
              <w:spacing w:after="0" w:line="20" w:lineRule="exact"/>
              <w:rPr>
                <w:sz w:val="1"/>
                <w:szCs w:val="1"/>
                <w:color w:val="auto"/>
              </w:rPr>
            </w:pPr>
          </w:p>
        </w:tc>
        <w:tc>
          <w:tcPr>
            <w:tcW w:w="820" w:type="dxa"/>
            <w:vAlign w:val="bottom"/>
            <w:shd w:val="clear" w:color="auto" w:fill="98A3B8"/>
          </w:tcPr>
          <w:p>
            <w:pPr>
              <w:spacing w:after="0" w:line="20" w:lineRule="exact"/>
              <w:rPr>
                <w:sz w:val="1"/>
                <w:szCs w:val="1"/>
                <w:color w:val="auto"/>
              </w:rPr>
            </w:pPr>
          </w:p>
        </w:tc>
        <w:tc>
          <w:tcPr>
            <w:tcW w:w="240" w:type="dxa"/>
            <w:vAlign w:val="bottom"/>
            <w:shd w:val="clear" w:color="auto" w:fill="CCD2DB"/>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240" w:type="dxa"/>
            <w:vAlign w:val="bottom"/>
            <w:shd w:val="clear" w:color="auto" w:fill="CCD2DB"/>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240" w:type="dxa"/>
            <w:vAlign w:val="bottom"/>
            <w:shd w:val="clear" w:color="auto" w:fill="CCD2DB"/>
          </w:tcPr>
          <w:p>
            <w:pPr>
              <w:spacing w:after="0" w:line="20" w:lineRule="exact"/>
              <w:rPr>
                <w:sz w:val="1"/>
                <w:szCs w:val="1"/>
                <w:color w:val="auto"/>
              </w:rPr>
            </w:pPr>
          </w:p>
        </w:tc>
        <w:tc>
          <w:tcPr>
            <w:tcW w:w="660" w:type="dxa"/>
            <w:vAlign w:val="bottom"/>
            <w:shd w:val="clear" w:color="auto" w:fill="98A3B8"/>
          </w:tcPr>
          <w:p>
            <w:pPr>
              <w:spacing w:after="0" w:line="20" w:lineRule="exact"/>
              <w:rPr>
                <w:sz w:val="1"/>
                <w:szCs w:val="1"/>
                <w:color w:val="auto"/>
              </w:rPr>
            </w:pPr>
          </w:p>
        </w:tc>
        <w:tc>
          <w:tcPr>
            <w:tcW w:w="140" w:type="dxa"/>
            <w:vAlign w:val="bottom"/>
            <w:shd w:val="clear" w:color="auto" w:fill="CCD2DB"/>
          </w:tcPr>
          <w:p>
            <w:pPr>
              <w:spacing w:after="0" w:line="20" w:lineRule="exact"/>
              <w:rPr>
                <w:sz w:val="1"/>
                <w:szCs w:val="1"/>
                <w:color w:val="auto"/>
              </w:rPr>
            </w:pPr>
          </w:p>
        </w:tc>
        <w:tc>
          <w:tcPr>
            <w:tcW w:w="80" w:type="dxa"/>
            <w:vAlign w:val="bottom"/>
            <w:shd w:val="clear" w:color="auto" w:fill="CCD2DB"/>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520" w:type="dxa"/>
            <w:vAlign w:val="bottom"/>
            <w:shd w:val="clear" w:color="auto" w:fill="98A3B8"/>
          </w:tcPr>
          <w:p>
            <w:pPr>
              <w:spacing w:after="0" w:line="20" w:lineRule="exact"/>
              <w:rPr>
                <w:sz w:val="1"/>
                <w:szCs w:val="1"/>
                <w:color w:val="auto"/>
              </w:rPr>
            </w:pPr>
          </w:p>
        </w:tc>
        <w:tc>
          <w:tcPr>
            <w:tcW w:w="160" w:type="dxa"/>
            <w:vAlign w:val="bottom"/>
            <w:gridSpan w:val="2"/>
            <w:shd w:val="clear" w:color="auto" w:fill="98A3B8"/>
          </w:tcPr>
          <w:p>
            <w:pPr>
              <w:spacing w:after="0" w:line="20" w:lineRule="exact"/>
              <w:rPr>
                <w:sz w:val="1"/>
                <w:szCs w:val="1"/>
                <w:color w:val="auto"/>
              </w:rPr>
            </w:pPr>
          </w:p>
        </w:tc>
        <w:tc>
          <w:tcPr>
            <w:tcW w:w="80" w:type="dxa"/>
            <w:vAlign w:val="bottom"/>
            <w:shd w:val="clear" w:color="auto" w:fill="98A3B8"/>
          </w:tcPr>
          <w:p>
            <w:pPr>
              <w:spacing w:after="0" w:line="20" w:lineRule="exact"/>
              <w:rPr>
                <w:sz w:val="1"/>
                <w:szCs w:val="1"/>
                <w:color w:val="auto"/>
              </w:rPr>
            </w:pPr>
          </w:p>
        </w:tc>
        <w:tc>
          <w:tcPr>
            <w:tcW w:w="240" w:type="dxa"/>
            <w:vAlign w:val="bottom"/>
            <w:tcBorders>
              <w:left w:val="single" w:sz="8" w:color="CCD2DB"/>
            </w:tcBorders>
            <w:shd w:val="clear" w:color="auto" w:fill="CCD2DB"/>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40" w:type="dxa"/>
            <w:vAlign w:val="bottom"/>
            <w:shd w:val="clear" w:color="auto" w:fill="98A3B8"/>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280" w:type="dxa"/>
            <w:vAlign w:val="bottom"/>
            <w:tcBorders>
              <w:left w:val="single" w:sz="8" w:color="CCD2DB"/>
              <w:right w:val="single" w:sz="8" w:color="98A3B8"/>
            </w:tcBorders>
            <w:shd w:val="clear" w:color="auto" w:fill="CCD2DB"/>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r>
      <w:tr>
        <w:trPr>
          <w:trHeight w:val="199"/>
        </w:trPr>
        <w:tc>
          <w:tcPr>
            <w:tcW w:w="3340" w:type="dxa"/>
            <w:vAlign w:val="bottom"/>
            <w:gridSpan w:val="2"/>
          </w:tcPr>
          <w:p>
            <w:pPr>
              <w:spacing w:after="0"/>
              <w:rPr>
                <w:sz w:val="20"/>
                <w:szCs w:val="20"/>
                <w:color w:val="auto"/>
              </w:rPr>
            </w:pPr>
            <w:r>
              <w:rPr>
                <w:rFonts w:ascii="Arial" w:cs="Arial" w:eastAsia="Arial" w:hAnsi="Arial"/>
                <w:sz w:val="15"/>
                <w:szCs w:val="15"/>
                <w:color w:val="auto"/>
              </w:rPr>
              <w:t>Andrew Mathias</w:t>
            </w:r>
          </w:p>
        </w:tc>
        <w:tc>
          <w:tcPr>
            <w:tcW w:w="240" w:type="dxa"/>
            <w:vAlign w:val="bottom"/>
          </w:tcPr>
          <w:p>
            <w:pPr>
              <w:spacing w:after="0"/>
              <w:rPr>
                <w:sz w:val="17"/>
                <w:szCs w:val="17"/>
                <w:color w:val="auto"/>
              </w:rPr>
            </w:pPr>
          </w:p>
        </w:tc>
        <w:tc>
          <w:tcPr>
            <w:tcW w:w="720" w:type="dxa"/>
            <w:vAlign w:val="bottom"/>
            <w:shd w:val="clear" w:color="auto" w:fill="CCD2DB"/>
          </w:tcPr>
          <w:p>
            <w:pPr>
              <w:jc w:val="right"/>
              <w:spacing w:after="0"/>
              <w:rPr>
                <w:sz w:val="20"/>
                <w:szCs w:val="20"/>
                <w:color w:val="auto"/>
              </w:rPr>
            </w:pPr>
            <w:r>
              <w:rPr>
                <w:rFonts w:ascii="Arial" w:cs="Arial" w:eastAsia="Arial" w:hAnsi="Arial"/>
                <w:sz w:val="15"/>
                <w:szCs w:val="15"/>
                <w:color w:val="auto"/>
              </w:rPr>
              <w:t>65,000</w:t>
            </w:r>
          </w:p>
        </w:tc>
        <w:tc>
          <w:tcPr>
            <w:tcW w:w="220" w:type="dxa"/>
            <w:vAlign w:val="bottom"/>
            <w:shd w:val="clear" w:color="auto" w:fill="CCD2DB"/>
          </w:tcPr>
          <w:p>
            <w:pPr>
              <w:spacing w:after="0"/>
              <w:rPr>
                <w:sz w:val="17"/>
                <w:szCs w:val="17"/>
                <w:color w:val="auto"/>
              </w:rPr>
            </w:pPr>
          </w:p>
        </w:tc>
        <w:tc>
          <w:tcPr>
            <w:tcW w:w="820" w:type="dxa"/>
            <w:vAlign w:val="bottom"/>
            <w:shd w:val="clear" w:color="auto" w:fill="CCD2DB"/>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D2DB"/>
          </w:tcPr>
          <w:p>
            <w:pPr>
              <w:spacing w:after="0"/>
              <w:rPr>
                <w:sz w:val="17"/>
                <w:szCs w:val="17"/>
                <w:color w:val="auto"/>
              </w:rPr>
            </w:pPr>
          </w:p>
        </w:tc>
        <w:tc>
          <w:tcPr>
            <w:tcW w:w="120" w:type="dxa"/>
            <w:vAlign w:val="bottom"/>
            <w:shd w:val="clear" w:color="auto" w:fill="CCD2DB"/>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gridSpan w:val="2"/>
            <w:shd w:val="clear" w:color="auto" w:fill="CCD2DB"/>
          </w:tcPr>
          <w:p>
            <w:pPr>
              <w:jc w:val="right"/>
              <w:ind w:right="240"/>
              <w:spacing w:after="0"/>
              <w:rPr>
                <w:sz w:val="20"/>
                <w:szCs w:val="20"/>
                <w:color w:val="auto"/>
              </w:rPr>
            </w:pPr>
            <w:r>
              <w:rPr>
                <w:rFonts w:ascii="Arial" w:cs="Arial" w:eastAsia="Arial" w:hAnsi="Arial"/>
                <w:sz w:val="15"/>
                <w:szCs w:val="15"/>
                <w:color w:val="auto"/>
              </w:rPr>
              <w:t>91.43</w:t>
            </w:r>
          </w:p>
        </w:tc>
        <w:tc>
          <w:tcPr>
            <w:tcW w:w="1020" w:type="dxa"/>
            <w:vAlign w:val="bottom"/>
            <w:gridSpan w:val="2"/>
            <w:shd w:val="clear" w:color="auto" w:fill="CCD2DB"/>
          </w:tcPr>
          <w:p>
            <w:pPr>
              <w:jc w:val="right"/>
              <w:ind w:right="240"/>
              <w:spacing w:after="0"/>
              <w:rPr>
                <w:sz w:val="20"/>
                <w:szCs w:val="20"/>
                <w:color w:val="auto"/>
              </w:rPr>
            </w:pPr>
            <w:r>
              <w:rPr>
                <w:rFonts w:ascii="Arial" w:cs="Arial" w:eastAsia="Arial" w:hAnsi="Arial"/>
                <w:sz w:val="15"/>
                <w:szCs w:val="15"/>
                <w:color w:val="auto"/>
              </w:rPr>
              <w:t>11/08/2018</w:t>
            </w:r>
          </w:p>
        </w:tc>
        <w:tc>
          <w:tcPr>
            <w:tcW w:w="800" w:type="dxa"/>
            <w:vAlign w:val="bottom"/>
            <w:gridSpan w:val="2"/>
            <w:shd w:val="clear" w:color="auto" w:fill="CCD2DB"/>
          </w:tcPr>
          <w:p>
            <w:pPr>
              <w:jc w:val="right"/>
              <w:ind w:right="140"/>
              <w:spacing w:after="0"/>
              <w:rPr>
                <w:sz w:val="20"/>
                <w:szCs w:val="20"/>
                <w:color w:val="auto"/>
              </w:rPr>
            </w:pPr>
            <w:r>
              <w:rPr>
                <w:rFonts w:ascii="Arial" w:cs="Arial" w:eastAsia="Arial" w:hAnsi="Arial"/>
                <w:sz w:val="15"/>
                <w:szCs w:val="15"/>
                <w:color w:val="auto"/>
              </w:rPr>
              <w:t>3,781</w:t>
            </w:r>
          </w:p>
        </w:tc>
        <w:tc>
          <w:tcPr>
            <w:tcW w:w="260" w:type="dxa"/>
            <w:vAlign w:val="bottom"/>
            <w:gridSpan w:val="2"/>
            <w:shd w:val="clear" w:color="auto" w:fill="CCD2DB"/>
          </w:tcPr>
          <w:p>
            <w:pPr>
              <w:jc w:val="right"/>
              <w:ind w:right="60"/>
              <w:spacing w:after="0"/>
              <w:rPr>
                <w:sz w:val="20"/>
                <w:szCs w:val="20"/>
                <w:color w:val="auto"/>
              </w:rPr>
            </w:pPr>
            <w:r>
              <w:rPr>
                <w:rFonts w:ascii="Arial" w:cs="Arial" w:eastAsia="Arial" w:hAnsi="Arial"/>
                <w:sz w:val="15"/>
                <w:szCs w:val="15"/>
                <w:color w:val="auto"/>
              </w:rPr>
              <w:t>$</w:t>
            </w:r>
          </w:p>
        </w:tc>
        <w:tc>
          <w:tcPr>
            <w:tcW w:w="760" w:type="dxa"/>
            <w:vAlign w:val="bottom"/>
            <w:gridSpan w:val="4"/>
            <w:shd w:val="clear" w:color="auto" w:fill="CCD2DB"/>
          </w:tcPr>
          <w:p>
            <w:pPr>
              <w:jc w:val="right"/>
              <w:spacing w:after="0"/>
              <w:rPr>
                <w:sz w:val="20"/>
                <w:szCs w:val="20"/>
                <w:color w:val="auto"/>
              </w:rPr>
            </w:pPr>
            <w:r>
              <w:rPr>
                <w:rFonts w:ascii="Arial" w:cs="Arial" w:eastAsia="Arial" w:hAnsi="Arial"/>
                <w:sz w:val="15"/>
                <w:szCs w:val="15"/>
                <w:color w:val="auto"/>
              </w:rPr>
              <w:t>406,647</w:t>
            </w:r>
          </w:p>
        </w:tc>
        <w:tc>
          <w:tcPr>
            <w:tcW w:w="240" w:type="dxa"/>
            <w:vAlign w:val="bottom"/>
            <w:tcBorders>
              <w:left w:val="single" w:sz="8" w:color="CCD2DB"/>
            </w:tcBorders>
            <w:shd w:val="clear" w:color="auto" w:fill="CCD2DB"/>
          </w:tcPr>
          <w:p>
            <w:pPr>
              <w:spacing w:after="0"/>
              <w:rPr>
                <w:sz w:val="17"/>
                <w:szCs w:val="17"/>
                <w:color w:val="auto"/>
              </w:rPr>
            </w:pPr>
          </w:p>
        </w:tc>
        <w:tc>
          <w:tcPr>
            <w:tcW w:w="100" w:type="dxa"/>
            <w:vAlign w:val="bottom"/>
            <w:shd w:val="clear" w:color="auto" w:fill="CCD2DB"/>
          </w:tcPr>
          <w:p>
            <w:pPr>
              <w:spacing w:after="0"/>
              <w:rPr>
                <w:sz w:val="17"/>
                <w:szCs w:val="17"/>
                <w:color w:val="auto"/>
              </w:rPr>
            </w:pPr>
          </w:p>
        </w:tc>
        <w:tc>
          <w:tcPr>
            <w:tcW w:w="40" w:type="dxa"/>
            <w:vAlign w:val="bottom"/>
            <w:shd w:val="clear" w:color="auto" w:fill="CCD2DB"/>
          </w:tcPr>
          <w:p>
            <w:pPr>
              <w:spacing w:after="0"/>
              <w:rPr>
                <w:sz w:val="17"/>
                <w:szCs w:val="17"/>
                <w:color w:val="auto"/>
              </w:rPr>
            </w:pPr>
          </w:p>
        </w:tc>
        <w:tc>
          <w:tcPr>
            <w:tcW w:w="120" w:type="dxa"/>
            <w:vAlign w:val="bottom"/>
            <w:shd w:val="clear" w:color="auto" w:fill="CCD2DB"/>
          </w:tcPr>
          <w:p>
            <w:pPr>
              <w:spacing w:after="0"/>
              <w:rPr>
                <w:sz w:val="17"/>
                <w:szCs w:val="17"/>
                <w:color w:val="auto"/>
              </w:rPr>
            </w:pPr>
          </w:p>
        </w:tc>
        <w:tc>
          <w:tcPr>
            <w:tcW w:w="500" w:type="dxa"/>
            <w:vAlign w:val="bottom"/>
            <w:shd w:val="clear" w:color="auto" w:fill="CCD2DB"/>
          </w:tcPr>
          <w:p>
            <w:pPr>
              <w:jc w:val="right"/>
              <w:spacing w:after="0"/>
              <w:rPr>
                <w:sz w:val="20"/>
                <w:szCs w:val="20"/>
                <w:color w:val="auto"/>
              </w:rPr>
            </w:pPr>
            <w:r>
              <w:rPr>
                <w:rFonts w:ascii="Arial" w:cs="Arial" w:eastAsia="Arial" w:hAnsi="Arial"/>
                <w:sz w:val="15"/>
                <w:szCs w:val="15"/>
                <w:color w:val="auto"/>
              </w:rPr>
              <w:t>—</w:t>
            </w:r>
          </w:p>
        </w:tc>
        <w:tc>
          <w:tcPr>
            <w:tcW w:w="280" w:type="dxa"/>
            <w:vAlign w:val="bottom"/>
            <w:tcBorders>
              <w:left w:val="single" w:sz="8" w:color="CCD2DB"/>
              <w:right w:val="single" w:sz="8" w:color="CCD2DB"/>
            </w:tcBorders>
            <w:shd w:val="clear" w:color="auto" w:fill="CCD2DB"/>
          </w:tcPr>
          <w:p>
            <w:pPr>
              <w:spacing w:after="0"/>
              <w:rPr>
                <w:sz w:val="17"/>
                <w:szCs w:val="17"/>
                <w:color w:val="auto"/>
              </w:rPr>
            </w:pPr>
          </w:p>
        </w:tc>
        <w:tc>
          <w:tcPr>
            <w:tcW w:w="140" w:type="dxa"/>
            <w:vAlign w:val="bottom"/>
            <w:shd w:val="clear" w:color="auto" w:fill="CCD2DB"/>
          </w:tcPr>
          <w:p>
            <w:pPr>
              <w:spacing w:after="0"/>
              <w:rPr>
                <w:sz w:val="17"/>
                <w:szCs w:val="17"/>
                <w:color w:val="auto"/>
              </w:rPr>
            </w:pPr>
          </w:p>
        </w:tc>
        <w:tc>
          <w:tcPr>
            <w:tcW w:w="740" w:type="dxa"/>
            <w:vAlign w:val="bottom"/>
            <w:shd w:val="clear" w:color="auto" w:fill="CCD2DB"/>
          </w:tcPr>
          <w:p>
            <w:pPr>
              <w:jc w:val="right"/>
              <w:spacing w:after="0"/>
              <w:rPr>
                <w:sz w:val="20"/>
                <w:szCs w:val="20"/>
                <w:color w:val="auto"/>
              </w:rPr>
            </w:pPr>
            <w:r>
              <w:rPr>
                <w:rFonts w:ascii="Arial" w:cs="Arial" w:eastAsia="Arial" w:hAnsi="Arial"/>
                <w:sz w:val="15"/>
                <w:szCs w:val="15"/>
                <w:color w:val="auto"/>
              </w:rPr>
              <w:t>—</w:t>
            </w:r>
          </w:p>
        </w:tc>
      </w:tr>
      <w:tr>
        <w:trPr>
          <w:trHeight w:val="20"/>
        </w:trPr>
        <w:tc>
          <w:tcPr>
            <w:tcW w:w="280" w:type="dxa"/>
            <w:vAlign w:val="bottom"/>
            <w:shd w:val="clear" w:color="auto" w:fill="98A3B8"/>
          </w:tcPr>
          <w:p>
            <w:pPr>
              <w:spacing w:after="0" w:line="20" w:lineRule="exact"/>
              <w:rPr>
                <w:sz w:val="1"/>
                <w:szCs w:val="1"/>
                <w:color w:val="auto"/>
              </w:rPr>
            </w:pPr>
          </w:p>
        </w:tc>
        <w:tc>
          <w:tcPr>
            <w:tcW w:w="3060" w:type="dxa"/>
            <w:vAlign w:val="bottom"/>
            <w:shd w:val="clear" w:color="auto" w:fill="98A3B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98A3B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98A3B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520" w:type="dxa"/>
            <w:vAlign w:val="bottom"/>
            <w:shd w:val="clear" w:color="auto" w:fill="98A3B8"/>
          </w:tcPr>
          <w:p>
            <w:pPr>
              <w:spacing w:after="0" w:line="20" w:lineRule="exact"/>
              <w:rPr>
                <w:sz w:val="1"/>
                <w:szCs w:val="1"/>
                <w:color w:val="auto"/>
              </w:rPr>
            </w:pPr>
          </w:p>
        </w:tc>
        <w:tc>
          <w:tcPr>
            <w:tcW w:w="20" w:type="dxa"/>
            <w:vAlign w:val="bottom"/>
            <w:shd w:val="clear" w:color="auto" w:fill="98A3B8"/>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80" w:type="dxa"/>
            <w:vAlign w:val="bottom"/>
            <w:shd w:val="clear" w:color="auto" w:fill="98A3B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160" w:type="dxa"/>
            <w:vAlign w:val="bottom"/>
            <w:gridSpan w:val="2"/>
            <w:shd w:val="clear" w:color="auto" w:fill="98A3B8"/>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280" w:type="dxa"/>
            <w:vAlign w:val="bottom"/>
            <w:tcBorders>
              <w:right w:val="single" w:sz="8" w:color="98A3B8"/>
            </w:tcBorders>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r>
      <w:tr>
        <w:trPr>
          <w:trHeight w:val="271"/>
        </w:trPr>
        <w:tc>
          <w:tcPr>
            <w:tcW w:w="28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65,000</w:t>
            </w: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gridSpan w:val="2"/>
          </w:tcPr>
          <w:p>
            <w:pPr>
              <w:jc w:val="right"/>
              <w:ind w:right="240"/>
              <w:spacing w:after="0"/>
              <w:rPr>
                <w:sz w:val="20"/>
                <w:szCs w:val="20"/>
                <w:color w:val="auto"/>
              </w:rPr>
            </w:pPr>
            <w:r>
              <w:rPr>
                <w:rFonts w:ascii="Arial" w:cs="Arial" w:eastAsia="Arial" w:hAnsi="Arial"/>
                <w:sz w:val="15"/>
                <w:szCs w:val="15"/>
                <w:color w:val="auto"/>
              </w:rPr>
              <w:t>91.43</w:t>
            </w: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11/08/2023</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0" w:type="dxa"/>
            <w:vAlign w:val="bottom"/>
            <w:gridSpan w:val="5"/>
          </w:tcPr>
          <w:p>
            <w:pPr>
              <w:jc w:val="right"/>
              <w:spacing w:after="0" w:line="271" w:lineRule="exact"/>
              <w:rPr>
                <w:sz w:val="20"/>
                <w:szCs w:val="20"/>
                <w:color w:val="auto"/>
              </w:rPr>
            </w:pPr>
            <w:r>
              <w:rPr>
                <w:rFonts w:ascii="Arial" w:cs="Arial" w:eastAsia="Arial" w:hAnsi="Arial"/>
                <w:sz w:val="15"/>
                <w:szCs w:val="15"/>
                <w:color w:val="auto"/>
              </w:rPr>
              <w:t>18,300</w:t>
            </w:r>
            <w:r>
              <w:rPr>
                <w:rFonts w:ascii="Arial" w:cs="Arial" w:eastAsia="Arial" w:hAnsi="Arial"/>
                <w:sz w:val="25"/>
                <w:szCs w:val="25"/>
                <w:color w:val="auto"/>
                <w:vertAlign w:val="superscript"/>
              </w:rPr>
              <w:t>(</w:t>
            </w:r>
            <w:r>
              <w:rPr>
                <w:rFonts w:ascii="Arial" w:cs="Arial" w:eastAsia="Arial" w:hAnsi="Arial"/>
                <w:sz w:val="30"/>
                <w:szCs w:val="30"/>
                <w:color w:val="auto"/>
                <w:vertAlign w:val="superscript"/>
              </w:rPr>
              <w:t>3)</w:t>
            </w:r>
          </w:p>
        </w:tc>
        <w:tc>
          <w:tcPr>
            <w:tcW w:w="4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1,968,165</w:t>
            </w:r>
          </w:p>
        </w:tc>
      </w:tr>
      <w:tr>
        <w:trPr>
          <w:trHeight w:val="20"/>
        </w:trPr>
        <w:tc>
          <w:tcPr>
            <w:tcW w:w="280" w:type="dxa"/>
            <w:vAlign w:val="bottom"/>
            <w:shd w:val="clear" w:color="auto" w:fill="98A3B8"/>
          </w:tcPr>
          <w:p>
            <w:pPr>
              <w:spacing w:after="0" w:line="20" w:lineRule="exact"/>
              <w:rPr>
                <w:sz w:val="1"/>
                <w:szCs w:val="1"/>
                <w:color w:val="auto"/>
              </w:rPr>
            </w:pPr>
          </w:p>
        </w:tc>
        <w:tc>
          <w:tcPr>
            <w:tcW w:w="3060" w:type="dxa"/>
            <w:vAlign w:val="bottom"/>
            <w:shd w:val="clear" w:color="auto" w:fill="98A3B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98A3B8"/>
          </w:tcPr>
          <w:p>
            <w:pPr>
              <w:spacing w:after="0" w:line="20" w:lineRule="exact"/>
              <w:rPr>
                <w:sz w:val="1"/>
                <w:szCs w:val="1"/>
                <w:color w:val="auto"/>
              </w:rPr>
            </w:pPr>
          </w:p>
        </w:tc>
        <w:tc>
          <w:tcPr>
            <w:tcW w:w="220" w:type="dxa"/>
            <w:vAlign w:val="bottom"/>
            <w:shd w:val="clear" w:color="auto" w:fill="CCD2DB"/>
          </w:tcPr>
          <w:p>
            <w:pPr>
              <w:spacing w:after="0" w:line="20" w:lineRule="exact"/>
              <w:rPr>
                <w:sz w:val="1"/>
                <w:szCs w:val="1"/>
                <w:color w:val="auto"/>
              </w:rPr>
            </w:pPr>
          </w:p>
        </w:tc>
        <w:tc>
          <w:tcPr>
            <w:tcW w:w="820" w:type="dxa"/>
            <w:vAlign w:val="bottom"/>
            <w:shd w:val="clear" w:color="auto" w:fill="98A3B8"/>
          </w:tcPr>
          <w:p>
            <w:pPr>
              <w:spacing w:after="0" w:line="20" w:lineRule="exact"/>
              <w:rPr>
                <w:sz w:val="1"/>
                <w:szCs w:val="1"/>
                <w:color w:val="auto"/>
              </w:rPr>
            </w:pPr>
          </w:p>
        </w:tc>
        <w:tc>
          <w:tcPr>
            <w:tcW w:w="240" w:type="dxa"/>
            <w:vAlign w:val="bottom"/>
            <w:shd w:val="clear" w:color="auto" w:fill="CCD2DB"/>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240" w:type="dxa"/>
            <w:vAlign w:val="bottom"/>
            <w:shd w:val="clear" w:color="auto" w:fill="CCD2DB"/>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240" w:type="dxa"/>
            <w:vAlign w:val="bottom"/>
            <w:shd w:val="clear" w:color="auto" w:fill="CCD2DB"/>
          </w:tcPr>
          <w:p>
            <w:pPr>
              <w:spacing w:after="0" w:line="20" w:lineRule="exact"/>
              <w:rPr>
                <w:sz w:val="1"/>
                <w:szCs w:val="1"/>
                <w:color w:val="auto"/>
              </w:rPr>
            </w:pPr>
          </w:p>
        </w:tc>
        <w:tc>
          <w:tcPr>
            <w:tcW w:w="660" w:type="dxa"/>
            <w:vAlign w:val="bottom"/>
            <w:shd w:val="clear" w:color="auto" w:fill="98A3B8"/>
          </w:tcPr>
          <w:p>
            <w:pPr>
              <w:spacing w:after="0" w:line="20" w:lineRule="exact"/>
              <w:rPr>
                <w:sz w:val="1"/>
                <w:szCs w:val="1"/>
                <w:color w:val="auto"/>
              </w:rPr>
            </w:pPr>
          </w:p>
        </w:tc>
        <w:tc>
          <w:tcPr>
            <w:tcW w:w="140" w:type="dxa"/>
            <w:vAlign w:val="bottom"/>
            <w:shd w:val="clear" w:color="auto" w:fill="CCD2DB"/>
          </w:tcPr>
          <w:p>
            <w:pPr>
              <w:spacing w:after="0" w:line="20" w:lineRule="exact"/>
              <w:rPr>
                <w:sz w:val="1"/>
                <w:szCs w:val="1"/>
                <w:color w:val="auto"/>
              </w:rPr>
            </w:pPr>
          </w:p>
        </w:tc>
        <w:tc>
          <w:tcPr>
            <w:tcW w:w="80" w:type="dxa"/>
            <w:vAlign w:val="bottom"/>
            <w:shd w:val="clear" w:color="auto" w:fill="CCD2DB"/>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520" w:type="dxa"/>
            <w:vAlign w:val="bottom"/>
            <w:shd w:val="clear" w:color="auto" w:fill="98A3B8"/>
          </w:tcPr>
          <w:p>
            <w:pPr>
              <w:spacing w:after="0" w:line="20" w:lineRule="exact"/>
              <w:rPr>
                <w:sz w:val="1"/>
                <w:szCs w:val="1"/>
                <w:color w:val="auto"/>
              </w:rPr>
            </w:pPr>
          </w:p>
        </w:tc>
        <w:tc>
          <w:tcPr>
            <w:tcW w:w="160" w:type="dxa"/>
            <w:vAlign w:val="bottom"/>
            <w:gridSpan w:val="2"/>
            <w:shd w:val="clear" w:color="auto" w:fill="98A3B8"/>
          </w:tcPr>
          <w:p>
            <w:pPr>
              <w:spacing w:after="0" w:line="20" w:lineRule="exact"/>
              <w:rPr>
                <w:sz w:val="1"/>
                <w:szCs w:val="1"/>
                <w:color w:val="auto"/>
              </w:rPr>
            </w:pPr>
          </w:p>
        </w:tc>
        <w:tc>
          <w:tcPr>
            <w:tcW w:w="80" w:type="dxa"/>
            <w:vAlign w:val="bottom"/>
            <w:shd w:val="clear" w:color="auto" w:fill="98A3B8"/>
          </w:tcPr>
          <w:p>
            <w:pPr>
              <w:spacing w:after="0" w:line="20" w:lineRule="exact"/>
              <w:rPr>
                <w:sz w:val="1"/>
                <w:szCs w:val="1"/>
                <w:color w:val="auto"/>
              </w:rPr>
            </w:pPr>
          </w:p>
        </w:tc>
        <w:tc>
          <w:tcPr>
            <w:tcW w:w="240" w:type="dxa"/>
            <w:vAlign w:val="bottom"/>
            <w:tcBorders>
              <w:left w:val="single" w:sz="8" w:color="CCD2DB"/>
            </w:tcBorders>
            <w:shd w:val="clear" w:color="auto" w:fill="CCD2DB"/>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40" w:type="dxa"/>
            <w:vAlign w:val="bottom"/>
            <w:shd w:val="clear" w:color="auto" w:fill="98A3B8"/>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280" w:type="dxa"/>
            <w:vAlign w:val="bottom"/>
            <w:tcBorders>
              <w:left w:val="single" w:sz="8" w:color="CCD2DB"/>
              <w:right w:val="single" w:sz="8" w:color="98A3B8"/>
            </w:tcBorders>
            <w:shd w:val="clear" w:color="auto" w:fill="CCD2DB"/>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r>
      <w:tr>
        <w:trPr>
          <w:trHeight w:val="265"/>
        </w:trPr>
        <w:tc>
          <w:tcPr>
            <w:tcW w:w="3340" w:type="dxa"/>
            <w:vAlign w:val="bottom"/>
            <w:gridSpan w:val="2"/>
          </w:tcPr>
          <w:p>
            <w:pPr>
              <w:spacing w:after="0"/>
              <w:rPr>
                <w:sz w:val="20"/>
                <w:szCs w:val="20"/>
                <w:color w:val="auto"/>
              </w:rPr>
            </w:pPr>
            <w:r>
              <w:rPr>
                <w:rFonts w:ascii="Arial" w:cs="Arial" w:eastAsia="Arial" w:hAnsi="Arial"/>
                <w:sz w:val="15"/>
                <w:szCs w:val="15"/>
                <w:color w:val="auto"/>
              </w:rPr>
              <w:t>Matthew J. DiLiberto</w:t>
            </w:r>
          </w:p>
        </w:tc>
        <w:tc>
          <w:tcPr>
            <w:tcW w:w="240" w:type="dxa"/>
            <w:vAlign w:val="bottom"/>
          </w:tcPr>
          <w:p>
            <w:pPr>
              <w:spacing w:after="0"/>
              <w:rPr>
                <w:sz w:val="23"/>
                <w:szCs w:val="23"/>
                <w:color w:val="auto"/>
              </w:rPr>
            </w:pPr>
          </w:p>
        </w:tc>
        <w:tc>
          <w:tcPr>
            <w:tcW w:w="720" w:type="dxa"/>
            <w:vAlign w:val="bottom"/>
            <w:shd w:val="clear" w:color="auto" w:fill="CCD2DB"/>
          </w:tcPr>
          <w:p>
            <w:pPr>
              <w:jc w:val="right"/>
              <w:spacing w:after="0" w:line="265" w:lineRule="exact"/>
              <w:rPr>
                <w:sz w:val="20"/>
                <w:szCs w:val="20"/>
                <w:color w:val="auto"/>
              </w:rPr>
            </w:pPr>
            <w:r>
              <w:rPr>
                <w:rFonts w:ascii="Arial" w:cs="Arial" w:eastAsia="Arial" w:hAnsi="Arial"/>
                <w:sz w:val="15"/>
                <w:szCs w:val="15"/>
                <w:color w:val="auto"/>
              </w:rPr>
              <w:t>20,000</w:t>
            </w:r>
            <w:r>
              <w:rPr>
                <w:rFonts w:ascii="Arial" w:cs="Arial" w:eastAsia="Arial" w:hAnsi="Arial"/>
                <w:sz w:val="25"/>
                <w:szCs w:val="25"/>
                <w:color w:val="auto"/>
                <w:vertAlign w:val="superscript"/>
              </w:rPr>
              <w:t>(</w:t>
            </w:r>
            <w:r>
              <w:rPr>
                <w:rFonts w:ascii="Arial" w:cs="Arial" w:eastAsia="Arial" w:hAnsi="Arial"/>
                <w:sz w:val="30"/>
                <w:szCs w:val="30"/>
                <w:color w:val="auto"/>
                <w:vertAlign w:val="superscript"/>
              </w:rPr>
              <w:t>5)</w:t>
            </w:r>
          </w:p>
        </w:tc>
        <w:tc>
          <w:tcPr>
            <w:tcW w:w="220" w:type="dxa"/>
            <w:vAlign w:val="bottom"/>
            <w:shd w:val="clear" w:color="auto" w:fill="CCD2DB"/>
          </w:tcPr>
          <w:p>
            <w:pPr>
              <w:spacing w:after="0"/>
              <w:rPr>
                <w:sz w:val="23"/>
                <w:szCs w:val="23"/>
                <w:color w:val="auto"/>
              </w:rPr>
            </w:pPr>
          </w:p>
        </w:tc>
        <w:tc>
          <w:tcPr>
            <w:tcW w:w="820" w:type="dxa"/>
            <w:vAlign w:val="bottom"/>
            <w:shd w:val="clear" w:color="auto" w:fill="CCD2DB"/>
          </w:tcPr>
          <w:p>
            <w:pPr>
              <w:jc w:val="right"/>
              <w:spacing w:after="0" w:line="265" w:lineRule="exact"/>
              <w:rPr>
                <w:sz w:val="20"/>
                <w:szCs w:val="20"/>
                <w:color w:val="auto"/>
              </w:rPr>
            </w:pPr>
            <w:r>
              <w:rPr>
                <w:rFonts w:ascii="Arial" w:cs="Arial" w:eastAsia="Arial" w:hAnsi="Arial"/>
                <w:sz w:val="15"/>
                <w:szCs w:val="15"/>
                <w:color w:val="auto"/>
              </w:rPr>
              <w:t>10,000</w:t>
            </w:r>
            <w:r>
              <w:rPr>
                <w:rFonts w:ascii="Arial" w:cs="Arial" w:eastAsia="Arial" w:hAnsi="Arial"/>
                <w:sz w:val="25"/>
                <w:szCs w:val="25"/>
                <w:color w:val="auto"/>
                <w:vertAlign w:val="superscript"/>
              </w:rPr>
              <w:t>(</w:t>
            </w:r>
            <w:r>
              <w:rPr>
                <w:rFonts w:ascii="Arial" w:cs="Arial" w:eastAsia="Arial" w:hAnsi="Arial"/>
                <w:sz w:val="30"/>
                <w:szCs w:val="30"/>
                <w:color w:val="auto"/>
                <w:vertAlign w:val="superscript"/>
              </w:rPr>
              <w:t>5)</w:t>
            </w:r>
          </w:p>
        </w:tc>
        <w:tc>
          <w:tcPr>
            <w:tcW w:w="240" w:type="dxa"/>
            <w:vAlign w:val="bottom"/>
            <w:shd w:val="clear" w:color="auto" w:fill="CCD2DB"/>
          </w:tcPr>
          <w:p>
            <w:pPr>
              <w:spacing w:after="0"/>
              <w:rPr>
                <w:sz w:val="23"/>
                <w:szCs w:val="23"/>
                <w:color w:val="auto"/>
              </w:rPr>
            </w:pPr>
          </w:p>
        </w:tc>
        <w:tc>
          <w:tcPr>
            <w:tcW w:w="120" w:type="dxa"/>
            <w:vAlign w:val="bottom"/>
            <w:shd w:val="clear" w:color="auto" w:fill="CCD2DB"/>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gridSpan w:val="2"/>
            <w:shd w:val="clear" w:color="auto" w:fill="CCD2DB"/>
          </w:tcPr>
          <w:p>
            <w:pPr>
              <w:jc w:val="right"/>
              <w:ind w:right="240"/>
              <w:spacing w:after="0"/>
              <w:rPr>
                <w:sz w:val="20"/>
                <w:szCs w:val="20"/>
                <w:color w:val="auto"/>
              </w:rPr>
            </w:pPr>
            <w:r>
              <w:rPr>
                <w:rFonts w:ascii="Arial" w:cs="Arial" w:eastAsia="Arial" w:hAnsi="Arial"/>
                <w:sz w:val="15"/>
                <w:szCs w:val="15"/>
                <w:color w:val="auto"/>
              </w:rPr>
              <w:t>90.15</w:t>
            </w:r>
          </w:p>
        </w:tc>
        <w:tc>
          <w:tcPr>
            <w:tcW w:w="1020" w:type="dxa"/>
            <w:vAlign w:val="bottom"/>
            <w:gridSpan w:val="2"/>
            <w:shd w:val="clear" w:color="auto" w:fill="CCD2DB"/>
          </w:tcPr>
          <w:p>
            <w:pPr>
              <w:jc w:val="right"/>
              <w:ind w:right="240"/>
              <w:spacing w:after="0"/>
              <w:rPr>
                <w:sz w:val="20"/>
                <w:szCs w:val="20"/>
                <w:color w:val="auto"/>
              </w:rPr>
            </w:pPr>
            <w:r>
              <w:rPr>
                <w:rFonts w:ascii="Arial" w:cs="Arial" w:eastAsia="Arial" w:hAnsi="Arial"/>
                <w:sz w:val="15"/>
                <w:szCs w:val="15"/>
                <w:color w:val="auto"/>
              </w:rPr>
              <w:t>12/12/2018</w:t>
            </w:r>
          </w:p>
        </w:tc>
        <w:tc>
          <w:tcPr>
            <w:tcW w:w="800" w:type="dxa"/>
            <w:vAlign w:val="bottom"/>
            <w:gridSpan w:val="2"/>
            <w:shd w:val="clear" w:color="auto" w:fill="CCD2DB"/>
          </w:tcPr>
          <w:p>
            <w:pPr>
              <w:jc w:val="right"/>
              <w:ind w:right="140"/>
              <w:spacing w:after="0"/>
              <w:rPr>
                <w:sz w:val="20"/>
                <w:szCs w:val="20"/>
                <w:color w:val="auto"/>
              </w:rPr>
            </w:pPr>
            <w:r>
              <w:rPr>
                <w:rFonts w:ascii="Arial" w:cs="Arial" w:eastAsia="Arial" w:hAnsi="Arial"/>
                <w:sz w:val="15"/>
                <w:szCs w:val="15"/>
                <w:color w:val="auto"/>
              </w:rPr>
              <w:t>11,148</w:t>
            </w:r>
          </w:p>
        </w:tc>
        <w:tc>
          <w:tcPr>
            <w:tcW w:w="260" w:type="dxa"/>
            <w:vAlign w:val="bottom"/>
            <w:gridSpan w:val="2"/>
            <w:shd w:val="clear" w:color="auto" w:fill="CCD2DB"/>
          </w:tcPr>
          <w:p>
            <w:pPr>
              <w:jc w:val="right"/>
              <w:ind w:right="60"/>
              <w:spacing w:after="0"/>
              <w:rPr>
                <w:sz w:val="20"/>
                <w:szCs w:val="20"/>
                <w:color w:val="auto"/>
              </w:rPr>
            </w:pPr>
            <w:r>
              <w:rPr>
                <w:rFonts w:ascii="Arial" w:cs="Arial" w:eastAsia="Arial" w:hAnsi="Arial"/>
                <w:sz w:val="15"/>
                <w:szCs w:val="15"/>
                <w:color w:val="auto"/>
              </w:rPr>
              <w:t>$</w:t>
            </w:r>
          </w:p>
        </w:tc>
        <w:tc>
          <w:tcPr>
            <w:tcW w:w="760" w:type="dxa"/>
            <w:vAlign w:val="bottom"/>
            <w:gridSpan w:val="4"/>
            <w:shd w:val="clear" w:color="auto" w:fill="CCD2DB"/>
          </w:tcPr>
          <w:p>
            <w:pPr>
              <w:jc w:val="right"/>
              <w:spacing w:after="0"/>
              <w:rPr>
                <w:sz w:val="20"/>
                <w:szCs w:val="20"/>
                <w:color w:val="auto"/>
              </w:rPr>
            </w:pPr>
            <w:r>
              <w:rPr>
                <w:rFonts w:ascii="Arial" w:cs="Arial" w:eastAsia="Arial" w:hAnsi="Arial"/>
                <w:sz w:val="15"/>
                <w:szCs w:val="15"/>
                <w:color w:val="auto"/>
              </w:rPr>
              <w:t>1,198,967</w:t>
            </w:r>
          </w:p>
        </w:tc>
        <w:tc>
          <w:tcPr>
            <w:tcW w:w="240" w:type="dxa"/>
            <w:vAlign w:val="bottom"/>
            <w:tcBorders>
              <w:left w:val="single" w:sz="8" w:color="CCD2DB"/>
            </w:tcBorders>
            <w:shd w:val="clear" w:color="auto" w:fill="CCD2DB"/>
          </w:tcPr>
          <w:p>
            <w:pPr>
              <w:spacing w:after="0"/>
              <w:rPr>
                <w:sz w:val="23"/>
                <w:szCs w:val="23"/>
                <w:color w:val="auto"/>
              </w:rPr>
            </w:pPr>
          </w:p>
        </w:tc>
        <w:tc>
          <w:tcPr>
            <w:tcW w:w="100" w:type="dxa"/>
            <w:vAlign w:val="bottom"/>
            <w:shd w:val="clear" w:color="auto" w:fill="CCD2DB"/>
          </w:tcPr>
          <w:p>
            <w:pPr>
              <w:spacing w:after="0"/>
              <w:rPr>
                <w:sz w:val="23"/>
                <w:szCs w:val="23"/>
                <w:color w:val="auto"/>
              </w:rPr>
            </w:pPr>
          </w:p>
        </w:tc>
        <w:tc>
          <w:tcPr>
            <w:tcW w:w="40" w:type="dxa"/>
            <w:vAlign w:val="bottom"/>
            <w:shd w:val="clear" w:color="auto" w:fill="CCD2DB"/>
          </w:tcPr>
          <w:p>
            <w:pPr>
              <w:spacing w:after="0"/>
              <w:rPr>
                <w:sz w:val="23"/>
                <w:szCs w:val="23"/>
                <w:color w:val="auto"/>
              </w:rPr>
            </w:pPr>
          </w:p>
        </w:tc>
        <w:tc>
          <w:tcPr>
            <w:tcW w:w="120" w:type="dxa"/>
            <w:vAlign w:val="bottom"/>
            <w:shd w:val="clear" w:color="auto" w:fill="CCD2DB"/>
          </w:tcPr>
          <w:p>
            <w:pPr>
              <w:spacing w:after="0"/>
              <w:rPr>
                <w:sz w:val="23"/>
                <w:szCs w:val="23"/>
                <w:color w:val="auto"/>
              </w:rPr>
            </w:pPr>
          </w:p>
        </w:tc>
        <w:tc>
          <w:tcPr>
            <w:tcW w:w="500" w:type="dxa"/>
            <w:vAlign w:val="bottom"/>
            <w:shd w:val="clear" w:color="auto" w:fill="CCD2DB"/>
          </w:tcPr>
          <w:p>
            <w:pPr>
              <w:jc w:val="right"/>
              <w:spacing w:after="0"/>
              <w:rPr>
                <w:sz w:val="20"/>
                <w:szCs w:val="20"/>
                <w:color w:val="auto"/>
              </w:rPr>
            </w:pPr>
            <w:r>
              <w:rPr>
                <w:rFonts w:ascii="Arial" w:cs="Arial" w:eastAsia="Arial" w:hAnsi="Arial"/>
                <w:sz w:val="15"/>
                <w:szCs w:val="15"/>
                <w:color w:val="auto"/>
              </w:rPr>
              <w:t>—</w:t>
            </w:r>
          </w:p>
        </w:tc>
        <w:tc>
          <w:tcPr>
            <w:tcW w:w="280" w:type="dxa"/>
            <w:vAlign w:val="bottom"/>
            <w:tcBorders>
              <w:left w:val="single" w:sz="8" w:color="CCD2DB"/>
              <w:right w:val="single" w:sz="8" w:color="CCD2DB"/>
            </w:tcBorders>
            <w:shd w:val="clear" w:color="auto" w:fill="CCD2DB"/>
          </w:tcPr>
          <w:p>
            <w:pPr>
              <w:spacing w:after="0"/>
              <w:rPr>
                <w:sz w:val="23"/>
                <w:szCs w:val="23"/>
                <w:color w:val="auto"/>
              </w:rPr>
            </w:pPr>
          </w:p>
        </w:tc>
        <w:tc>
          <w:tcPr>
            <w:tcW w:w="140" w:type="dxa"/>
            <w:vAlign w:val="bottom"/>
            <w:shd w:val="clear" w:color="auto" w:fill="CCD2DB"/>
          </w:tcPr>
          <w:p>
            <w:pPr>
              <w:spacing w:after="0"/>
              <w:rPr>
                <w:sz w:val="23"/>
                <w:szCs w:val="23"/>
                <w:color w:val="auto"/>
              </w:rPr>
            </w:pPr>
          </w:p>
        </w:tc>
        <w:tc>
          <w:tcPr>
            <w:tcW w:w="740" w:type="dxa"/>
            <w:vAlign w:val="bottom"/>
            <w:shd w:val="clear" w:color="auto" w:fill="CCD2DB"/>
          </w:tcPr>
          <w:p>
            <w:pPr>
              <w:jc w:val="right"/>
              <w:spacing w:after="0"/>
              <w:rPr>
                <w:sz w:val="20"/>
                <w:szCs w:val="20"/>
                <w:color w:val="auto"/>
              </w:rPr>
            </w:pPr>
            <w:r>
              <w:rPr>
                <w:rFonts w:ascii="Arial" w:cs="Arial" w:eastAsia="Arial" w:hAnsi="Arial"/>
                <w:sz w:val="15"/>
                <w:szCs w:val="15"/>
                <w:color w:val="auto"/>
              </w:rPr>
              <w:t>—</w:t>
            </w:r>
          </w:p>
        </w:tc>
      </w:tr>
      <w:tr>
        <w:trPr>
          <w:trHeight w:val="20"/>
        </w:trPr>
        <w:tc>
          <w:tcPr>
            <w:tcW w:w="280" w:type="dxa"/>
            <w:vAlign w:val="bottom"/>
            <w:shd w:val="clear" w:color="auto" w:fill="98A3B8"/>
          </w:tcPr>
          <w:p>
            <w:pPr>
              <w:spacing w:after="0" w:line="20" w:lineRule="exact"/>
              <w:rPr>
                <w:sz w:val="1"/>
                <w:szCs w:val="1"/>
                <w:color w:val="auto"/>
              </w:rPr>
            </w:pPr>
          </w:p>
        </w:tc>
        <w:tc>
          <w:tcPr>
            <w:tcW w:w="3060" w:type="dxa"/>
            <w:vAlign w:val="bottom"/>
            <w:shd w:val="clear" w:color="auto" w:fill="98A3B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98A3B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98A3B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520" w:type="dxa"/>
            <w:vAlign w:val="bottom"/>
            <w:shd w:val="clear" w:color="auto" w:fill="98A3B8"/>
          </w:tcPr>
          <w:p>
            <w:pPr>
              <w:spacing w:after="0" w:line="20" w:lineRule="exact"/>
              <w:rPr>
                <w:sz w:val="1"/>
                <w:szCs w:val="1"/>
                <w:color w:val="auto"/>
              </w:rPr>
            </w:pPr>
          </w:p>
        </w:tc>
        <w:tc>
          <w:tcPr>
            <w:tcW w:w="20" w:type="dxa"/>
            <w:vAlign w:val="bottom"/>
            <w:shd w:val="clear" w:color="auto" w:fill="98A3B8"/>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80" w:type="dxa"/>
            <w:vAlign w:val="bottom"/>
            <w:shd w:val="clear" w:color="auto" w:fill="98A3B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160" w:type="dxa"/>
            <w:vAlign w:val="bottom"/>
            <w:gridSpan w:val="2"/>
            <w:shd w:val="clear" w:color="auto" w:fill="98A3B8"/>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280" w:type="dxa"/>
            <w:vAlign w:val="bottom"/>
            <w:tcBorders>
              <w:right w:val="single" w:sz="8" w:color="98A3B8"/>
            </w:tcBorders>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r>
      <w:tr>
        <w:trPr>
          <w:trHeight w:val="265"/>
        </w:trPr>
        <w:tc>
          <w:tcPr>
            <w:tcW w:w="28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0" w:type="dxa"/>
            <w:vAlign w:val="bottom"/>
            <w:gridSpan w:val="5"/>
          </w:tcPr>
          <w:p>
            <w:pPr>
              <w:jc w:val="right"/>
              <w:spacing w:after="0" w:line="265" w:lineRule="exact"/>
              <w:rPr>
                <w:sz w:val="20"/>
                <w:szCs w:val="20"/>
                <w:color w:val="auto"/>
              </w:rPr>
            </w:pPr>
            <w:r>
              <w:rPr>
                <w:rFonts w:ascii="Arial" w:cs="Arial" w:eastAsia="Arial" w:hAnsi="Arial"/>
                <w:sz w:val="15"/>
                <w:szCs w:val="15"/>
                <w:color w:val="auto"/>
              </w:rPr>
              <w:t>10,121</w:t>
            </w:r>
            <w:r>
              <w:rPr>
                <w:rFonts w:ascii="Arial" w:cs="Arial" w:eastAsia="Arial" w:hAnsi="Arial"/>
                <w:sz w:val="25"/>
                <w:szCs w:val="25"/>
                <w:color w:val="auto"/>
                <w:vertAlign w:val="superscript"/>
              </w:rPr>
              <w:t>(</w:t>
            </w:r>
            <w:r>
              <w:rPr>
                <w:rFonts w:ascii="Arial" w:cs="Arial" w:eastAsia="Arial" w:hAnsi="Arial"/>
                <w:sz w:val="30"/>
                <w:szCs w:val="30"/>
                <w:color w:val="auto"/>
                <w:vertAlign w:val="superscript"/>
              </w:rPr>
              <w:t>3)</w:t>
            </w:r>
          </w:p>
        </w:tc>
        <w:tc>
          <w:tcPr>
            <w:tcW w:w="4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1,088,514</w:t>
            </w:r>
          </w:p>
        </w:tc>
      </w:tr>
      <w:tr>
        <w:trPr>
          <w:trHeight w:val="20"/>
        </w:trPr>
        <w:tc>
          <w:tcPr>
            <w:tcW w:w="280" w:type="dxa"/>
            <w:vAlign w:val="bottom"/>
            <w:shd w:val="clear" w:color="auto" w:fill="98A3B8"/>
          </w:tcPr>
          <w:p>
            <w:pPr>
              <w:spacing w:after="0" w:line="20" w:lineRule="exact"/>
              <w:rPr>
                <w:sz w:val="1"/>
                <w:szCs w:val="1"/>
                <w:color w:val="auto"/>
              </w:rPr>
            </w:pPr>
          </w:p>
        </w:tc>
        <w:tc>
          <w:tcPr>
            <w:tcW w:w="3060" w:type="dxa"/>
            <w:vAlign w:val="bottom"/>
            <w:shd w:val="clear" w:color="auto" w:fill="98A3B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98A3B8"/>
          </w:tcPr>
          <w:p>
            <w:pPr>
              <w:spacing w:after="0" w:line="20" w:lineRule="exact"/>
              <w:rPr>
                <w:sz w:val="1"/>
                <w:szCs w:val="1"/>
                <w:color w:val="auto"/>
              </w:rPr>
            </w:pPr>
          </w:p>
        </w:tc>
        <w:tc>
          <w:tcPr>
            <w:tcW w:w="220" w:type="dxa"/>
            <w:vAlign w:val="bottom"/>
            <w:shd w:val="clear" w:color="auto" w:fill="CCD2DB"/>
          </w:tcPr>
          <w:p>
            <w:pPr>
              <w:spacing w:after="0" w:line="20" w:lineRule="exact"/>
              <w:rPr>
                <w:sz w:val="1"/>
                <w:szCs w:val="1"/>
                <w:color w:val="auto"/>
              </w:rPr>
            </w:pPr>
          </w:p>
        </w:tc>
        <w:tc>
          <w:tcPr>
            <w:tcW w:w="820" w:type="dxa"/>
            <w:vAlign w:val="bottom"/>
            <w:shd w:val="clear" w:color="auto" w:fill="98A3B8"/>
          </w:tcPr>
          <w:p>
            <w:pPr>
              <w:spacing w:after="0" w:line="20" w:lineRule="exact"/>
              <w:rPr>
                <w:sz w:val="1"/>
                <w:szCs w:val="1"/>
                <w:color w:val="auto"/>
              </w:rPr>
            </w:pPr>
          </w:p>
        </w:tc>
        <w:tc>
          <w:tcPr>
            <w:tcW w:w="240" w:type="dxa"/>
            <w:vAlign w:val="bottom"/>
            <w:shd w:val="clear" w:color="auto" w:fill="CCD2DB"/>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240" w:type="dxa"/>
            <w:vAlign w:val="bottom"/>
            <w:shd w:val="clear" w:color="auto" w:fill="CCD2DB"/>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240" w:type="dxa"/>
            <w:vAlign w:val="bottom"/>
            <w:shd w:val="clear" w:color="auto" w:fill="CCD2DB"/>
          </w:tcPr>
          <w:p>
            <w:pPr>
              <w:spacing w:after="0" w:line="20" w:lineRule="exact"/>
              <w:rPr>
                <w:sz w:val="1"/>
                <w:szCs w:val="1"/>
                <w:color w:val="auto"/>
              </w:rPr>
            </w:pPr>
          </w:p>
        </w:tc>
        <w:tc>
          <w:tcPr>
            <w:tcW w:w="660" w:type="dxa"/>
            <w:vAlign w:val="bottom"/>
            <w:shd w:val="clear" w:color="auto" w:fill="98A3B8"/>
          </w:tcPr>
          <w:p>
            <w:pPr>
              <w:spacing w:after="0" w:line="20" w:lineRule="exact"/>
              <w:rPr>
                <w:sz w:val="1"/>
                <w:szCs w:val="1"/>
                <w:color w:val="auto"/>
              </w:rPr>
            </w:pPr>
          </w:p>
        </w:tc>
        <w:tc>
          <w:tcPr>
            <w:tcW w:w="140" w:type="dxa"/>
            <w:vAlign w:val="bottom"/>
            <w:shd w:val="clear" w:color="auto" w:fill="CCD2DB"/>
          </w:tcPr>
          <w:p>
            <w:pPr>
              <w:spacing w:after="0" w:line="20" w:lineRule="exact"/>
              <w:rPr>
                <w:sz w:val="1"/>
                <w:szCs w:val="1"/>
                <w:color w:val="auto"/>
              </w:rPr>
            </w:pPr>
          </w:p>
        </w:tc>
        <w:tc>
          <w:tcPr>
            <w:tcW w:w="80" w:type="dxa"/>
            <w:vAlign w:val="bottom"/>
            <w:shd w:val="clear" w:color="auto" w:fill="CCD2DB"/>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520" w:type="dxa"/>
            <w:vAlign w:val="bottom"/>
            <w:shd w:val="clear" w:color="auto" w:fill="98A3B8"/>
          </w:tcPr>
          <w:p>
            <w:pPr>
              <w:spacing w:after="0" w:line="20" w:lineRule="exact"/>
              <w:rPr>
                <w:sz w:val="1"/>
                <w:szCs w:val="1"/>
                <w:color w:val="auto"/>
              </w:rPr>
            </w:pPr>
          </w:p>
        </w:tc>
        <w:tc>
          <w:tcPr>
            <w:tcW w:w="160" w:type="dxa"/>
            <w:vAlign w:val="bottom"/>
            <w:gridSpan w:val="2"/>
            <w:shd w:val="clear" w:color="auto" w:fill="98A3B8"/>
          </w:tcPr>
          <w:p>
            <w:pPr>
              <w:spacing w:after="0" w:line="20" w:lineRule="exact"/>
              <w:rPr>
                <w:sz w:val="1"/>
                <w:szCs w:val="1"/>
                <w:color w:val="auto"/>
              </w:rPr>
            </w:pPr>
          </w:p>
        </w:tc>
        <w:tc>
          <w:tcPr>
            <w:tcW w:w="80" w:type="dxa"/>
            <w:vAlign w:val="bottom"/>
            <w:shd w:val="clear" w:color="auto" w:fill="98A3B8"/>
          </w:tcPr>
          <w:p>
            <w:pPr>
              <w:spacing w:after="0" w:line="20" w:lineRule="exact"/>
              <w:rPr>
                <w:sz w:val="1"/>
                <w:szCs w:val="1"/>
                <w:color w:val="auto"/>
              </w:rPr>
            </w:pPr>
          </w:p>
        </w:tc>
        <w:tc>
          <w:tcPr>
            <w:tcW w:w="240" w:type="dxa"/>
            <w:vAlign w:val="bottom"/>
            <w:tcBorders>
              <w:left w:val="single" w:sz="8" w:color="CCD2DB"/>
            </w:tcBorders>
            <w:shd w:val="clear" w:color="auto" w:fill="CCD2DB"/>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40" w:type="dxa"/>
            <w:vAlign w:val="bottom"/>
            <w:shd w:val="clear" w:color="auto" w:fill="98A3B8"/>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280" w:type="dxa"/>
            <w:vAlign w:val="bottom"/>
            <w:tcBorders>
              <w:left w:val="single" w:sz="8" w:color="CCD2DB"/>
              <w:right w:val="single" w:sz="8" w:color="98A3B8"/>
            </w:tcBorders>
            <w:shd w:val="clear" w:color="auto" w:fill="CCD2DB"/>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r>
      <w:tr>
        <w:trPr>
          <w:trHeight w:val="265"/>
        </w:trPr>
        <w:tc>
          <w:tcPr>
            <w:tcW w:w="3340" w:type="dxa"/>
            <w:vAlign w:val="bottom"/>
            <w:gridSpan w:val="2"/>
          </w:tcPr>
          <w:p>
            <w:pPr>
              <w:spacing w:after="0"/>
              <w:rPr>
                <w:sz w:val="20"/>
                <w:szCs w:val="20"/>
                <w:color w:val="auto"/>
              </w:rPr>
            </w:pPr>
            <w:r>
              <w:rPr>
                <w:rFonts w:ascii="Arial" w:cs="Arial" w:eastAsia="Arial" w:hAnsi="Arial"/>
                <w:sz w:val="15"/>
                <w:szCs w:val="15"/>
                <w:color w:val="auto"/>
              </w:rPr>
              <w:t>Andrew S. Levine</w:t>
            </w:r>
          </w:p>
        </w:tc>
        <w:tc>
          <w:tcPr>
            <w:tcW w:w="240" w:type="dxa"/>
            <w:vAlign w:val="bottom"/>
          </w:tcPr>
          <w:p>
            <w:pPr>
              <w:spacing w:after="0"/>
              <w:rPr>
                <w:sz w:val="23"/>
                <w:szCs w:val="23"/>
                <w:color w:val="auto"/>
              </w:rPr>
            </w:pPr>
          </w:p>
        </w:tc>
        <w:tc>
          <w:tcPr>
            <w:tcW w:w="720" w:type="dxa"/>
            <w:vAlign w:val="bottom"/>
            <w:shd w:val="clear" w:color="auto" w:fill="CCD2DB"/>
          </w:tcPr>
          <w:p>
            <w:pPr>
              <w:jc w:val="right"/>
              <w:spacing w:after="0" w:line="265" w:lineRule="exact"/>
              <w:rPr>
                <w:sz w:val="20"/>
                <w:szCs w:val="20"/>
                <w:color w:val="auto"/>
              </w:rPr>
            </w:pPr>
            <w:r>
              <w:rPr>
                <w:rFonts w:ascii="Arial" w:cs="Arial" w:eastAsia="Arial" w:hAnsi="Arial"/>
                <w:sz w:val="15"/>
                <w:szCs w:val="15"/>
                <w:color w:val="auto"/>
              </w:rPr>
              <w:t>8,333</w:t>
            </w:r>
            <w:r>
              <w:rPr>
                <w:rFonts w:ascii="Arial" w:cs="Arial" w:eastAsia="Arial" w:hAnsi="Arial"/>
                <w:sz w:val="25"/>
                <w:szCs w:val="25"/>
                <w:color w:val="auto"/>
                <w:vertAlign w:val="superscript"/>
              </w:rPr>
              <w:t>(</w:t>
            </w:r>
            <w:r>
              <w:rPr>
                <w:rFonts w:ascii="Arial" w:cs="Arial" w:eastAsia="Arial" w:hAnsi="Arial"/>
                <w:sz w:val="30"/>
                <w:szCs w:val="30"/>
                <w:color w:val="auto"/>
                <w:vertAlign w:val="superscript"/>
              </w:rPr>
              <w:t>6)</w:t>
            </w:r>
          </w:p>
        </w:tc>
        <w:tc>
          <w:tcPr>
            <w:tcW w:w="220" w:type="dxa"/>
            <w:vAlign w:val="bottom"/>
            <w:shd w:val="clear" w:color="auto" w:fill="CCD2DB"/>
          </w:tcPr>
          <w:p>
            <w:pPr>
              <w:spacing w:after="0"/>
              <w:rPr>
                <w:sz w:val="23"/>
                <w:szCs w:val="23"/>
                <w:color w:val="auto"/>
              </w:rPr>
            </w:pPr>
          </w:p>
        </w:tc>
        <w:tc>
          <w:tcPr>
            <w:tcW w:w="820" w:type="dxa"/>
            <w:vAlign w:val="bottom"/>
            <w:shd w:val="clear" w:color="auto" w:fill="CCD2DB"/>
          </w:tcPr>
          <w:p>
            <w:pPr>
              <w:jc w:val="right"/>
              <w:spacing w:after="0" w:line="265" w:lineRule="exact"/>
              <w:rPr>
                <w:sz w:val="20"/>
                <w:szCs w:val="20"/>
                <w:color w:val="auto"/>
              </w:rPr>
            </w:pPr>
            <w:r>
              <w:rPr>
                <w:rFonts w:ascii="Arial" w:cs="Arial" w:eastAsia="Arial" w:hAnsi="Arial"/>
                <w:sz w:val="15"/>
                <w:szCs w:val="15"/>
                <w:color w:val="auto"/>
              </w:rPr>
              <w:t>4,167</w:t>
            </w:r>
            <w:r>
              <w:rPr>
                <w:rFonts w:ascii="Arial" w:cs="Arial" w:eastAsia="Arial" w:hAnsi="Arial"/>
                <w:sz w:val="25"/>
                <w:szCs w:val="25"/>
                <w:color w:val="auto"/>
                <w:vertAlign w:val="superscript"/>
              </w:rPr>
              <w:t>(</w:t>
            </w:r>
            <w:r>
              <w:rPr>
                <w:rFonts w:ascii="Arial" w:cs="Arial" w:eastAsia="Arial" w:hAnsi="Arial"/>
                <w:sz w:val="30"/>
                <w:szCs w:val="30"/>
                <w:color w:val="auto"/>
                <w:vertAlign w:val="superscript"/>
              </w:rPr>
              <w:t>6)</w:t>
            </w:r>
          </w:p>
        </w:tc>
        <w:tc>
          <w:tcPr>
            <w:tcW w:w="240" w:type="dxa"/>
            <w:vAlign w:val="bottom"/>
            <w:shd w:val="clear" w:color="auto" w:fill="CCD2DB"/>
          </w:tcPr>
          <w:p>
            <w:pPr>
              <w:spacing w:after="0"/>
              <w:rPr>
                <w:sz w:val="23"/>
                <w:szCs w:val="23"/>
                <w:color w:val="auto"/>
              </w:rPr>
            </w:pPr>
          </w:p>
        </w:tc>
        <w:tc>
          <w:tcPr>
            <w:tcW w:w="120" w:type="dxa"/>
            <w:vAlign w:val="bottom"/>
            <w:shd w:val="clear" w:color="auto" w:fill="CCD2DB"/>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gridSpan w:val="2"/>
            <w:shd w:val="clear" w:color="auto" w:fill="CCD2DB"/>
          </w:tcPr>
          <w:p>
            <w:pPr>
              <w:jc w:val="right"/>
              <w:ind w:right="240"/>
              <w:spacing w:after="0"/>
              <w:rPr>
                <w:sz w:val="20"/>
                <w:szCs w:val="20"/>
                <w:color w:val="auto"/>
              </w:rPr>
            </w:pPr>
            <w:r>
              <w:rPr>
                <w:rFonts w:ascii="Arial" w:cs="Arial" w:eastAsia="Arial" w:hAnsi="Arial"/>
                <w:sz w:val="15"/>
                <w:szCs w:val="15"/>
                <w:color w:val="auto"/>
              </w:rPr>
              <w:t>90.15</w:t>
            </w:r>
          </w:p>
        </w:tc>
        <w:tc>
          <w:tcPr>
            <w:tcW w:w="1020" w:type="dxa"/>
            <w:vAlign w:val="bottom"/>
            <w:gridSpan w:val="2"/>
            <w:shd w:val="clear" w:color="auto" w:fill="CCD2DB"/>
          </w:tcPr>
          <w:p>
            <w:pPr>
              <w:jc w:val="right"/>
              <w:ind w:right="240"/>
              <w:spacing w:after="0"/>
              <w:rPr>
                <w:sz w:val="20"/>
                <w:szCs w:val="20"/>
                <w:color w:val="auto"/>
              </w:rPr>
            </w:pPr>
            <w:r>
              <w:rPr>
                <w:rFonts w:ascii="Arial" w:cs="Arial" w:eastAsia="Arial" w:hAnsi="Arial"/>
                <w:sz w:val="15"/>
                <w:szCs w:val="15"/>
                <w:color w:val="auto"/>
              </w:rPr>
              <w:t>12/12/2018</w:t>
            </w:r>
          </w:p>
        </w:tc>
        <w:tc>
          <w:tcPr>
            <w:tcW w:w="800" w:type="dxa"/>
            <w:vAlign w:val="bottom"/>
            <w:gridSpan w:val="2"/>
            <w:shd w:val="clear" w:color="auto" w:fill="CCD2DB"/>
          </w:tcPr>
          <w:p>
            <w:pPr>
              <w:jc w:val="right"/>
              <w:ind w:right="140"/>
              <w:spacing w:after="0"/>
              <w:rPr>
                <w:sz w:val="20"/>
                <w:szCs w:val="20"/>
                <w:color w:val="auto"/>
              </w:rPr>
            </w:pPr>
            <w:r>
              <w:rPr>
                <w:rFonts w:ascii="Arial" w:cs="Arial" w:eastAsia="Arial" w:hAnsi="Arial"/>
                <w:sz w:val="15"/>
                <w:szCs w:val="15"/>
                <w:color w:val="auto"/>
              </w:rPr>
              <w:t>24,926</w:t>
            </w:r>
          </w:p>
        </w:tc>
        <w:tc>
          <w:tcPr>
            <w:tcW w:w="260" w:type="dxa"/>
            <w:vAlign w:val="bottom"/>
            <w:gridSpan w:val="2"/>
            <w:shd w:val="clear" w:color="auto" w:fill="CCD2DB"/>
          </w:tcPr>
          <w:p>
            <w:pPr>
              <w:jc w:val="right"/>
              <w:ind w:right="60"/>
              <w:spacing w:after="0"/>
              <w:rPr>
                <w:sz w:val="20"/>
                <w:szCs w:val="20"/>
                <w:color w:val="auto"/>
              </w:rPr>
            </w:pPr>
            <w:r>
              <w:rPr>
                <w:rFonts w:ascii="Arial" w:cs="Arial" w:eastAsia="Arial" w:hAnsi="Arial"/>
                <w:sz w:val="15"/>
                <w:szCs w:val="15"/>
                <w:color w:val="auto"/>
              </w:rPr>
              <w:t>$</w:t>
            </w:r>
          </w:p>
        </w:tc>
        <w:tc>
          <w:tcPr>
            <w:tcW w:w="760" w:type="dxa"/>
            <w:vAlign w:val="bottom"/>
            <w:gridSpan w:val="4"/>
            <w:shd w:val="clear" w:color="auto" w:fill="CCD2DB"/>
          </w:tcPr>
          <w:p>
            <w:pPr>
              <w:jc w:val="right"/>
              <w:spacing w:after="0"/>
              <w:rPr>
                <w:sz w:val="20"/>
                <w:szCs w:val="20"/>
                <w:color w:val="auto"/>
              </w:rPr>
            </w:pPr>
            <w:r>
              <w:rPr>
                <w:rFonts w:ascii="Arial" w:cs="Arial" w:eastAsia="Arial" w:hAnsi="Arial"/>
                <w:sz w:val="15"/>
                <w:szCs w:val="15"/>
                <w:color w:val="auto"/>
              </w:rPr>
              <w:t>2,680,791</w:t>
            </w:r>
          </w:p>
        </w:tc>
        <w:tc>
          <w:tcPr>
            <w:tcW w:w="240" w:type="dxa"/>
            <w:vAlign w:val="bottom"/>
            <w:tcBorders>
              <w:left w:val="single" w:sz="8" w:color="CCD2DB"/>
            </w:tcBorders>
            <w:shd w:val="clear" w:color="auto" w:fill="CCD2DB"/>
          </w:tcPr>
          <w:p>
            <w:pPr>
              <w:spacing w:after="0"/>
              <w:rPr>
                <w:sz w:val="23"/>
                <w:szCs w:val="23"/>
                <w:color w:val="auto"/>
              </w:rPr>
            </w:pPr>
          </w:p>
        </w:tc>
        <w:tc>
          <w:tcPr>
            <w:tcW w:w="100" w:type="dxa"/>
            <w:vAlign w:val="bottom"/>
            <w:shd w:val="clear" w:color="auto" w:fill="CCD2DB"/>
          </w:tcPr>
          <w:p>
            <w:pPr>
              <w:spacing w:after="0"/>
              <w:rPr>
                <w:sz w:val="23"/>
                <w:szCs w:val="23"/>
                <w:color w:val="auto"/>
              </w:rPr>
            </w:pPr>
          </w:p>
        </w:tc>
        <w:tc>
          <w:tcPr>
            <w:tcW w:w="40" w:type="dxa"/>
            <w:vAlign w:val="bottom"/>
            <w:shd w:val="clear" w:color="auto" w:fill="CCD2DB"/>
          </w:tcPr>
          <w:p>
            <w:pPr>
              <w:spacing w:after="0"/>
              <w:rPr>
                <w:sz w:val="23"/>
                <w:szCs w:val="23"/>
                <w:color w:val="auto"/>
              </w:rPr>
            </w:pPr>
          </w:p>
        </w:tc>
        <w:tc>
          <w:tcPr>
            <w:tcW w:w="120" w:type="dxa"/>
            <w:vAlign w:val="bottom"/>
            <w:shd w:val="clear" w:color="auto" w:fill="CCD2DB"/>
          </w:tcPr>
          <w:p>
            <w:pPr>
              <w:spacing w:after="0"/>
              <w:rPr>
                <w:sz w:val="23"/>
                <w:szCs w:val="23"/>
                <w:color w:val="auto"/>
              </w:rPr>
            </w:pPr>
          </w:p>
        </w:tc>
        <w:tc>
          <w:tcPr>
            <w:tcW w:w="500" w:type="dxa"/>
            <w:vAlign w:val="bottom"/>
            <w:shd w:val="clear" w:color="auto" w:fill="CCD2DB"/>
          </w:tcPr>
          <w:p>
            <w:pPr>
              <w:jc w:val="right"/>
              <w:spacing w:after="0"/>
              <w:rPr>
                <w:sz w:val="20"/>
                <w:szCs w:val="20"/>
                <w:color w:val="auto"/>
              </w:rPr>
            </w:pPr>
            <w:r>
              <w:rPr>
                <w:rFonts w:ascii="Arial" w:cs="Arial" w:eastAsia="Arial" w:hAnsi="Arial"/>
                <w:sz w:val="15"/>
                <w:szCs w:val="15"/>
                <w:color w:val="auto"/>
              </w:rPr>
              <w:t>—</w:t>
            </w:r>
          </w:p>
        </w:tc>
        <w:tc>
          <w:tcPr>
            <w:tcW w:w="280" w:type="dxa"/>
            <w:vAlign w:val="bottom"/>
            <w:tcBorders>
              <w:left w:val="single" w:sz="8" w:color="CCD2DB"/>
              <w:right w:val="single" w:sz="8" w:color="CCD2DB"/>
            </w:tcBorders>
            <w:shd w:val="clear" w:color="auto" w:fill="CCD2DB"/>
          </w:tcPr>
          <w:p>
            <w:pPr>
              <w:spacing w:after="0"/>
              <w:rPr>
                <w:sz w:val="23"/>
                <w:szCs w:val="23"/>
                <w:color w:val="auto"/>
              </w:rPr>
            </w:pPr>
          </w:p>
        </w:tc>
        <w:tc>
          <w:tcPr>
            <w:tcW w:w="140" w:type="dxa"/>
            <w:vAlign w:val="bottom"/>
            <w:shd w:val="clear" w:color="auto" w:fill="CCD2DB"/>
          </w:tcPr>
          <w:p>
            <w:pPr>
              <w:spacing w:after="0"/>
              <w:rPr>
                <w:sz w:val="23"/>
                <w:szCs w:val="23"/>
                <w:color w:val="auto"/>
              </w:rPr>
            </w:pPr>
          </w:p>
        </w:tc>
        <w:tc>
          <w:tcPr>
            <w:tcW w:w="740" w:type="dxa"/>
            <w:vAlign w:val="bottom"/>
            <w:shd w:val="clear" w:color="auto" w:fill="CCD2DB"/>
          </w:tcPr>
          <w:p>
            <w:pPr>
              <w:jc w:val="right"/>
              <w:spacing w:after="0"/>
              <w:rPr>
                <w:sz w:val="20"/>
                <w:szCs w:val="20"/>
                <w:color w:val="auto"/>
              </w:rPr>
            </w:pPr>
            <w:r>
              <w:rPr>
                <w:rFonts w:ascii="Arial" w:cs="Arial" w:eastAsia="Arial" w:hAnsi="Arial"/>
                <w:sz w:val="15"/>
                <w:szCs w:val="15"/>
                <w:color w:val="auto"/>
              </w:rPr>
              <w:t>—</w:t>
            </w:r>
          </w:p>
        </w:tc>
      </w:tr>
      <w:tr>
        <w:trPr>
          <w:trHeight w:val="20"/>
        </w:trPr>
        <w:tc>
          <w:tcPr>
            <w:tcW w:w="280" w:type="dxa"/>
            <w:vAlign w:val="bottom"/>
            <w:shd w:val="clear" w:color="auto" w:fill="98A3B8"/>
          </w:tcPr>
          <w:p>
            <w:pPr>
              <w:spacing w:after="0" w:line="20" w:lineRule="exact"/>
              <w:rPr>
                <w:sz w:val="1"/>
                <w:szCs w:val="1"/>
                <w:color w:val="auto"/>
              </w:rPr>
            </w:pPr>
          </w:p>
        </w:tc>
        <w:tc>
          <w:tcPr>
            <w:tcW w:w="3060" w:type="dxa"/>
            <w:vAlign w:val="bottom"/>
            <w:shd w:val="clear" w:color="auto" w:fill="98A3B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98A3B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98A3B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520" w:type="dxa"/>
            <w:vAlign w:val="bottom"/>
            <w:shd w:val="clear" w:color="auto" w:fill="98A3B8"/>
          </w:tcPr>
          <w:p>
            <w:pPr>
              <w:spacing w:after="0" w:line="20" w:lineRule="exact"/>
              <w:rPr>
                <w:sz w:val="1"/>
                <w:szCs w:val="1"/>
                <w:color w:val="auto"/>
              </w:rPr>
            </w:pPr>
          </w:p>
        </w:tc>
        <w:tc>
          <w:tcPr>
            <w:tcW w:w="20" w:type="dxa"/>
            <w:vAlign w:val="bottom"/>
            <w:shd w:val="clear" w:color="auto" w:fill="98A3B8"/>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80" w:type="dxa"/>
            <w:vAlign w:val="bottom"/>
            <w:shd w:val="clear" w:color="auto" w:fill="98A3B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98A3B8"/>
          </w:tcPr>
          <w:p>
            <w:pPr>
              <w:spacing w:after="0" w:line="20" w:lineRule="exact"/>
              <w:rPr>
                <w:sz w:val="1"/>
                <w:szCs w:val="1"/>
                <w:color w:val="auto"/>
              </w:rPr>
            </w:pPr>
          </w:p>
        </w:tc>
        <w:tc>
          <w:tcPr>
            <w:tcW w:w="160" w:type="dxa"/>
            <w:vAlign w:val="bottom"/>
            <w:gridSpan w:val="2"/>
            <w:shd w:val="clear" w:color="auto" w:fill="98A3B8"/>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280" w:type="dxa"/>
            <w:vAlign w:val="bottom"/>
            <w:tcBorders>
              <w:right w:val="single" w:sz="8" w:color="98A3B8"/>
            </w:tcBorders>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r>
      <w:tr>
        <w:trPr>
          <w:trHeight w:val="265"/>
        </w:trPr>
        <w:tc>
          <w:tcPr>
            <w:tcW w:w="28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jc w:val="right"/>
              <w:spacing w:after="0" w:line="265" w:lineRule="exact"/>
              <w:rPr>
                <w:sz w:val="20"/>
                <w:szCs w:val="20"/>
                <w:color w:val="auto"/>
              </w:rPr>
            </w:pPr>
            <w:r>
              <w:rPr>
                <w:rFonts w:ascii="Arial" w:cs="Arial" w:eastAsia="Arial" w:hAnsi="Arial"/>
                <w:sz w:val="15"/>
                <w:szCs w:val="15"/>
                <w:color w:val="auto"/>
              </w:rPr>
              <w:t>8,333</w:t>
            </w:r>
            <w:r>
              <w:rPr>
                <w:rFonts w:ascii="Arial" w:cs="Arial" w:eastAsia="Arial" w:hAnsi="Arial"/>
                <w:sz w:val="25"/>
                <w:szCs w:val="25"/>
                <w:color w:val="auto"/>
                <w:vertAlign w:val="superscript"/>
              </w:rPr>
              <w:t>(</w:t>
            </w:r>
            <w:r>
              <w:rPr>
                <w:rFonts w:ascii="Arial" w:cs="Arial" w:eastAsia="Arial" w:hAnsi="Arial"/>
                <w:sz w:val="30"/>
                <w:szCs w:val="30"/>
                <w:color w:val="auto"/>
                <w:vertAlign w:val="superscript"/>
              </w:rPr>
              <w:t>6)</w:t>
            </w:r>
          </w:p>
        </w:tc>
        <w:tc>
          <w:tcPr>
            <w:tcW w:w="220" w:type="dxa"/>
            <w:vAlign w:val="bottom"/>
          </w:tcPr>
          <w:p>
            <w:pPr>
              <w:spacing w:after="0"/>
              <w:rPr>
                <w:sz w:val="23"/>
                <w:szCs w:val="23"/>
                <w:color w:val="auto"/>
              </w:rPr>
            </w:pPr>
          </w:p>
        </w:tc>
        <w:tc>
          <w:tcPr>
            <w:tcW w:w="820" w:type="dxa"/>
            <w:vAlign w:val="bottom"/>
          </w:tcPr>
          <w:p>
            <w:pPr>
              <w:jc w:val="right"/>
              <w:spacing w:after="0" w:line="265" w:lineRule="exact"/>
              <w:rPr>
                <w:sz w:val="20"/>
                <w:szCs w:val="20"/>
                <w:color w:val="auto"/>
              </w:rPr>
            </w:pPr>
            <w:r>
              <w:rPr>
                <w:rFonts w:ascii="Arial" w:cs="Arial" w:eastAsia="Arial" w:hAnsi="Arial"/>
                <w:sz w:val="15"/>
                <w:szCs w:val="15"/>
                <w:color w:val="auto"/>
              </w:rPr>
              <w:t>4,167</w:t>
            </w:r>
            <w:r>
              <w:rPr>
                <w:rFonts w:ascii="Arial" w:cs="Arial" w:eastAsia="Arial" w:hAnsi="Arial"/>
                <w:sz w:val="25"/>
                <w:szCs w:val="25"/>
                <w:color w:val="auto"/>
                <w:vertAlign w:val="superscript"/>
              </w:rPr>
              <w:t>(</w:t>
            </w:r>
            <w:r>
              <w:rPr>
                <w:rFonts w:ascii="Arial" w:cs="Arial" w:eastAsia="Arial" w:hAnsi="Arial"/>
                <w:sz w:val="30"/>
                <w:szCs w:val="30"/>
                <w:color w:val="auto"/>
                <w:vertAlign w:val="superscript"/>
              </w:rPr>
              <w:t>6)</w:t>
            </w:r>
          </w:p>
        </w:tc>
        <w:tc>
          <w:tcPr>
            <w:tcW w:w="2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gridSpan w:val="2"/>
          </w:tcPr>
          <w:p>
            <w:pPr>
              <w:jc w:val="right"/>
              <w:ind w:right="240"/>
              <w:spacing w:after="0"/>
              <w:rPr>
                <w:sz w:val="20"/>
                <w:szCs w:val="20"/>
                <w:color w:val="auto"/>
              </w:rPr>
            </w:pPr>
            <w:r>
              <w:rPr>
                <w:rFonts w:ascii="Arial" w:cs="Arial" w:eastAsia="Arial" w:hAnsi="Arial"/>
                <w:sz w:val="15"/>
                <w:szCs w:val="15"/>
                <w:color w:val="auto"/>
              </w:rPr>
              <w:t>90.15</w:t>
            </w: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12/12/2023</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0" w:type="dxa"/>
            <w:vAlign w:val="bottom"/>
            <w:gridSpan w:val="5"/>
          </w:tcPr>
          <w:p>
            <w:pPr>
              <w:jc w:val="right"/>
              <w:spacing w:after="0" w:line="265" w:lineRule="exact"/>
              <w:rPr>
                <w:sz w:val="20"/>
                <w:szCs w:val="20"/>
                <w:color w:val="auto"/>
              </w:rPr>
            </w:pPr>
            <w:r>
              <w:rPr>
                <w:rFonts w:ascii="Arial" w:cs="Arial" w:eastAsia="Arial" w:hAnsi="Arial"/>
                <w:sz w:val="15"/>
                <w:szCs w:val="15"/>
                <w:color w:val="auto"/>
              </w:rPr>
              <w:t>16,635</w:t>
            </w:r>
            <w:r>
              <w:rPr>
                <w:rFonts w:ascii="Arial" w:cs="Arial" w:eastAsia="Arial" w:hAnsi="Arial"/>
                <w:sz w:val="25"/>
                <w:szCs w:val="25"/>
                <w:color w:val="auto"/>
                <w:vertAlign w:val="superscript"/>
              </w:rPr>
              <w:t>(</w:t>
            </w:r>
            <w:r>
              <w:rPr>
                <w:rFonts w:ascii="Arial" w:cs="Arial" w:eastAsia="Arial" w:hAnsi="Arial"/>
                <w:sz w:val="30"/>
                <w:szCs w:val="30"/>
                <w:color w:val="auto"/>
                <w:vertAlign w:val="superscript"/>
              </w:rPr>
              <w:t>3)</w:t>
            </w:r>
          </w:p>
        </w:tc>
        <w:tc>
          <w:tcPr>
            <w:tcW w:w="4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1,789,094</w:t>
            </w:r>
          </w:p>
        </w:tc>
      </w:tr>
      <w:tr>
        <w:trPr>
          <w:trHeight w:val="24"/>
        </w:trPr>
        <w:tc>
          <w:tcPr>
            <w:tcW w:w="280" w:type="dxa"/>
            <w:vAlign w:val="bottom"/>
            <w:shd w:val="clear" w:color="auto" w:fill="325889"/>
          </w:tcPr>
          <w:p>
            <w:pPr>
              <w:spacing w:after="0"/>
              <w:rPr>
                <w:sz w:val="2"/>
                <w:szCs w:val="2"/>
                <w:color w:val="auto"/>
              </w:rPr>
            </w:pPr>
          </w:p>
        </w:tc>
        <w:tc>
          <w:tcPr>
            <w:tcW w:w="3060" w:type="dxa"/>
            <w:vAlign w:val="bottom"/>
            <w:shd w:val="clear" w:color="auto" w:fill="325889"/>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325889"/>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325889"/>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325889"/>
          </w:tcPr>
          <w:p>
            <w:pPr>
              <w:spacing w:after="0"/>
              <w:rPr>
                <w:sz w:val="2"/>
                <w:szCs w:val="2"/>
                <w:color w:val="auto"/>
              </w:rPr>
            </w:pPr>
          </w:p>
        </w:tc>
        <w:tc>
          <w:tcPr>
            <w:tcW w:w="500" w:type="dxa"/>
            <w:vAlign w:val="bottom"/>
            <w:shd w:val="clear" w:color="auto" w:fill="325889"/>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325889"/>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325889"/>
          </w:tcPr>
          <w:p>
            <w:pPr>
              <w:spacing w:after="0"/>
              <w:rPr>
                <w:sz w:val="2"/>
                <w:szCs w:val="2"/>
                <w:color w:val="auto"/>
              </w:rPr>
            </w:pPr>
          </w:p>
        </w:tc>
        <w:tc>
          <w:tcPr>
            <w:tcW w:w="520" w:type="dxa"/>
            <w:vAlign w:val="bottom"/>
            <w:shd w:val="clear" w:color="auto" w:fill="325889"/>
          </w:tcPr>
          <w:p>
            <w:pPr>
              <w:spacing w:after="0"/>
              <w:rPr>
                <w:sz w:val="2"/>
                <w:szCs w:val="2"/>
                <w:color w:val="auto"/>
              </w:rPr>
            </w:pPr>
          </w:p>
        </w:tc>
        <w:tc>
          <w:tcPr>
            <w:tcW w:w="20" w:type="dxa"/>
            <w:vAlign w:val="bottom"/>
            <w:shd w:val="clear" w:color="auto" w:fill="325889"/>
          </w:tcPr>
          <w:p>
            <w:pPr>
              <w:spacing w:after="0"/>
              <w:rPr>
                <w:sz w:val="2"/>
                <w:szCs w:val="2"/>
                <w:color w:val="auto"/>
              </w:rPr>
            </w:pPr>
          </w:p>
        </w:tc>
        <w:tc>
          <w:tcPr>
            <w:tcW w:w="140" w:type="dxa"/>
            <w:vAlign w:val="bottom"/>
            <w:shd w:val="clear" w:color="auto" w:fill="325889"/>
          </w:tcPr>
          <w:p>
            <w:pPr>
              <w:spacing w:after="0"/>
              <w:rPr>
                <w:sz w:val="2"/>
                <w:szCs w:val="2"/>
                <w:color w:val="auto"/>
              </w:rPr>
            </w:pPr>
          </w:p>
        </w:tc>
        <w:tc>
          <w:tcPr>
            <w:tcW w:w="80" w:type="dxa"/>
            <w:vAlign w:val="bottom"/>
            <w:shd w:val="clear" w:color="auto" w:fill="325889"/>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325889"/>
          </w:tcPr>
          <w:p>
            <w:pPr>
              <w:spacing w:after="0"/>
              <w:rPr>
                <w:sz w:val="2"/>
                <w:szCs w:val="2"/>
                <w:color w:val="auto"/>
              </w:rPr>
            </w:pPr>
          </w:p>
        </w:tc>
        <w:tc>
          <w:tcPr>
            <w:tcW w:w="40" w:type="dxa"/>
            <w:vAlign w:val="bottom"/>
            <w:shd w:val="clear" w:color="auto" w:fill="325889"/>
          </w:tcPr>
          <w:p>
            <w:pPr>
              <w:spacing w:after="0"/>
              <w:rPr>
                <w:sz w:val="2"/>
                <w:szCs w:val="2"/>
                <w:color w:val="auto"/>
              </w:rPr>
            </w:pPr>
          </w:p>
        </w:tc>
        <w:tc>
          <w:tcPr>
            <w:tcW w:w="120" w:type="dxa"/>
            <w:vAlign w:val="bottom"/>
            <w:shd w:val="clear" w:color="auto" w:fill="325889"/>
          </w:tcPr>
          <w:p>
            <w:pPr>
              <w:spacing w:after="0"/>
              <w:rPr>
                <w:sz w:val="2"/>
                <w:szCs w:val="2"/>
                <w:color w:val="auto"/>
              </w:rPr>
            </w:pPr>
          </w:p>
        </w:tc>
        <w:tc>
          <w:tcPr>
            <w:tcW w:w="500" w:type="dxa"/>
            <w:vAlign w:val="bottom"/>
            <w:shd w:val="clear" w:color="auto" w:fill="325889"/>
          </w:tcPr>
          <w:p>
            <w:pPr>
              <w:spacing w:after="0"/>
              <w:rPr>
                <w:sz w:val="2"/>
                <w:szCs w:val="2"/>
                <w:color w:val="auto"/>
              </w:rPr>
            </w:pPr>
          </w:p>
        </w:tc>
        <w:tc>
          <w:tcPr>
            <w:tcW w:w="280" w:type="dxa"/>
            <w:vAlign w:val="bottom"/>
            <w:tcBorders>
              <w:right w:val="single" w:sz="8" w:color="325889"/>
            </w:tcBorders>
          </w:tcPr>
          <w:p>
            <w:pPr>
              <w:spacing w:after="0"/>
              <w:rPr>
                <w:sz w:val="2"/>
                <w:szCs w:val="2"/>
                <w:color w:val="auto"/>
              </w:rPr>
            </w:pPr>
          </w:p>
        </w:tc>
        <w:tc>
          <w:tcPr>
            <w:tcW w:w="140" w:type="dxa"/>
            <w:vAlign w:val="bottom"/>
            <w:shd w:val="clear" w:color="auto" w:fill="325889"/>
          </w:tcPr>
          <w:p>
            <w:pPr>
              <w:spacing w:after="0"/>
              <w:rPr>
                <w:sz w:val="2"/>
                <w:szCs w:val="2"/>
                <w:color w:val="auto"/>
              </w:rPr>
            </w:pPr>
          </w:p>
        </w:tc>
        <w:tc>
          <w:tcPr>
            <w:tcW w:w="740" w:type="dxa"/>
            <w:vAlign w:val="bottom"/>
            <w:shd w:val="clear" w:color="auto" w:fill="325889"/>
          </w:tcPr>
          <w:p>
            <w:pPr>
              <w:spacing w:after="0"/>
              <w:rPr>
                <w:sz w:val="2"/>
                <w:szCs w:val="2"/>
                <w:color w:val="auto"/>
              </w:rPr>
            </w:pPr>
          </w:p>
        </w:tc>
      </w:tr>
      <w:tr>
        <w:trPr>
          <w:trHeight w:val="200"/>
        </w:trPr>
        <w:tc>
          <w:tcPr>
            <w:tcW w:w="4520" w:type="dxa"/>
            <w:vAlign w:val="bottom"/>
            <w:gridSpan w:val="5"/>
          </w:tcPr>
          <w:p>
            <w:pPr>
              <w:spacing w:after="0"/>
              <w:rPr>
                <w:sz w:val="20"/>
                <w:szCs w:val="20"/>
                <w:color w:val="auto"/>
              </w:rPr>
            </w:pPr>
            <w:r>
              <w:rPr>
                <w:rFonts w:ascii="Arial" w:cs="Arial" w:eastAsia="Arial" w:hAnsi="Arial"/>
                <w:sz w:val="12"/>
                <w:szCs w:val="12"/>
                <w:color w:val="auto"/>
                <w:w w:val="98"/>
              </w:rPr>
              <w:t>(1)For each of our named executive officers, includes the following:</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319"/>
        </w:trPr>
        <w:tc>
          <w:tcPr>
            <w:tcW w:w="2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325889"/>
                <w:w w:val="98"/>
              </w:rPr>
              <w:t>Performance-</w:t>
            </w:r>
          </w:p>
        </w:tc>
        <w:tc>
          <w:tcPr>
            <w:tcW w:w="740" w:type="dxa"/>
            <w:vAlign w:val="bottom"/>
          </w:tcPr>
          <w:p>
            <w:pPr>
              <w:spacing w:after="0"/>
              <w:rPr>
                <w:sz w:val="24"/>
                <w:szCs w:val="24"/>
                <w:color w:val="auto"/>
              </w:rPr>
            </w:pPr>
          </w:p>
        </w:tc>
      </w:tr>
      <w:tr>
        <w:trPr>
          <w:trHeight w:val="131"/>
        </w:trPr>
        <w:tc>
          <w:tcPr>
            <w:tcW w:w="2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3"/>
          </w:tcPr>
          <w:p>
            <w:pPr>
              <w:jc w:val="right"/>
              <w:ind w:right="140"/>
              <w:spacing w:after="0" w:line="131" w:lineRule="exact"/>
              <w:rPr>
                <w:sz w:val="20"/>
                <w:szCs w:val="20"/>
                <w:color w:val="auto"/>
              </w:rPr>
            </w:pPr>
            <w:r>
              <w:rPr>
                <w:rFonts w:ascii="Arial" w:cs="Arial" w:eastAsia="Arial" w:hAnsi="Arial"/>
                <w:sz w:val="12"/>
                <w:szCs w:val="12"/>
                <w:b w:val="1"/>
                <w:bCs w:val="1"/>
                <w:color w:val="325889"/>
              </w:rPr>
              <w:t>Based</w:t>
            </w:r>
          </w:p>
        </w:tc>
        <w:tc>
          <w:tcPr>
            <w:tcW w:w="740" w:type="dxa"/>
            <w:vAlign w:val="bottom"/>
          </w:tcPr>
          <w:p>
            <w:pPr>
              <w:jc w:val="right"/>
              <w:spacing w:after="0" w:line="131" w:lineRule="exact"/>
              <w:rPr>
                <w:sz w:val="20"/>
                <w:szCs w:val="20"/>
                <w:color w:val="auto"/>
              </w:rPr>
            </w:pPr>
            <w:r>
              <w:rPr>
                <w:rFonts w:ascii="Arial" w:cs="Arial" w:eastAsia="Arial" w:hAnsi="Arial"/>
                <w:sz w:val="12"/>
                <w:szCs w:val="12"/>
                <w:b w:val="1"/>
                <w:bCs w:val="1"/>
                <w:color w:val="325889"/>
              </w:rPr>
              <w:t>Time-Based</w:t>
            </w:r>
          </w:p>
        </w:tc>
      </w:tr>
      <w:tr>
        <w:trPr>
          <w:trHeight w:val="131"/>
        </w:trPr>
        <w:tc>
          <w:tcPr>
            <w:tcW w:w="2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3"/>
          </w:tcPr>
          <w:p>
            <w:pPr>
              <w:jc w:val="right"/>
              <w:ind w:right="140"/>
              <w:spacing w:after="0" w:line="131" w:lineRule="exact"/>
              <w:rPr>
                <w:sz w:val="20"/>
                <w:szCs w:val="20"/>
                <w:color w:val="auto"/>
              </w:rPr>
            </w:pPr>
            <w:r>
              <w:rPr>
                <w:rFonts w:ascii="Arial" w:cs="Arial" w:eastAsia="Arial" w:hAnsi="Arial"/>
                <w:sz w:val="12"/>
                <w:szCs w:val="12"/>
                <w:b w:val="1"/>
                <w:bCs w:val="1"/>
                <w:color w:val="325889"/>
              </w:rPr>
              <w:t>Employment</w:t>
            </w:r>
          </w:p>
        </w:tc>
        <w:tc>
          <w:tcPr>
            <w:tcW w:w="740" w:type="dxa"/>
            <w:vAlign w:val="bottom"/>
          </w:tcPr>
          <w:p>
            <w:pPr>
              <w:jc w:val="right"/>
              <w:spacing w:after="0" w:line="131" w:lineRule="exact"/>
              <w:rPr>
                <w:sz w:val="20"/>
                <w:szCs w:val="20"/>
                <w:color w:val="auto"/>
              </w:rPr>
            </w:pPr>
            <w:r>
              <w:rPr>
                <w:rFonts w:ascii="Arial" w:cs="Arial" w:eastAsia="Arial" w:hAnsi="Arial"/>
                <w:sz w:val="12"/>
                <w:szCs w:val="12"/>
                <w:b w:val="1"/>
                <w:bCs w:val="1"/>
                <w:color w:val="325889"/>
                <w:w w:val="99"/>
              </w:rPr>
              <w:t>Employment</w:t>
            </w:r>
          </w:p>
        </w:tc>
      </w:tr>
      <w:tr>
        <w:trPr>
          <w:trHeight w:val="139"/>
        </w:trPr>
        <w:tc>
          <w:tcPr>
            <w:tcW w:w="2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2"/>
                <w:szCs w:val="12"/>
                <w:b w:val="1"/>
                <w:bCs w:val="1"/>
                <w:color w:val="325889"/>
              </w:rPr>
              <w:t>Notional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3"/>
          </w:tcPr>
          <w:p>
            <w:pPr>
              <w:jc w:val="right"/>
              <w:ind w:right="40"/>
              <w:spacing w:after="0"/>
              <w:rPr>
                <w:sz w:val="20"/>
                <w:szCs w:val="20"/>
                <w:color w:val="auto"/>
              </w:rPr>
            </w:pPr>
            <w:r>
              <w:rPr>
                <w:rFonts w:ascii="Arial" w:cs="Arial" w:eastAsia="Arial" w:hAnsi="Arial"/>
                <w:sz w:val="12"/>
                <w:szCs w:val="12"/>
                <w:b w:val="1"/>
                <w:bCs w:val="1"/>
                <w:color w:val="325889"/>
              </w:rPr>
              <w:t>LTIP</w:t>
            </w:r>
          </w:p>
        </w:tc>
        <w:tc>
          <w:tcPr>
            <w:tcW w:w="120" w:type="dxa"/>
            <w:vAlign w:val="bottom"/>
          </w:tcPr>
          <w:p>
            <w:pPr>
              <w:spacing w:after="0"/>
              <w:rPr>
                <w:sz w:val="12"/>
                <w:szCs w:val="12"/>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325889"/>
              </w:rPr>
              <w:t>Agreement</w:t>
            </w:r>
          </w:p>
        </w:tc>
        <w:tc>
          <w:tcPr>
            <w:tcW w:w="740" w:type="dxa"/>
            <w:vAlign w:val="bottom"/>
          </w:tcPr>
          <w:p>
            <w:pPr>
              <w:jc w:val="right"/>
              <w:spacing w:after="0"/>
              <w:rPr>
                <w:sz w:val="20"/>
                <w:szCs w:val="20"/>
                <w:color w:val="auto"/>
              </w:rPr>
            </w:pPr>
            <w:r>
              <w:rPr>
                <w:rFonts w:ascii="Arial" w:cs="Arial" w:eastAsia="Arial" w:hAnsi="Arial"/>
                <w:sz w:val="12"/>
                <w:szCs w:val="12"/>
                <w:b w:val="1"/>
                <w:bCs w:val="1"/>
                <w:color w:val="325889"/>
              </w:rPr>
              <w:t>Agreement</w:t>
            </w:r>
          </w:p>
        </w:tc>
      </w:tr>
      <w:tr>
        <w:trPr>
          <w:trHeight w:val="196"/>
        </w:trPr>
        <w:tc>
          <w:tcPr>
            <w:tcW w:w="3580" w:type="dxa"/>
            <w:vAlign w:val="bottom"/>
            <w:gridSpan w:val="3"/>
          </w:tcPr>
          <w:p>
            <w:pPr>
              <w:ind w:left="280"/>
              <w:spacing w:after="0"/>
              <w:rPr>
                <w:sz w:val="20"/>
                <w:szCs w:val="20"/>
                <w:color w:val="auto"/>
              </w:rPr>
            </w:pPr>
            <w:r>
              <w:rPr>
                <w:rFonts w:ascii="Arial" w:cs="Arial" w:eastAsia="Arial" w:hAnsi="Arial"/>
                <w:sz w:val="12"/>
                <w:szCs w:val="12"/>
                <w:b w:val="1"/>
                <w:bCs w:val="1"/>
                <w:color w:val="auto"/>
              </w:rPr>
              <w:t>Executive</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4"/>
          </w:tcPr>
          <w:p>
            <w:pPr>
              <w:jc w:val="right"/>
              <w:ind w:right="20"/>
              <w:spacing w:after="0" w:line="196" w:lineRule="exact"/>
              <w:rPr>
                <w:sz w:val="20"/>
                <w:szCs w:val="20"/>
                <w:color w:val="auto"/>
              </w:rPr>
            </w:pPr>
            <w:r>
              <w:rPr>
                <w:rFonts w:ascii="Arial" w:cs="Arial" w:eastAsia="Arial" w:hAnsi="Arial"/>
                <w:sz w:val="12"/>
                <w:szCs w:val="12"/>
                <w:b w:val="1"/>
                <w:bCs w:val="1"/>
                <w:color w:val="325889"/>
                <w:w w:val="93"/>
              </w:rPr>
              <w:t>Stock Units</w:t>
            </w:r>
            <w:r>
              <w:rPr>
                <w:rFonts w:ascii="Arial" w:cs="Arial" w:eastAsia="Arial" w:hAnsi="Arial"/>
                <w:sz w:val="19"/>
                <w:szCs w:val="19"/>
                <w:b w:val="1"/>
                <w:bCs w:val="1"/>
                <w:color w:val="325889"/>
                <w:w w:val="93"/>
                <w:vertAlign w:val="superscript"/>
              </w:rPr>
              <w:t>(a)</w:t>
            </w:r>
          </w:p>
        </w:tc>
        <w:tc>
          <w:tcPr>
            <w:tcW w:w="140" w:type="dxa"/>
            <w:vAlign w:val="bottom"/>
          </w:tcPr>
          <w:p>
            <w:pPr>
              <w:spacing w:after="0"/>
              <w:rPr>
                <w:sz w:val="17"/>
                <w:szCs w:val="17"/>
                <w:color w:val="auto"/>
              </w:rPr>
            </w:pPr>
          </w:p>
        </w:tc>
        <w:tc>
          <w:tcPr>
            <w:tcW w:w="460" w:type="dxa"/>
            <w:vAlign w:val="bottom"/>
            <w:gridSpan w:val="4"/>
          </w:tcPr>
          <w:p>
            <w:pPr>
              <w:jc w:val="right"/>
              <w:ind w:right="40"/>
              <w:spacing w:after="0" w:line="196" w:lineRule="exact"/>
              <w:rPr>
                <w:sz w:val="20"/>
                <w:szCs w:val="20"/>
                <w:color w:val="auto"/>
              </w:rPr>
            </w:pPr>
            <w:r>
              <w:rPr>
                <w:rFonts w:ascii="Arial" w:cs="Arial" w:eastAsia="Arial" w:hAnsi="Arial"/>
                <w:sz w:val="12"/>
                <w:szCs w:val="12"/>
                <w:b w:val="1"/>
                <w:bCs w:val="1"/>
                <w:color w:val="325889"/>
                <w:w w:val="86"/>
              </w:rPr>
              <w:t>Units</w:t>
            </w:r>
            <w:r>
              <w:rPr>
                <w:rFonts w:ascii="Arial" w:cs="Arial" w:eastAsia="Arial" w:hAnsi="Arial"/>
                <w:sz w:val="19"/>
                <w:szCs w:val="19"/>
                <w:b w:val="1"/>
                <w:bCs w:val="1"/>
                <w:color w:val="325889"/>
                <w:w w:val="86"/>
                <w:vertAlign w:val="superscript"/>
              </w:rPr>
              <w:t>(b)</w:t>
            </w:r>
          </w:p>
        </w:tc>
        <w:tc>
          <w:tcPr>
            <w:tcW w:w="120" w:type="dxa"/>
            <w:vAlign w:val="bottom"/>
          </w:tcPr>
          <w:p>
            <w:pPr>
              <w:spacing w:after="0"/>
              <w:rPr>
                <w:sz w:val="17"/>
                <w:szCs w:val="17"/>
                <w:color w:val="auto"/>
              </w:rPr>
            </w:pPr>
          </w:p>
        </w:tc>
        <w:tc>
          <w:tcPr>
            <w:tcW w:w="920" w:type="dxa"/>
            <w:vAlign w:val="bottom"/>
            <w:gridSpan w:val="3"/>
          </w:tcPr>
          <w:p>
            <w:pPr>
              <w:jc w:val="right"/>
              <w:ind w:right="140"/>
              <w:spacing w:after="0" w:line="196" w:lineRule="exact"/>
              <w:rPr>
                <w:sz w:val="20"/>
                <w:szCs w:val="20"/>
                <w:color w:val="auto"/>
              </w:rPr>
            </w:pPr>
            <w:r>
              <w:rPr>
                <w:rFonts w:ascii="Arial" w:cs="Arial" w:eastAsia="Arial" w:hAnsi="Arial"/>
                <w:sz w:val="12"/>
                <w:szCs w:val="12"/>
                <w:b w:val="1"/>
                <w:bCs w:val="1"/>
                <w:color w:val="325889"/>
              </w:rPr>
              <w:t>LTIP Units</w:t>
            </w:r>
            <w:r>
              <w:rPr>
                <w:rFonts w:ascii="Arial" w:cs="Arial" w:eastAsia="Arial" w:hAnsi="Arial"/>
                <w:sz w:val="19"/>
                <w:szCs w:val="19"/>
                <w:b w:val="1"/>
                <w:bCs w:val="1"/>
                <w:color w:val="325889"/>
                <w:vertAlign w:val="superscript"/>
              </w:rPr>
              <w:t>(c)</w:t>
            </w:r>
          </w:p>
        </w:tc>
        <w:tc>
          <w:tcPr>
            <w:tcW w:w="740" w:type="dxa"/>
            <w:vAlign w:val="bottom"/>
          </w:tcPr>
          <w:p>
            <w:pPr>
              <w:jc w:val="right"/>
              <w:spacing w:after="0" w:line="196" w:lineRule="exact"/>
              <w:rPr>
                <w:sz w:val="20"/>
                <w:szCs w:val="20"/>
                <w:color w:val="auto"/>
              </w:rPr>
            </w:pPr>
            <w:r>
              <w:rPr>
                <w:rFonts w:ascii="Arial" w:cs="Arial" w:eastAsia="Arial" w:hAnsi="Arial"/>
                <w:sz w:val="12"/>
                <w:szCs w:val="12"/>
                <w:b w:val="1"/>
                <w:bCs w:val="1"/>
                <w:color w:val="325889"/>
                <w:w w:val="95"/>
              </w:rPr>
              <w:t>LTIP Units</w:t>
            </w:r>
            <w:r>
              <w:rPr>
                <w:rFonts w:ascii="Arial" w:cs="Arial" w:eastAsia="Arial" w:hAnsi="Arial"/>
                <w:sz w:val="19"/>
                <w:szCs w:val="19"/>
                <w:b w:val="1"/>
                <w:bCs w:val="1"/>
                <w:color w:val="325889"/>
                <w:w w:val="95"/>
                <w:vertAlign w:val="superscript"/>
              </w:rPr>
              <w:t>(d)</w:t>
            </w:r>
          </w:p>
        </w:tc>
      </w:tr>
      <w:tr>
        <w:trPr>
          <w:trHeight w:val="24"/>
        </w:trPr>
        <w:tc>
          <w:tcPr>
            <w:tcW w:w="280" w:type="dxa"/>
            <w:vAlign w:val="bottom"/>
          </w:tcPr>
          <w:p>
            <w:pPr>
              <w:spacing w:after="0"/>
              <w:rPr>
                <w:sz w:val="2"/>
                <w:szCs w:val="2"/>
                <w:color w:val="auto"/>
              </w:rPr>
            </w:pPr>
          </w:p>
        </w:tc>
        <w:tc>
          <w:tcPr>
            <w:tcW w:w="3300" w:type="dxa"/>
            <w:vAlign w:val="bottom"/>
            <w:gridSpan w:val="2"/>
            <w:shd w:val="clear" w:color="auto" w:fill="325889"/>
          </w:tcPr>
          <w:p>
            <w:pPr>
              <w:spacing w:after="0"/>
              <w:rPr>
                <w:sz w:val="2"/>
                <w:szCs w:val="2"/>
                <w:color w:val="auto"/>
              </w:rPr>
            </w:pPr>
          </w:p>
        </w:tc>
        <w:tc>
          <w:tcPr>
            <w:tcW w:w="720" w:type="dxa"/>
            <w:vAlign w:val="bottom"/>
            <w:shd w:val="clear" w:color="auto" w:fill="325889"/>
          </w:tcPr>
          <w:p>
            <w:pPr>
              <w:spacing w:after="0"/>
              <w:rPr>
                <w:sz w:val="2"/>
                <w:szCs w:val="2"/>
                <w:color w:val="auto"/>
              </w:rPr>
            </w:pPr>
          </w:p>
        </w:tc>
        <w:tc>
          <w:tcPr>
            <w:tcW w:w="220" w:type="dxa"/>
            <w:vAlign w:val="bottom"/>
            <w:shd w:val="clear" w:color="auto" w:fill="325889"/>
          </w:tcPr>
          <w:p>
            <w:pPr>
              <w:spacing w:after="0"/>
              <w:rPr>
                <w:sz w:val="2"/>
                <w:szCs w:val="2"/>
                <w:color w:val="auto"/>
              </w:rPr>
            </w:pPr>
          </w:p>
        </w:tc>
        <w:tc>
          <w:tcPr>
            <w:tcW w:w="820" w:type="dxa"/>
            <w:vAlign w:val="bottom"/>
            <w:shd w:val="clear" w:color="auto" w:fill="325889"/>
          </w:tcPr>
          <w:p>
            <w:pPr>
              <w:spacing w:after="0"/>
              <w:rPr>
                <w:sz w:val="2"/>
                <w:szCs w:val="2"/>
                <w:color w:val="auto"/>
              </w:rPr>
            </w:pPr>
          </w:p>
        </w:tc>
        <w:tc>
          <w:tcPr>
            <w:tcW w:w="240" w:type="dxa"/>
            <w:vAlign w:val="bottom"/>
            <w:shd w:val="clear" w:color="auto" w:fill="325889"/>
          </w:tcPr>
          <w:p>
            <w:pPr>
              <w:spacing w:after="0"/>
              <w:rPr>
                <w:sz w:val="2"/>
                <w:szCs w:val="2"/>
                <w:color w:val="auto"/>
              </w:rPr>
            </w:pPr>
          </w:p>
        </w:tc>
        <w:tc>
          <w:tcPr>
            <w:tcW w:w="120" w:type="dxa"/>
            <w:vAlign w:val="bottom"/>
            <w:shd w:val="clear" w:color="auto" w:fill="325889"/>
          </w:tcPr>
          <w:p>
            <w:pPr>
              <w:spacing w:after="0"/>
              <w:rPr>
                <w:sz w:val="2"/>
                <w:szCs w:val="2"/>
                <w:color w:val="auto"/>
              </w:rPr>
            </w:pPr>
          </w:p>
        </w:tc>
        <w:tc>
          <w:tcPr>
            <w:tcW w:w="500" w:type="dxa"/>
            <w:vAlign w:val="bottom"/>
            <w:shd w:val="clear" w:color="auto" w:fill="325889"/>
          </w:tcPr>
          <w:p>
            <w:pPr>
              <w:spacing w:after="0"/>
              <w:rPr>
                <w:sz w:val="2"/>
                <w:szCs w:val="2"/>
                <w:color w:val="auto"/>
              </w:rPr>
            </w:pPr>
          </w:p>
        </w:tc>
        <w:tc>
          <w:tcPr>
            <w:tcW w:w="240" w:type="dxa"/>
            <w:vAlign w:val="bottom"/>
            <w:shd w:val="clear" w:color="auto" w:fill="325889"/>
          </w:tcPr>
          <w:p>
            <w:pPr>
              <w:spacing w:after="0"/>
              <w:rPr>
                <w:sz w:val="2"/>
                <w:szCs w:val="2"/>
                <w:color w:val="auto"/>
              </w:rPr>
            </w:pPr>
          </w:p>
        </w:tc>
        <w:tc>
          <w:tcPr>
            <w:tcW w:w="780" w:type="dxa"/>
            <w:vAlign w:val="bottom"/>
            <w:shd w:val="clear" w:color="auto" w:fill="325889"/>
          </w:tcPr>
          <w:p>
            <w:pPr>
              <w:spacing w:after="0"/>
              <w:rPr>
                <w:sz w:val="2"/>
                <w:szCs w:val="2"/>
                <w:color w:val="auto"/>
              </w:rPr>
            </w:pPr>
          </w:p>
        </w:tc>
        <w:tc>
          <w:tcPr>
            <w:tcW w:w="240" w:type="dxa"/>
            <w:vAlign w:val="bottom"/>
            <w:shd w:val="clear" w:color="auto" w:fill="325889"/>
          </w:tcPr>
          <w:p>
            <w:pPr>
              <w:spacing w:after="0"/>
              <w:rPr>
                <w:sz w:val="2"/>
                <w:szCs w:val="2"/>
                <w:color w:val="auto"/>
              </w:rPr>
            </w:pPr>
          </w:p>
        </w:tc>
        <w:tc>
          <w:tcPr>
            <w:tcW w:w="66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325889"/>
          </w:tcPr>
          <w:p>
            <w:pPr>
              <w:spacing w:after="0"/>
              <w:rPr>
                <w:sz w:val="2"/>
                <w:szCs w:val="2"/>
                <w:color w:val="auto"/>
              </w:rPr>
            </w:pPr>
          </w:p>
        </w:tc>
        <w:tc>
          <w:tcPr>
            <w:tcW w:w="180" w:type="dxa"/>
            <w:vAlign w:val="bottom"/>
            <w:shd w:val="clear" w:color="auto" w:fill="325889"/>
          </w:tcPr>
          <w:p>
            <w:pPr>
              <w:spacing w:after="0"/>
              <w:rPr>
                <w:sz w:val="2"/>
                <w:szCs w:val="2"/>
                <w:color w:val="auto"/>
              </w:rPr>
            </w:pPr>
          </w:p>
        </w:tc>
        <w:tc>
          <w:tcPr>
            <w:tcW w:w="520" w:type="dxa"/>
            <w:vAlign w:val="bottom"/>
            <w:shd w:val="clear" w:color="auto" w:fill="325889"/>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gridSpan w:val="3"/>
            <w:shd w:val="clear" w:color="auto" w:fill="325889"/>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325889"/>
          </w:tcPr>
          <w:p>
            <w:pPr>
              <w:spacing w:after="0"/>
              <w:rPr>
                <w:sz w:val="2"/>
                <w:szCs w:val="2"/>
                <w:color w:val="auto"/>
              </w:rPr>
            </w:pPr>
          </w:p>
        </w:tc>
        <w:tc>
          <w:tcPr>
            <w:tcW w:w="280" w:type="dxa"/>
            <w:vAlign w:val="bottom"/>
            <w:tcBorders>
              <w:left w:val="single" w:sz="8" w:color="325889"/>
              <w:right w:val="single" w:sz="8" w:color="325889"/>
            </w:tcBorders>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325889"/>
          </w:tcPr>
          <w:p>
            <w:pPr>
              <w:spacing w:after="0"/>
              <w:rPr>
                <w:sz w:val="2"/>
                <w:szCs w:val="2"/>
                <w:color w:val="auto"/>
              </w:rPr>
            </w:pPr>
          </w:p>
        </w:tc>
      </w:tr>
      <w:tr>
        <w:trPr>
          <w:trHeight w:val="207"/>
        </w:trPr>
        <w:tc>
          <w:tcPr>
            <w:tcW w:w="3580" w:type="dxa"/>
            <w:vAlign w:val="bottom"/>
            <w:gridSpan w:val="3"/>
          </w:tcPr>
          <w:p>
            <w:pPr>
              <w:ind w:left="280"/>
              <w:spacing w:after="0"/>
              <w:rPr>
                <w:sz w:val="20"/>
                <w:szCs w:val="20"/>
                <w:color w:val="auto"/>
              </w:rPr>
            </w:pPr>
            <w:r>
              <w:rPr>
                <w:rFonts w:ascii="Arial" w:cs="Arial" w:eastAsia="Arial" w:hAnsi="Arial"/>
                <w:sz w:val="15"/>
                <w:szCs w:val="15"/>
                <w:color w:val="auto"/>
              </w:rPr>
              <w:t>Marc Holliday</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rPr>
              <w:t>8,265</w:t>
            </w:r>
          </w:p>
        </w:tc>
        <w:tc>
          <w:tcPr>
            <w:tcW w:w="600" w:type="dxa"/>
            <w:vAlign w:val="bottom"/>
            <w:gridSpan w:val="5"/>
          </w:tcPr>
          <w:p>
            <w:pPr>
              <w:jc w:val="right"/>
              <w:ind w:right="40"/>
              <w:spacing w:after="0"/>
              <w:rPr>
                <w:sz w:val="20"/>
                <w:szCs w:val="20"/>
                <w:color w:val="auto"/>
              </w:rPr>
            </w:pPr>
            <w:r>
              <w:rPr>
                <w:rFonts w:ascii="Arial" w:cs="Arial" w:eastAsia="Arial" w:hAnsi="Arial"/>
                <w:sz w:val="15"/>
                <w:szCs w:val="15"/>
                <w:color w:val="auto"/>
              </w:rPr>
              <w:t>4,988</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280" w:type="dxa"/>
            <w:vAlign w:val="bottom"/>
          </w:tcPr>
          <w:p>
            <w:pPr>
              <w:spacing w:after="0" w:line="20" w:lineRule="exact"/>
              <w:rPr>
                <w:sz w:val="1"/>
                <w:szCs w:val="1"/>
                <w:color w:val="auto"/>
              </w:rPr>
            </w:pPr>
          </w:p>
        </w:tc>
        <w:tc>
          <w:tcPr>
            <w:tcW w:w="3300" w:type="dxa"/>
            <w:vAlign w:val="bottom"/>
            <w:gridSpan w:val="2"/>
            <w:shd w:val="clear" w:color="auto" w:fill="98A3B8"/>
          </w:tcPr>
          <w:p>
            <w:pPr>
              <w:spacing w:after="0" w:line="20" w:lineRule="exact"/>
              <w:rPr>
                <w:sz w:val="1"/>
                <w:szCs w:val="1"/>
                <w:color w:val="auto"/>
              </w:rPr>
            </w:pPr>
          </w:p>
        </w:tc>
        <w:tc>
          <w:tcPr>
            <w:tcW w:w="720" w:type="dxa"/>
            <w:vAlign w:val="bottom"/>
            <w:shd w:val="clear" w:color="auto" w:fill="98A3B8"/>
          </w:tcPr>
          <w:p>
            <w:pPr>
              <w:spacing w:after="0" w:line="20" w:lineRule="exact"/>
              <w:rPr>
                <w:sz w:val="1"/>
                <w:szCs w:val="1"/>
                <w:color w:val="auto"/>
              </w:rPr>
            </w:pPr>
          </w:p>
        </w:tc>
        <w:tc>
          <w:tcPr>
            <w:tcW w:w="220" w:type="dxa"/>
            <w:vAlign w:val="bottom"/>
            <w:shd w:val="clear" w:color="auto" w:fill="98A3B8"/>
          </w:tcPr>
          <w:p>
            <w:pPr>
              <w:spacing w:after="0" w:line="20" w:lineRule="exact"/>
              <w:rPr>
                <w:sz w:val="1"/>
                <w:szCs w:val="1"/>
                <w:color w:val="auto"/>
              </w:rPr>
            </w:pPr>
          </w:p>
        </w:tc>
        <w:tc>
          <w:tcPr>
            <w:tcW w:w="820" w:type="dxa"/>
            <w:vAlign w:val="bottom"/>
            <w:shd w:val="clear" w:color="auto" w:fill="98A3B8"/>
          </w:tcPr>
          <w:p>
            <w:pPr>
              <w:spacing w:after="0" w:line="20" w:lineRule="exact"/>
              <w:rPr>
                <w:sz w:val="1"/>
                <w:szCs w:val="1"/>
                <w:color w:val="auto"/>
              </w:rPr>
            </w:pPr>
          </w:p>
        </w:tc>
        <w:tc>
          <w:tcPr>
            <w:tcW w:w="240" w:type="dxa"/>
            <w:vAlign w:val="bottom"/>
            <w:shd w:val="clear" w:color="auto" w:fill="98A3B8"/>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24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240" w:type="dxa"/>
            <w:vAlign w:val="bottom"/>
            <w:shd w:val="clear" w:color="auto" w:fill="98A3B8"/>
          </w:tcPr>
          <w:p>
            <w:pPr>
              <w:spacing w:after="0" w:line="20" w:lineRule="exact"/>
              <w:rPr>
                <w:sz w:val="1"/>
                <w:szCs w:val="1"/>
                <w:color w:val="auto"/>
              </w:rPr>
            </w:pPr>
          </w:p>
        </w:tc>
        <w:tc>
          <w:tcPr>
            <w:tcW w:w="6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98A3B8"/>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520" w:type="dxa"/>
            <w:vAlign w:val="bottom"/>
            <w:shd w:val="clear" w:color="auto" w:fill="98A3B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3"/>
            <w:shd w:val="clear" w:color="auto" w:fill="98A3B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280" w:type="dxa"/>
            <w:vAlign w:val="bottom"/>
            <w:tcBorders>
              <w:left w:val="single" w:sz="8" w:color="98A3B8"/>
              <w:right w:val="single" w:sz="8" w:color="98A3B8"/>
            </w:tcBorders>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r>
      <w:tr>
        <w:trPr>
          <w:trHeight w:val="205"/>
        </w:trPr>
        <w:tc>
          <w:tcPr>
            <w:tcW w:w="3580" w:type="dxa"/>
            <w:vAlign w:val="bottom"/>
            <w:gridSpan w:val="3"/>
          </w:tcPr>
          <w:p>
            <w:pPr>
              <w:ind w:left="280"/>
              <w:spacing w:after="0"/>
              <w:rPr>
                <w:sz w:val="20"/>
                <w:szCs w:val="20"/>
                <w:color w:val="auto"/>
              </w:rPr>
            </w:pPr>
            <w:r>
              <w:rPr>
                <w:rFonts w:ascii="Arial" w:cs="Arial" w:eastAsia="Arial" w:hAnsi="Arial"/>
                <w:sz w:val="15"/>
                <w:szCs w:val="15"/>
                <w:color w:val="auto"/>
              </w:rPr>
              <w:t>Stephen L. Green</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00" w:type="dxa"/>
            <w:vAlign w:val="bottom"/>
            <w:gridSpan w:val="5"/>
          </w:tcPr>
          <w:p>
            <w:pPr>
              <w:jc w:val="right"/>
              <w:ind w:right="40"/>
              <w:spacing w:after="0"/>
              <w:rPr>
                <w:sz w:val="20"/>
                <w:szCs w:val="20"/>
                <w:color w:val="auto"/>
              </w:rPr>
            </w:pPr>
            <w:r>
              <w:rPr>
                <w:rFonts w:ascii="Arial" w:cs="Arial" w:eastAsia="Arial" w:hAnsi="Arial"/>
                <w:sz w:val="15"/>
                <w:szCs w:val="15"/>
                <w:color w:val="auto"/>
              </w:rPr>
              <w:t>2,201</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280" w:type="dxa"/>
            <w:vAlign w:val="bottom"/>
          </w:tcPr>
          <w:p>
            <w:pPr>
              <w:spacing w:after="0" w:line="20" w:lineRule="exact"/>
              <w:rPr>
                <w:sz w:val="1"/>
                <w:szCs w:val="1"/>
                <w:color w:val="auto"/>
              </w:rPr>
            </w:pPr>
          </w:p>
        </w:tc>
        <w:tc>
          <w:tcPr>
            <w:tcW w:w="3300" w:type="dxa"/>
            <w:vAlign w:val="bottom"/>
            <w:gridSpan w:val="2"/>
            <w:shd w:val="clear" w:color="auto" w:fill="98A3B8"/>
          </w:tcPr>
          <w:p>
            <w:pPr>
              <w:spacing w:after="0" w:line="20" w:lineRule="exact"/>
              <w:rPr>
                <w:sz w:val="1"/>
                <w:szCs w:val="1"/>
                <w:color w:val="auto"/>
              </w:rPr>
            </w:pPr>
          </w:p>
        </w:tc>
        <w:tc>
          <w:tcPr>
            <w:tcW w:w="720" w:type="dxa"/>
            <w:vAlign w:val="bottom"/>
            <w:shd w:val="clear" w:color="auto" w:fill="98A3B8"/>
          </w:tcPr>
          <w:p>
            <w:pPr>
              <w:spacing w:after="0" w:line="20" w:lineRule="exact"/>
              <w:rPr>
                <w:sz w:val="1"/>
                <w:szCs w:val="1"/>
                <w:color w:val="auto"/>
              </w:rPr>
            </w:pPr>
          </w:p>
        </w:tc>
        <w:tc>
          <w:tcPr>
            <w:tcW w:w="220" w:type="dxa"/>
            <w:vAlign w:val="bottom"/>
            <w:shd w:val="clear" w:color="auto" w:fill="98A3B8"/>
          </w:tcPr>
          <w:p>
            <w:pPr>
              <w:spacing w:after="0" w:line="20" w:lineRule="exact"/>
              <w:rPr>
                <w:sz w:val="1"/>
                <w:szCs w:val="1"/>
                <w:color w:val="auto"/>
              </w:rPr>
            </w:pPr>
          </w:p>
        </w:tc>
        <w:tc>
          <w:tcPr>
            <w:tcW w:w="820" w:type="dxa"/>
            <w:vAlign w:val="bottom"/>
            <w:shd w:val="clear" w:color="auto" w:fill="98A3B8"/>
          </w:tcPr>
          <w:p>
            <w:pPr>
              <w:spacing w:after="0" w:line="20" w:lineRule="exact"/>
              <w:rPr>
                <w:sz w:val="1"/>
                <w:szCs w:val="1"/>
                <w:color w:val="auto"/>
              </w:rPr>
            </w:pPr>
          </w:p>
        </w:tc>
        <w:tc>
          <w:tcPr>
            <w:tcW w:w="240" w:type="dxa"/>
            <w:vAlign w:val="bottom"/>
            <w:shd w:val="clear" w:color="auto" w:fill="98A3B8"/>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24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240" w:type="dxa"/>
            <w:vAlign w:val="bottom"/>
            <w:shd w:val="clear" w:color="auto" w:fill="98A3B8"/>
          </w:tcPr>
          <w:p>
            <w:pPr>
              <w:spacing w:after="0" w:line="20" w:lineRule="exact"/>
              <w:rPr>
                <w:sz w:val="1"/>
                <w:szCs w:val="1"/>
                <w:color w:val="auto"/>
              </w:rPr>
            </w:pPr>
          </w:p>
        </w:tc>
        <w:tc>
          <w:tcPr>
            <w:tcW w:w="6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98A3B8"/>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520" w:type="dxa"/>
            <w:vAlign w:val="bottom"/>
            <w:shd w:val="clear" w:color="auto" w:fill="98A3B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3"/>
            <w:shd w:val="clear" w:color="auto" w:fill="98A3B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280" w:type="dxa"/>
            <w:vAlign w:val="bottom"/>
            <w:tcBorders>
              <w:left w:val="single" w:sz="8" w:color="98A3B8"/>
              <w:right w:val="single" w:sz="8" w:color="98A3B8"/>
            </w:tcBorders>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r>
      <w:tr>
        <w:trPr>
          <w:trHeight w:val="205"/>
        </w:trPr>
        <w:tc>
          <w:tcPr>
            <w:tcW w:w="3580" w:type="dxa"/>
            <w:vAlign w:val="bottom"/>
            <w:gridSpan w:val="3"/>
          </w:tcPr>
          <w:p>
            <w:pPr>
              <w:ind w:left="280"/>
              <w:spacing w:after="0"/>
              <w:rPr>
                <w:sz w:val="20"/>
                <w:szCs w:val="20"/>
                <w:color w:val="auto"/>
              </w:rPr>
            </w:pPr>
            <w:r>
              <w:rPr>
                <w:rFonts w:ascii="Arial" w:cs="Arial" w:eastAsia="Arial" w:hAnsi="Arial"/>
                <w:sz w:val="15"/>
                <w:szCs w:val="15"/>
                <w:color w:val="auto"/>
              </w:rPr>
              <w:t>Andrew Mathias</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00" w:type="dxa"/>
            <w:vAlign w:val="bottom"/>
            <w:gridSpan w:val="5"/>
          </w:tcPr>
          <w:p>
            <w:pPr>
              <w:jc w:val="right"/>
              <w:ind w:right="40"/>
              <w:spacing w:after="0"/>
              <w:rPr>
                <w:sz w:val="20"/>
                <w:szCs w:val="20"/>
                <w:color w:val="auto"/>
              </w:rPr>
            </w:pPr>
            <w:r>
              <w:rPr>
                <w:rFonts w:ascii="Arial" w:cs="Arial" w:eastAsia="Arial" w:hAnsi="Arial"/>
                <w:sz w:val="15"/>
                <w:szCs w:val="15"/>
                <w:color w:val="auto"/>
              </w:rPr>
              <w:t>3,781</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280" w:type="dxa"/>
            <w:vAlign w:val="bottom"/>
          </w:tcPr>
          <w:p>
            <w:pPr>
              <w:spacing w:after="0" w:line="20" w:lineRule="exact"/>
              <w:rPr>
                <w:sz w:val="1"/>
                <w:szCs w:val="1"/>
                <w:color w:val="auto"/>
              </w:rPr>
            </w:pPr>
          </w:p>
        </w:tc>
        <w:tc>
          <w:tcPr>
            <w:tcW w:w="3300" w:type="dxa"/>
            <w:vAlign w:val="bottom"/>
            <w:gridSpan w:val="2"/>
            <w:shd w:val="clear" w:color="auto" w:fill="98A3B8"/>
          </w:tcPr>
          <w:p>
            <w:pPr>
              <w:spacing w:after="0" w:line="20" w:lineRule="exact"/>
              <w:rPr>
                <w:sz w:val="1"/>
                <w:szCs w:val="1"/>
                <w:color w:val="auto"/>
              </w:rPr>
            </w:pPr>
          </w:p>
        </w:tc>
        <w:tc>
          <w:tcPr>
            <w:tcW w:w="720" w:type="dxa"/>
            <w:vAlign w:val="bottom"/>
            <w:shd w:val="clear" w:color="auto" w:fill="98A3B8"/>
          </w:tcPr>
          <w:p>
            <w:pPr>
              <w:spacing w:after="0" w:line="20" w:lineRule="exact"/>
              <w:rPr>
                <w:sz w:val="1"/>
                <w:szCs w:val="1"/>
                <w:color w:val="auto"/>
              </w:rPr>
            </w:pPr>
          </w:p>
        </w:tc>
        <w:tc>
          <w:tcPr>
            <w:tcW w:w="220" w:type="dxa"/>
            <w:vAlign w:val="bottom"/>
            <w:shd w:val="clear" w:color="auto" w:fill="98A3B8"/>
          </w:tcPr>
          <w:p>
            <w:pPr>
              <w:spacing w:after="0" w:line="20" w:lineRule="exact"/>
              <w:rPr>
                <w:sz w:val="1"/>
                <w:szCs w:val="1"/>
                <w:color w:val="auto"/>
              </w:rPr>
            </w:pPr>
          </w:p>
        </w:tc>
        <w:tc>
          <w:tcPr>
            <w:tcW w:w="820" w:type="dxa"/>
            <w:vAlign w:val="bottom"/>
            <w:shd w:val="clear" w:color="auto" w:fill="98A3B8"/>
          </w:tcPr>
          <w:p>
            <w:pPr>
              <w:spacing w:after="0" w:line="20" w:lineRule="exact"/>
              <w:rPr>
                <w:sz w:val="1"/>
                <w:szCs w:val="1"/>
                <w:color w:val="auto"/>
              </w:rPr>
            </w:pPr>
          </w:p>
        </w:tc>
        <w:tc>
          <w:tcPr>
            <w:tcW w:w="240" w:type="dxa"/>
            <w:vAlign w:val="bottom"/>
            <w:shd w:val="clear" w:color="auto" w:fill="98A3B8"/>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24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240" w:type="dxa"/>
            <w:vAlign w:val="bottom"/>
            <w:shd w:val="clear" w:color="auto" w:fill="98A3B8"/>
          </w:tcPr>
          <w:p>
            <w:pPr>
              <w:spacing w:after="0" w:line="20" w:lineRule="exact"/>
              <w:rPr>
                <w:sz w:val="1"/>
                <w:szCs w:val="1"/>
                <w:color w:val="auto"/>
              </w:rPr>
            </w:pPr>
          </w:p>
        </w:tc>
        <w:tc>
          <w:tcPr>
            <w:tcW w:w="6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98A3B8"/>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520" w:type="dxa"/>
            <w:vAlign w:val="bottom"/>
            <w:shd w:val="clear" w:color="auto" w:fill="98A3B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98A3B8"/>
          </w:tcPr>
          <w:p>
            <w:pPr>
              <w:spacing w:after="0" w:line="20" w:lineRule="exact"/>
              <w:rPr>
                <w:sz w:val="1"/>
                <w:szCs w:val="1"/>
                <w:color w:val="auto"/>
              </w:rPr>
            </w:pPr>
          </w:p>
        </w:tc>
        <w:tc>
          <w:tcPr>
            <w:tcW w:w="340" w:type="dxa"/>
            <w:vAlign w:val="bottom"/>
            <w:tcBorders>
              <w:left w:val="single" w:sz="8" w:color="98A3B8"/>
            </w:tcBorders>
            <w:gridSpan w:val="2"/>
            <w:shd w:val="clear" w:color="auto" w:fill="98A3B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right w:val="single" w:sz="8" w:color="98A3B8"/>
            </w:tcBorders>
            <w:gridSpan w:val="2"/>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r>
      <w:tr>
        <w:trPr>
          <w:trHeight w:val="205"/>
        </w:trPr>
        <w:tc>
          <w:tcPr>
            <w:tcW w:w="3580" w:type="dxa"/>
            <w:vAlign w:val="bottom"/>
            <w:gridSpan w:val="3"/>
          </w:tcPr>
          <w:p>
            <w:pPr>
              <w:ind w:left="280"/>
              <w:spacing w:after="0"/>
              <w:rPr>
                <w:sz w:val="20"/>
                <w:szCs w:val="20"/>
                <w:color w:val="auto"/>
              </w:rPr>
            </w:pPr>
            <w:r>
              <w:rPr>
                <w:rFonts w:ascii="Arial" w:cs="Arial" w:eastAsia="Arial" w:hAnsi="Arial"/>
                <w:sz w:val="15"/>
                <w:szCs w:val="15"/>
                <w:color w:val="auto"/>
              </w:rPr>
              <w:t>Matthew J. DiLiberto</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gridSpan w:val="3"/>
          </w:tcPr>
          <w:p>
            <w:pPr>
              <w:jc w:val="right"/>
              <w:ind w:right="40"/>
              <w:spacing w:after="0"/>
              <w:rPr>
                <w:sz w:val="20"/>
                <w:szCs w:val="20"/>
                <w:color w:val="auto"/>
              </w:rPr>
            </w:pPr>
            <w:r>
              <w:rPr>
                <w:rFonts w:ascii="Arial" w:cs="Arial" w:eastAsia="Arial" w:hAnsi="Arial"/>
                <w:sz w:val="15"/>
                <w:szCs w:val="15"/>
                <w:color w:val="auto"/>
              </w:rPr>
              <w:t>648</w:t>
            </w:r>
          </w:p>
        </w:tc>
        <w:tc>
          <w:tcPr>
            <w:tcW w:w="900" w:type="dxa"/>
            <w:vAlign w:val="bottom"/>
            <w:gridSpan w:val="3"/>
          </w:tcPr>
          <w:p>
            <w:pPr>
              <w:jc w:val="right"/>
              <w:spacing w:after="0"/>
              <w:rPr>
                <w:sz w:val="20"/>
                <w:szCs w:val="20"/>
                <w:color w:val="auto"/>
              </w:rPr>
            </w:pPr>
            <w:r>
              <w:rPr>
                <w:rFonts w:ascii="Arial" w:cs="Arial" w:eastAsia="Arial" w:hAnsi="Arial"/>
                <w:sz w:val="15"/>
                <w:szCs w:val="15"/>
                <w:color w:val="auto"/>
              </w:rPr>
              <w:t>3,500</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7,000</w:t>
            </w:r>
          </w:p>
        </w:tc>
      </w:tr>
      <w:tr>
        <w:trPr>
          <w:trHeight w:val="20"/>
        </w:trPr>
        <w:tc>
          <w:tcPr>
            <w:tcW w:w="280" w:type="dxa"/>
            <w:vAlign w:val="bottom"/>
          </w:tcPr>
          <w:p>
            <w:pPr>
              <w:spacing w:after="0" w:line="20" w:lineRule="exact"/>
              <w:rPr>
                <w:sz w:val="1"/>
                <w:szCs w:val="1"/>
                <w:color w:val="auto"/>
              </w:rPr>
            </w:pPr>
          </w:p>
        </w:tc>
        <w:tc>
          <w:tcPr>
            <w:tcW w:w="3300" w:type="dxa"/>
            <w:vAlign w:val="bottom"/>
            <w:gridSpan w:val="2"/>
            <w:shd w:val="clear" w:color="auto" w:fill="98A3B8"/>
          </w:tcPr>
          <w:p>
            <w:pPr>
              <w:spacing w:after="0" w:line="20" w:lineRule="exact"/>
              <w:rPr>
                <w:sz w:val="1"/>
                <w:szCs w:val="1"/>
                <w:color w:val="auto"/>
              </w:rPr>
            </w:pPr>
          </w:p>
        </w:tc>
        <w:tc>
          <w:tcPr>
            <w:tcW w:w="720" w:type="dxa"/>
            <w:vAlign w:val="bottom"/>
            <w:shd w:val="clear" w:color="auto" w:fill="98A3B8"/>
          </w:tcPr>
          <w:p>
            <w:pPr>
              <w:spacing w:after="0" w:line="20" w:lineRule="exact"/>
              <w:rPr>
                <w:sz w:val="1"/>
                <w:szCs w:val="1"/>
                <w:color w:val="auto"/>
              </w:rPr>
            </w:pPr>
          </w:p>
        </w:tc>
        <w:tc>
          <w:tcPr>
            <w:tcW w:w="220" w:type="dxa"/>
            <w:vAlign w:val="bottom"/>
            <w:shd w:val="clear" w:color="auto" w:fill="98A3B8"/>
          </w:tcPr>
          <w:p>
            <w:pPr>
              <w:spacing w:after="0" w:line="20" w:lineRule="exact"/>
              <w:rPr>
                <w:sz w:val="1"/>
                <w:szCs w:val="1"/>
                <w:color w:val="auto"/>
              </w:rPr>
            </w:pPr>
          </w:p>
        </w:tc>
        <w:tc>
          <w:tcPr>
            <w:tcW w:w="820" w:type="dxa"/>
            <w:vAlign w:val="bottom"/>
            <w:shd w:val="clear" w:color="auto" w:fill="98A3B8"/>
          </w:tcPr>
          <w:p>
            <w:pPr>
              <w:spacing w:after="0" w:line="20" w:lineRule="exact"/>
              <w:rPr>
                <w:sz w:val="1"/>
                <w:szCs w:val="1"/>
                <w:color w:val="auto"/>
              </w:rPr>
            </w:pPr>
          </w:p>
        </w:tc>
        <w:tc>
          <w:tcPr>
            <w:tcW w:w="240" w:type="dxa"/>
            <w:vAlign w:val="bottom"/>
            <w:shd w:val="clear" w:color="auto" w:fill="98A3B8"/>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500" w:type="dxa"/>
            <w:vAlign w:val="bottom"/>
            <w:shd w:val="clear" w:color="auto" w:fill="98A3B8"/>
          </w:tcPr>
          <w:p>
            <w:pPr>
              <w:spacing w:after="0" w:line="20" w:lineRule="exact"/>
              <w:rPr>
                <w:sz w:val="1"/>
                <w:szCs w:val="1"/>
                <w:color w:val="auto"/>
              </w:rPr>
            </w:pPr>
          </w:p>
        </w:tc>
        <w:tc>
          <w:tcPr>
            <w:tcW w:w="24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240" w:type="dxa"/>
            <w:vAlign w:val="bottom"/>
            <w:shd w:val="clear" w:color="auto" w:fill="98A3B8"/>
          </w:tcPr>
          <w:p>
            <w:pPr>
              <w:spacing w:after="0" w:line="20" w:lineRule="exact"/>
              <w:rPr>
                <w:sz w:val="1"/>
                <w:szCs w:val="1"/>
                <w:color w:val="auto"/>
              </w:rPr>
            </w:pPr>
          </w:p>
        </w:tc>
        <w:tc>
          <w:tcPr>
            <w:tcW w:w="6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98A3B8"/>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520" w:type="dxa"/>
            <w:vAlign w:val="bottom"/>
            <w:shd w:val="clear" w:color="auto" w:fill="98A3B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98A3B8"/>
          </w:tcPr>
          <w:p>
            <w:pPr>
              <w:spacing w:after="0" w:line="20" w:lineRule="exact"/>
              <w:rPr>
                <w:sz w:val="1"/>
                <w:szCs w:val="1"/>
                <w:color w:val="auto"/>
              </w:rPr>
            </w:pPr>
          </w:p>
        </w:tc>
        <w:tc>
          <w:tcPr>
            <w:tcW w:w="340" w:type="dxa"/>
            <w:vAlign w:val="bottom"/>
            <w:tcBorders>
              <w:left w:val="single" w:sz="8" w:color="98A3B8"/>
            </w:tcBorders>
            <w:gridSpan w:val="2"/>
            <w:shd w:val="clear" w:color="auto" w:fill="98A3B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right w:val="single" w:sz="8" w:color="98A3B8"/>
            </w:tcBorders>
            <w:gridSpan w:val="2"/>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r>
      <w:tr>
        <w:trPr>
          <w:trHeight w:val="205"/>
        </w:trPr>
        <w:tc>
          <w:tcPr>
            <w:tcW w:w="3580" w:type="dxa"/>
            <w:vAlign w:val="bottom"/>
            <w:gridSpan w:val="3"/>
          </w:tcPr>
          <w:p>
            <w:pPr>
              <w:ind w:left="280"/>
              <w:spacing w:after="0"/>
              <w:rPr>
                <w:sz w:val="20"/>
                <w:szCs w:val="20"/>
                <w:color w:val="auto"/>
              </w:rPr>
            </w:pPr>
            <w:r>
              <w:rPr>
                <w:rFonts w:ascii="Arial" w:cs="Arial" w:eastAsia="Arial" w:hAnsi="Arial"/>
                <w:sz w:val="15"/>
                <w:szCs w:val="15"/>
                <w:color w:val="auto"/>
              </w:rPr>
              <w:t>Andrew S. Levine</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gridSpan w:val="3"/>
          </w:tcPr>
          <w:p>
            <w:pPr>
              <w:jc w:val="right"/>
              <w:ind w:right="40"/>
              <w:spacing w:after="0"/>
              <w:rPr>
                <w:sz w:val="20"/>
                <w:szCs w:val="20"/>
                <w:color w:val="auto"/>
              </w:rPr>
            </w:pPr>
            <w:r>
              <w:rPr>
                <w:rFonts w:ascii="Arial" w:cs="Arial" w:eastAsia="Arial" w:hAnsi="Arial"/>
                <w:sz w:val="15"/>
                <w:szCs w:val="15"/>
                <w:color w:val="auto"/>
              </w:rPr>
              <w:t>926</w:t>
            </w:r>
          </w:p>
        </w:tc>
        <w:tc>
          <w:tcPr>
            <w:tcW w:w="900" w:type="dxa"/>
            <w:vAlign w:val="bottom"/>
            <w:gridSpan w:val="3"/>
          </w:tcPr>
          <w:p>
            <w:pPr>
              <w:jc w:val="right"/>
              <w:spacing w:after="0"/>
              <w:rPr>
                <w:sz w:val="20"/>
                <w:szCs w:val="20"/>
                <w:color w:val="auto"/>
              </w:rPr>
            </w:pPr>
            <w:r>
              <w:rPr>
                <w:rFonts w:ascii="Arial" w:cs="Arial" w:eastAsia="Arial" w:hAnsi="Arial"/>
                <w:sz w:val="15"/>
                <w:szCs w:val="15"/>
                <w:color w:val="auto"/>
              </w:rPr>
              <w:t>6,000</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18,000</w:t>
            </w:r>
          </w:p>
        </w:tc>
      </w:tr>
      <w:tr>
        <w:trPr>
          <w:trHeight w:val="30"/>
        </w:trPr>
        <w:tc>
          <w:tcPr>
            <w:tcW w:w="280" w:type="dxa"/>
            <w:vAlign w:val="bottom"/>
          </w:tcPr>
          <w:p>
            <w:pPr>
              <w:spacing w:after="0"/>
              <w:rPr>
                <w:sz w:val="2"/>
                <w:szCs w:val="2"/>
                <w:color w:val="auto"/>
              </w:rPr>
            </w:pPr>
          </w:p>
        </w:tc>
        <w:tc>
          <w:tcPr>
            <w:tcW w:w="3060" w:type="dxa"/>
            <w:vAlign w:val="bottom"/>
            <w:shd w:val="clear" w:color="auto" w:fill="325889"/>
          </w:tcPr>
          <w:p>
            <w:pPr>
              <w:spacing w:after="0"/>
              <w:rPr>
                <w:sz w:val="2"/>
                <w:szCs w:val="2"/>
                <w:color w:val="auto"/>
              </w:rPr>
            </w:pPr>
          </w:p>
        </w:tc>
        <w:tc>
          <w:tcPr>
            <w:tcW w:w="240" w:type="dxa"/>
            <w:vAlign w:val="bottom"/>
            <w:shd w:val="clear" w:color="auto" w:fill="325889"/>
          </w:tcPr>
          <w:p>
            <w:pPr>
              <w:spacing w:after="0"/>
              <w:rPr>
                <w:sz w:val="2"/>
                <w:szCs w:val="2"/>
                <w:color w:val="auto"/>
              </w:rPr>
            </w:pPr>
          </w:p>
        </w:tc>
        <w:tc>
          <w:tcPr>
            <w:tcW w:w="720" w:type="dxa"/>
            <w:vAlign w:val="bottom"/>
            <w:shd w:val="clear" w:color="auto" w:fill="325889"/>
          </w:tcPr>
          <w:p>
            <w:pPr>
              <w:spacing w:after="0"/>
              <w:rPr>
                <w:sz w:val="2"/>
                <w:szCs w:val="2"/>
                <w:color w:val="auto"/>
              </w:rPr>
            </w:pPr>
          </w:p>
        </w:tc>
        <w:tc>
          <w:tcPr>
            <w:tcW w:w="220" w:type="dxa"/>
            <w:vAlign w:val="bottom"/>
            <w:shd w:val="clear" w:color="auto" w:fill="325889"/>
          </w:tcPr>
          <w:p>
            <w:pPr>
              <w:spacing w:after="0"/>
              <w:rPr>
                <w:sz w:val="2"/>
                <w:szCs w:val="2"/>
                <w:color w:val="auto"/>
              </w:rPr>
            </w:pPr>
          </w:p>
        </w:tc>
        <w:tc>
          <w:tcPr>
            <w:tcW w:w="820" w:type="dxa"/>
            <w:vAlign w:val="bottom"/>
            <w:shd w:val="clear" w:color="auto" w:fill="325889"/>
          </w:tcPr>
          <w:p>
            <w:pPr>
              <w:spacing w:after="0"/>
              <w:rPr>
                <w:sz w:val="2"/>
                <w:szCs w:val="2"/>
                <w:color w:val="auto"/>
              </w:rPr>
            </w:pPr>
          </w:p>
        </w:tc>
        <w:tc>
          <w:tcPr>
            <w:tcW w:w="240" w:type="dxa"/>
            <w:vAlign w:val="bottom"/>
            <w:shd w:val="clear" w:color="auto" w:fill="325889"/>
          </w:tcPr>
          <w:p>
            <w:pPr>
              <w:spacing w:after="0"/>
              <w:rPr>
                <w:sz w:val="2"/>
                <w:szCs w:val="2"/>
                <w:color w:val="auto"/>
              </w:rPr>
            </w:pPr>
          </w:p>
        </w:tc>
        <w:tc>
          <w:tcPr>
            <w:tcW w:w="120" w:type="dxa"/>
            <w:vAlign w:val="bottom"/>
            <w:shd w:val="clear" w:color="auto" w:fill="325889"/>
          </w:tcPr>
          <w:p>
            <w:pPr>
              <w:spacing w:after="0"/>
              <w:rPr>
                <w:sz w:val="2"/>
                <w:szCs w:val="2"/>
                <w:color w:val="auto"/>
              </w:rPr>
            </w:pPr>
          </w:p>
        </w:tc>
        <w:tc>
          <w:tcPr>
            <w:tcW w:w="500" w:type="dxa"/>
            <w:vAlign w:val="bottom"/>
            <w:shd w:val="clear" w:color="auto" w:fill="325889"/>
          </w:tcPr>
          <w:p>
            <w:pPr>
              <w:spacing w:after="0"/>
              <w:rPr>
                <w:sz w:val="2"/>
                <w:szCs w:val="2"/>
                <w:color w:val="auto"/>
              </w:rPr>
            </w:pPr>
          </w:p>
        </w:tc>
        <w:tc>
          <w:tcPr>
            <w:tcW w:w="240" w:type="dxa"/>
            <w:vAlign w:val="bottom"/>
            <w:shd w:val="clear" w:color="auto" w:fill="325889"/>
          </w:tcPr>
          <w:p>
            <w:pPr>
              <w:spacing w:after="0"/>
              <w:rPr>
                <w:sz w:val="2"/>
                <w:szCs w:val="2"/>
                <w:color w:val="auto"/>
              </w:rPr>
            </w:pPr>
          </w:p>
        </w:tc>
        <w:tc>
          <w:tcPr>
            <w:tcW w:w="780" w:type="dxa"/>
            <w:vAlign w:val="bottom"/>
            <w:shd w:val="clear" w:color="auto" w:fill="325889"/>
          </w:tcPr>
          <w:p>
            <w:pPr>
              <w:spacing w:after="0"/>
              <w:rPr>
                <w:sz w:val="2"/>
                <w:szCs w:val="2"/>
                <w:color w:val="auto"/>
              </w:rPr>
            </w:pPr>
          </w:p>
        </w:tc>
        <w:tc>
          <w:tcPr>
            <w:tcW w:w="240" w:type="dxa"/>
            <w:vAlign w:val="bottom"/>
            <w:shd w:val="clear" w:color="auto" w:fill="325889"/>
          </w:tcPr>
          <w:p>
            <w:pPr>
              <w:spacing w:after="0"/>
              <w:rPr>
                <w:sz w:val="2"/>
                <w:szCs w:val="2"/>
                <w:color w:val="auto"/>
              </w:rPr>
            </w:pPr>
          </w:p>
        </w:tc>
        <w:tc>
          <w:tcPr>
            <w:tcW w:w="66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325889"/>
          </w:tcPr>
          <w:p>
            <w:pPr>
              <w:spacing w:after="0"/>
              <w:rPr>
                <w:sz w:val="2"/>
                <w:szCs w:val="2"/>
                <w:color w:val="auto"/>
              </w:rPr>
            </w:pPr>
          </w:p>
        </w:tc>
        <w:tc>
          <w:tcPr>
            <w:tcW w:w="180" w:type="dxa"/>
            <w:vAlign w:val="bottom"/>
            <w:shd w:val="clear" w:color="auto" w:fill="325889"/>
          </w:tcPr>
          <w:p>
            <w:pPr>
              <w:spacing w:after="0"/>
              <w:rPr>
                <w:sz w:val="2"/>
                <w:szCs w:val="2"/>
                <w:color w:val="auto"/>
              </w:rPr>
            </w:pPr>
          </w:p>
        </w:tc>
        <w:tc>
          <w:tcPr>
            <w:tcW w:w="520" w:type="dxa"/>
            <w:vAlign w:val="bottom"/>
            <w:shd w:val="clear" w:color="auto" w:fill="325889"/>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325889"/>
          </w:tcPr>
          <w:p>
            <w:pPr>
              <w:spacing w:after="0"/>
              <w:rPr>
                <w:sz w:val="2"/>
                <w:szCs w:val="2"/>
                <w:color w:val="auto"/>
              </w:rPr>
            </w:pPr>
          </w:p>
        </w:tc>
        <w:tc>
          <w:tcPr>
            <w:tcW w:w="240" w:type="dxa"/>
            <w:vAlign w:val="bottom"/>
            <w:tcBorders>
              <w:left w:val="single" w:sz="8" w:color="325889"/>
            </w:tcBorders>
            <w:shd w:val="clear" w:color="auto" w:fill="325889"/>
          </w:tcPr>
          <w:p>
            <w:pPr>
              <w:spacing w:after="0"/>
              <w:rPr>
                <w:sz w:val="2"/>
                <w:szCs w:val="2"/>
                <w:color w:val="auto"/>
              </w:rPr>
            </w:pPr>
          </w:p>
        </w:tc>
        <w:tc>
          <w:tcPr>
            <w:tcW w:w="100" w:type="dxa"/>
            <w:vAlign w:val="bottom"/>
            <w:shd w:val="clear" w:color="auto" w:fill="325889"/>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325889"/>
          </w:tcPr>
          <w:p>
            <w:pPr>
              <w:spacing w:after="0"/>
              <w:rPr>
                <w:sz w:val="2"/>
                <w:szCs w:val="2"/>
                <w:color w:val="auto"/>
              </w:rPr>
            </w:pPr>
          </w:p>
        </w:tc>
        <w:tc>
          <w:tcPr>
            <w:tcW w:w="280" w:type="dxa"/>
            <w:vAlign w:val="bottom"/>
            <w:tcBorders>
              <w:left w:val="single" w:sz="8" w:color="325889"/>
              <w:right w:val="single" w:sz="8" w:color="325889"/>
            </w:tcBorders>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325889"/>
          </w:tcPr>
          <w:p>
            <w:pPr>
              <w:spacing w:after="0"/>
              <w:rPr>
                <w:sz w:val="2"/>
                <w:szCs w:val="2"/>
                <w:color w:val="auto"/>
              </w:rPr>
            </w:pPr>
          </w:p>
        </w:tc>
      </w:tr>
    </w:tbl>
    <w:p>
      <w:pPr>
        <w:spacing w:after="0" w:line="59" w:lineRule="exact"/>
        <w:rPr>
          <w:sz w:val="20"/>
          <w:szCs w:val="20"/>
          <w:color w:val="auto"/>
        </w:rPr>
      </w:pPr>
    </w:p>
    <w:p>
      <w:pPr>
        <w:ind w:left="585" w:right="140" w:hanging="300"/>
        <w:spacing w:after="0" w:line="233" w:lineRule="auto"/>
        <w:tabs>
          <w:tab w:leader="none" w:pos="585" w:val="left"/>
        </w:tabs>
        <w:numPr>
          <w:ilvl w:val="0"/>
          <w:numId w:val="55"/>
        </w:numPr>
        <w:rPr>
          <w:rFonts w:ascii="Arial" w:cs="Arial" w:eastAsia="Arial" w:hAnsi="Arial"/>
          <w:sz w:val="12"/>
          <w:szCs w:val="12"/>
          <w:color w:val="auto"/>
        </w:rPr>
      </w:pPr>
      <w:r>
        <w:rPr>
          <w:rFonts w:ascii="Arial" w:cs="Arial" w:eastAsia="Arial" w:hAnsi="Arial"/>
          <w:sz w:val="12"/>
          <w:szCs w:val="12"/>
          <w:color w:val="auto"/>
        </w:rPr>
        <w:t>Represents notional stock units, each of which represents the contingent right to receive the value of one share of our common stock in accordance with the terms of a deferred compensation agreement. These notional stock units vested on 01/17/2017. Vested notional stock units are settled in cash no later than 30 days following the earliest of (i) Mr. Holliday’s death, (ii) the date of Mr. Holliday’s separation from service with us, and (iii) the effective date of a change in control (as defined in the deferred compensation agreement).</w:t>
      </w:r>
    </w:p>
    <w:p>
      <w:pPr>
        <w:spacing w:after="0" w:line="48" w:lineRule="exact"/>
        <w:rPr>
          <w:rFonts w:ascii="Arial" w:cs="Arial" w:eastAsia="Arial" w:hAnsi="Arial"/>
          <w:sz w:val="12"/>
          <w:szCs w:val="12"/>
          <w:color w:val="auto"/>
        </w:rPr>
      </w:pPr>
    </w:p>
    <w:p>
      <w:pPr>
        <w:ind w:left="585" w:hanging="300"/>
        <w:spacing w:after="0"/>
        <w:tabs>
          <w:tab w:leader="none" w:pos="585" w:val="left"/>
        </w:tabs>
        <w:numPr>
          <w:ilvl w:val="0"/>
          <w:numId w:val="55"/>
        </w:numPr>
        <w:rPr>
          <w:rFonts w:ascii="Arial" w:cs="Arial" w:eastAsia="Arial" w:hAnsi="Arial"/>
          <w:sz w:val="12"/>
          <w:szCs w:val="12"/>
          <w:color w:val="auto"/>
        </w:rPr>
      </w:pPr>
      <w:r>
        <w:rPr>
          <w:rFonts w:ascii="Arial" w:cs="Arial" w:eastAsia="Arial" w:hAnsi="Arial"/>
          <w:sz w:val="12"/>
          <w:szCs w:val="12"/>
          <w:color w:val="auto"/>
        </w:rPr>
        <w:t>Represents LTIP units that vest on 6/30/2017 based on 2016 performance, subject to continued employment through such date.</w:t>
      </w:r>
    </w:p>
    <w:p>
      <w:pPr>
        <w:spacing w:after="0" w:line="51" w:lineRule="exact"/>
        <w:rPr>
          <w:rFonts w:ascii="Arial" w:cs="Arial" w:eastAsia="Arial" w:hAnsi="Arial"/>
          <w:sz w:val="12"/>
          <w:szCs w:val="12"/>
          <w:color w:val="auto"/>
        </w:rPr>
      </w:pPr>
    </w:p>
    <w:p>
      <w:pPr>
        <w:ind w:left="585" w:hanging="300"/>
        <w:spacing w:after="0"/>
        <w:tabs>
          <w:tab w:leader="none" w:pos="585" w:val="left"/>
        </w:tabs>
        <w:numPr>
          <w:ilvl w:val="0"/>
          <w:numId w:val="55"/>
        </w:numPr>
        <w:rPr>
          <w:rFonts w:ascii="Arial" w:cs="Arial" w:eastAsia="Arial" w:hAnsi="Arial"/>
          <w:sz w:val="12"/>
          <w:szCs w:val="12"/>
          <w:color w:val="auto"/>
        </w:rPr>
      </w:pPr>
      <w:r>
        <w:rPr>
          <w:rFonts w:ascii="Arial" w:cs="Arial" w:eastAsia="Arial" w:hAnsi="Arial"/>
          <w:sz w:val="12"/>
          <w:szCs w:val="12"/>
          <w:color w:val="auto"/>
        </w:rPr>
        <w:t>Represents LTIP units that vested on 01/01/2017 based on 2016 performance.</w:t>
      </w:r>
    </w:p>
    <w:p>
      <w:pPr>
        <w:spacing w:after="0" w:line="51" w:lineRule="exact"/>
        <w:rPr>
          <w:rFonts w:ascii="Arial" w:cs="Arial" w:eastAsia="Arial" w:hAnsi="Arial"/>
          <w:sz w:val="12"/>
          <w:szCs w:val="12"/>
          <w:color w:val="auto"/>
        </w:rPr>
      </w:pPr>
    </w:p>
    <w:p>
      <w:pPr>
        <w:jc w:val="both"/>
        <w:ind w:left="585" w:right="100" w:hanging="300"/>
        <w:spacing w:after="0" w:line="233" w:lineRule="auto"/>
        <w:tabs>
          <w:tab w:leader="none" w:pos="585" w:val="left"/>
        </w:tabs>
        <w:numPr>
          <w:ilvl w:val="0"/>
          <w:numId w:val="55"/>
        </w:numPr>
        <w:rPr>
          <w:rFonts w:ascii="Arial" w:cs="Arial" w:eastAsia="Arial" w:hAnsi="Arial"/>
          <w:sz w:val="12"/>
          <w:szCs w:val="12"/>
          <w:color w:val="auto"/>
        </w:rPr>
      </w:pPr>
      <w:r>
        <w:rPr>
          <w:rFonts w:ascii="Arial" w:cs="Arial" w:eastAsia="Arial" w:hAnsi="Arial"/>
          <w:sz w:val="12"/>
          <w:szCs w:val="12"/>
          <w:color w:val="auto"/>
        </w:rPr>
        <w:t>For Mr. DiLiberto, represents LTIP units, of which one-half is scheduled to vest on 01/01/2017 and one-half is scheduled to vest on 01/01/2018, subject to continued employment through such dates. For Mr. Levine, represents 6,000 LTIP units that vested on 01/01/2017, with the remaining 12,000 LTIP units scheduled to vest one-half on 01/01/2018 and one-half on 01/01/2019, subject to continued employment through such dates.</w:t>
      </w:r>
    </w:p>
    <w:p>
      <w:pPr>
        <w:spacing w:after="0" w:line="183" w:lineRule="exact"/>
        <w:rPr>
          <w:sz w:val="20"/>
          <w:szCs w:val="20"/>
          <w:color w:val="auto"/>
        </w:rPr>
      </w:pPr>
    </w:p>
    <w:p>
      <w:pPr>
        <w:ind w:left="265" w:hanging="265"/>
        <w:spacing w:after="0"/>
        <w:tabs>
          <w:tab w:leader="none" w:pos="265" w:val="left"/>
        </w:tabs>
        <w:numPr>
          <w:ilvl w:val="0"/>
          <w:numId w:val="56"/>
        </w:numPr>
        <w:rPr>
          <w:rFonts w:ascii="Arial" w:cs="Arial" w:eastAsia="Arial" w:hAnsi="Arial"/>
          <w:sz w:val="15"/>
          <w:szCs w:val="15"/>
          <w:color w:val="325889"/>
        </w:rPr>
      </w:pPr>
      <w:r>
        <w:rPr>
          <w:rFonts w:ascii="Arial" w:cs="Arial" w:eastAsia="Arial" w:hAnsi="Arial"/>
          <w:sz w:val="15"/>
          <w:szCs w:val="15"/>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83450" cy="203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5"/>
          </w:cols>
          <w:pgMar w:left="235" w:top="528" w:right="219" w:bottom="1440" w:gutter="0" w:footer="0" w:header="0"/>
        </w:sectPr>
      </w:pPr>
    </w:p>
    <w:bookmarkStart w:id="44" w:name="page45"/>
    <w:bookmarkEnd w:id="44"/>
    <w:p>
      <w:pPr>
        <w:ind w:left="5"/>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325889"/>
        </w:rPr>
        <w:t>EXECUTIVE COMPENSATION</w:t>
      </w:r>
    </w:p>
    <w:p>
      <w:pPr>
        <w:spacing w:after="0" w:line="192" w:lineRule="exact"/>
        <w:rPr>
          <w:sz w:val="20"/>
          <w:szCs w:val="20"/>
          <w:color w:val="auto"/>
        </w:rPr>
      </w:pPr>
    </w:p>
    <w:p>
      <w:pPr>
        <w:ind w:left="305" w:right="40" w:hanging="305"/>
        <w:spacing w:after="0" w:line="236" w:lineRule="auto"/>
        <w:tabs>
          <w:tab w:leader="none" w:pos="305" w:val="left"/>
        </w:tabs>
        <w:numPr>
          <w:ilvl w:val="0"/>
          <w:numId w:val="57"/>
        </w:numPr>
        <w:rPr>
          <w:rFonts w:ascii="Arial" w:cs="Arial" w:eastAsia="Arial" w:hAnsi="Arial"/>
          <w:sz w:val="12"/>
          <w:szCs w:val="12"/>
          <w:color w:val="auto"/>
        </w:rPr>
      </w:pPr>
      <w:r>
        <w:rPr>
          <w:rFonts w:ascii="Arial" w:cs="Arial" w:eastAsia="Arial" w:hAnsi="Arial"/>
          <w:sz w:val="12"/>
          <w:szCs w:val="12"/>
          <w:color w:val="auto"/>
        </w:rPr>
        <w:t>Based on a price of $107.55 per share/unit, which was the closing price on the NYSE of one share of our common stock on December 31, 2016. Assumes that the value of LTIP units on a per unit basis is equal to the per share value of our common stock.</w:t>
      </w:r>
    </w:p>
    <w:p>
      <w:pPr>
        <w:spacing w:after="0" w:line="48" w:lineRule="exact"/>
        <w:rPr>
          <w:rFonts w:ascii="Arial" w:cs="Arial" w:eastAsia="Arial" w:hAnsi="Arial"/>
          <w:sz w:val="12"/>
          <w:szCs w:val="12"/>
          <w:color w:val="auto"/>
        </w:rPr>
      </w:pPr>
    </w:p>
    <w:p>
      <w:pPr>
        <w:ind w:left="305" w:hanging="305"/>
        <w:spacing w:after="0" w:line="229" w:lineRule="auto"/>
        <w:tabs>
          <w:tab w:leader="none" w:pos="305" w:val="left"/>
        </w:tabs>
        <w:numPr>
          <w:ilvl w:val="0"/>
          <w:numId w:val="57"/>
        </w:numPr>
        <w:rPr>
          <w:rFonts w:ascii="Arial" w:cs="Arial" w:eastAsia="Arial" w:hAnsi="Arial"/>
          <w:sz w:val="12"/>
          <w:szCs w:val="12"/>
          <w:color w:val="auto"/>
        </w:rPr>
      </w:pPr>
      <w:r>
        <w:rPr>
          <w:rFonts w:ascii="Arial" w:cs="Arial" w:eastAsia="Arial" w:hAnsi="Arial"/>
          <w:sz w:val="12"/>
          <w:szCs w:val="12"/>
          <w:color w:val="auto"/>
        </w:rPr>
        <w:t>Includes the following LTIP units, which represents the number of LTIP units that will be earned under the 2014 Outperformance Plan if we achieve both 25% or greater absolute TRS and relative TRS in the 50th percentile or higher during the three-year performance period under the 2014 Outperformance Plan: Mr. Holliday—25,925 LTIP units; Mr. Green—8,427 LTIP units; Mr. Mathias—18,300 LTIP units; Mr. DiLiberto— 6,621 LTIP units; and Mr. Levine—4,635 LTIP units. If our absolute and relative performance for the three-year performance period applicable to these awards continues to be the same as we experienced from the beginning of the performance period through December 31, 2016, our named executive officers will not earn any LTIP units under these awards. As a result, in accordance with SEC rules, the table reflects the number of LTIP units that would be earned if the “threshold” performance goal was achieved. For Mr. DiLiberto, also includes 3,500 LTIP units that are scheduled to vest on 01/01/2018, based on the attainment of specified performance goals during the vesting period and subject to continued employment through such date. For Mr. Levine, also includes 12,000 LTIP units that are scheduled to vest one-half on 01/01/2018 and one-half on 01/01/2019, based on the attainment of specified performance goals during the vesting period and subject to continued employment through such dates.</w:t>
      </w:r>
    </w:p>
    <w:p>
      <w:pPr>
        <w:spacing w:after="0" w:line="51" w:lineRule="exact"/>
        <w:rPr>
          <w:rFonts w:ascii="Arial" w:cs="Arial" w:eastAsia="Arial" w:hAnsi="Arial"/>
          <w:sz w:val="12"/>
          <w:szCs w:val="12"/>
          <w:color w:val="auto"/>
        </w:rPr>
      </w:pPr>
    </w:p>
    <w:p>
      <w:pPr>
        <w:ind w:left="305" w:right="160" w:hanging="305"/>
        <w:spacing w:after="0" w:line="233" w:lineRule="auto"/>
        <w:tabs>
          <w:tab w:leader="none" w:pos="305" w:val="left"/>
        </w:tabs>
        <w:numPr>
          <w:ilvl w:val="0"/>
          <w:numId w:val="57"/>
        </w:numPr>
        <w:rPr>
          <w:rFonts w:ascii="Arial" w:cs="Arial" w:eastAsia="Arial" w:hAnsi="Arial"/>
          <w:sz w:val="12"/>
          <w:szCs w:val="12"/>
          <w:color w:val="auto"/>
        </w:rPr>
      </w:pPr>
      <w:r>
        <w:rPr>
          <w:rFonts w:ascii="Arial" w:cs="Arial" w:eastAsia="Arial" w:hAnsi="Arial"/>
          <w:sz w:val="12"/>
          <w:szCs w:val="12"/>
          <w:color w:val="auto"/>
        </w:rPr>
        <w:t>Reflects an award of 52,500 Class O LTIP units with a mandatory conversion date that is five years after the date of grant and an award of 52,500 Class O LTIP units with a mandatory conversion date that is 10 years after the date of grant, each of which is scheduled to vest on 06/17/2017, subject to continued employment through such date. Class O LTIP units are economically similar to stock options. See “Compensation Discussion and Analysis—Other Compensation Policies and Information—Other Matters—LTIP units and Class O LTIP units” for a description of Class O LTIP units.</w:t>
      </w:r>
    </w:p>
    <w:p>
      <w:pPr>
        <w:spacing w:after="0" w:line="48" w:lineRule="exact"/>
        <w:rPr>
          <w:rFonts w:ascii="Arial" w:cs="Arial" w:eastAsia="Arial" w:hAnsi="Arial"/>
          <w:sz w:val="12"/>
          <w:szCs w:val="12"/>
          <w:color w:val="auto"/>
        </w:rPr>
      </w:pPr>
    </w:p>
    <w:p>
      <w:pPr>
        <w:ind w:left="305" w:hanging="305"/>
        <w:spacing w:after="0"/>
        <w:tabs>
          <w:tab w:leader="none" w:pos="305" w:val="left"/>
        </w:tabs>
        <w:numPr>
          <w:ilvl w:val="0"/>
          <w:numId w:val="57"/>
        </w:numPr>
        <w:rPr>
          <w:rFonts w:ascii="Arial" w:cs="Arial" w:eastAsia="Arial" w:hAnsi="Arial"/>
          <w:sz w:val="12"/>
          <w:szCs w:val="12"/>
          <w:color w:val="auto"/>
        </w:rPr>
      </w:pPr>
      <w:r>
        <w:rPr>
          <w:rFonts w:ascii="Arial" w:cs="Arial" w:eastAsia="Arial" w:hAnsi="Arial"/>
          <w:sz w:val="12"/>
          <w:szCs w:val="12"/>
          <w:color w:val="auto"/>
        </w:rPr>
        <w:t>Reflects an award of 30,000 stock options that expires five years after the date of grant, of which one-third vested on 01/01/2015, one-third vested on 01/01/2016 and one-third vested on 01/01/2017.</w:t>
      </w:r>
    </w:p>
    <w:p>
      <w:pPr>
        <w:spacing w:after="0" w:line="51" w:lineRule="exact"/>
        <w:rPr>
          <w:rFonts w:ascii="Arial" w:cs="Arial" w:eastAsia="Arial" w:hAnsi="Arial"/>
          <w:sz w:val="12"/>
          <w:szCs w:val="12"/>
          <w:color w:val="auto"/>
        </w:rPr>
      </w:pPr>
    </w:p>
    <w:p>
      <w:pPr>
        <w:ind w:left="305" w:right="80" w:hanging="305"/>
        <w:spacing w:after="0" w:line="236" w:lineRule="auto"/>
        <w:tabs>
          <w:tab w:leader="none" w:pos="305" w:val="left"/>
        </w:tabs>
        <w:numPr>
          <w:ilvl w:val="0"/>
          <w:numId w:val="57"/>
        </w:numPr>
        <w:rPr>
          <w:rFonts w:ascii="Arial" w:cs="Arial" w:eastAsia="Arial" w:hAnsi="Arial"/>
          <w:sz w:val="12"/>
          <w:szCs w:val="12"/>
          <w:color w:val="auto"/>
        </w:rPr>
      </w:pPr>
      <w:r>
        <w:rPr>
          <w:rFonts w:ascii="Arial" w:cs="Arial" w:eastAsia="Arial" w:hAnsi="Arial"/>
          <w:sz w:val="12"/>
          <w:szCs w:val="12"/>
          <w:color w:val="auto"/>
        </w:rPr>
        <w:t>Reflects an award of 12,500 stock options that expires five years after the date of grant and an award of 12,500 stock options that expires 10 years after the date of grant, of which one one-third of each vested on 01/01/2015, one-third of each vested on 01/01/2016 and one-third of each vested on 01/01/2017.</w:t>
      </w:r>
    </w:p>
    <w:p>
      <w:pPr>
        <w:spacing w:after="0" w:line="155"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325889"/>
        </w:rPr>
        <w:t>2016 Option Exercises and Stock Vested</w:t>
      </w:r>
    </w:p>
    <w:p>
      <w:pPr>
        <w:spacing w:after="0" w:line="212" w:lineRule="exact"/>
        <w:rPr>
          <w:sz w:val="20"/>
          <w:szCs w:val="20"/>
          <w:color w:val="auto"/>
        </w:rPr>
      </w:pPr>
    </w:p>
    <w:p>
      <w:pPr>
        <w:ind w:left="5" w:right="220"/>
        <w:spacing w:after="0" w:line="265" w:lineRule="auto"/>
        <w:rPr>
          <w:sz w:val="20"/>
          <w:szCs w:val="20"/>
          <w:color w:val="auto"/>
        </w:rPr>
      </w:pPr>
      <w:r>
        <w:rPr>
          <w:rFonts w:ascii="Arial" w:cs="Arial" w:eastAsia="Arial" w:hAnsi="Arial"/>
          <w:sz w:val="15"/>
          <w:szCs w:val="15"/>
          <w:color w:val="auto"/>
        </w:rPr>
        <w:t>None of our named executive officers exercised any stock options during 2016. The following table sets forth certain information with respect to the vesting of stock, including restricted stock, restricted stock units, LTIP units and similar instruments for each named executive officer during the fiscal year ended December 31, 2016.</w:t>
      </w:r>
    </w:p>
    <w:p>
      <w:pPr>
        <w:spacing w:after="0" w:line="183" w:lineRule="exact"/>
        <w:rPr>
          <w:sz w:val="20"/>
          <w:szCs w:val="20"/>
          <w:color w:val="auto"/>
        </w:rPr>
      </w:pPr>
    </w:p>
    <w:tbl>
      <w:tblPr>
        <w:tblLayout w:type="fixed"/>
        <w:tblInd w:w="5" w:type="dxa"/>
        <w:tblCellMar>
          <w:top w:w="0" w:type="dxa"/>
          <w:left w:w="0" w:type="dxa"/>
          <w:bottom w:w="0" w:type="dxa"/>
          <w:right w:w="0" w:type="dxa"/>
        </w:tblCellMar>
      </w:tblPr>
      <w:tr>
        <w:trPr>
          <w:trHeight w:val="155"/>
        </w:trPr>
        <w:tc>
          <w:tcPr>
            <w:tcW w:w="9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0" w:type="dxa"/>
            <w:vAlign w:val="bottom"/>
            <w:gridSpan w:val="4"/>
          </w:tcPr>
          <w:p>
            <w:pPr>
              <w:jc w:val="center"/>
              <w:spacing w:after="0"/>
              <w:rPr>
                <w:sz w:val="20"/>
                <w:szCs w:val="20"/>
                <w:color w:val="auto"/>
              </w:rPr>
            </w:pPr>
            <w:r>
              <w:rPr>
                <w:rFonts w:ascii="Arial" w:cs="Arial" w:eastAsia="Arial" w:hAnsi="Arial"/>
                <w:sz w:val="12"/>
                <w:szCs w:val="12"/>
                <w:b w:val="1"/>
                <w:bCs w:val="1"/>
                <w:color w:val="325889"/>
                <w:w w:val="98"/>
              </w:rPr>
              <w:t>Stock Awards</w:t>
            </w:r>
          </w:p>
        </w:tc>
        <w:tc>
          <w:tcPr>
            <w:tcW w:w="0" w:type="dxa"/>
            <w:vAlign w:val="bottom"/>
          </w:tcPr>
          <w:p>
            <w:pPr>
              <w:spacing w:after="0"/>
              <w:rPr>
                <w:sz w:val="1"/>
                <w:szCs w:val="1"/>
                <w:color w:val="auto"/>
              </w:rPr>
            </w:pPr>
          </w:p>
        </w:tc>
      </w:tr>
      <w:tr>
        <w:trPr>
          <w:trHeight w:val="41"/>
        </w:trPr>
        <w:tc>
          <w:tcPr>
            <w:tcW w:w="9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Borders>
              <w:bottom w:val="single" w:sz="8" w:color="325889"/>
            </w:tcBorders>
            <w:gridSpan w:val="2"/>
          </w:tcPr>
          <w:p>
            <w:pPr>
              <w:spacing w:after="0"/>
              <w:rPr>
                <w:sz w:val="3"/>
                <w:szCs w:val="3"/>
                <w:color w:val="auto"/>
              </w:rPr>
            </w:pPr>
          </w:p>
        </w:tc>
        <w:tc>
          <w:tcPr>
            <w:tcW w:w="200" w:type="dxa"/>
            <w:vAlign w:val="bottom"/>
            <w:tcBorders>
              <w:bottom w:val="single" w:sz="8" w:color="325889"/>
            </w:tcBorders>
          </w:tcPr>
          <w:p>
            <w:pPr>
              <w:spacing w:after="0"/>
              <w:rPr>
                <w:sz w:val="3"/>
                <w:szCs w:val="3"/>
                <w:color w:val="auto"/>
              </w:rPr>
            </w:pPr>
          </w:p>
        </w:tc>
        <w:tc>
          <w:tcPr>
            <w:tcW w:w="860" w:type="dxa"/>
            <w:vAlign w:val="bottom"/>
            <w:tcBorders>
              <w:bottom w:val="single" w:sz="8" w:color="325889"/>
            </w:tcBorders>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9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gridSpan w:val="2"/>
          </w:tcPr>
          <w:p>
            <w:pPr>
              <w:jc w:val="right"/>
              <w:ind w:right="240"/>
              <w:spacing w:after="0" w:line="116" w:lineRule="exact"/>
              <w:rPr>
                <w:sz w:val="20"/>
                <w:szCs w:val="20"/>
                <w:color w:val="auto"/>
              </w:rPr>
            </w:pPr>
            <w:r>
              <w:rPr>
                <w:rFonts w:ascii="Arial" w:cs="Arial" w:eastAsia="Arial" w:hAnsi="Arial"/>
                <w:sz w:val="12"/>
                <w:szCs w:val="12"/>
                <w:b w:val="1"/>
                <w:bCs w:val="1"/>
                <w:color w:val="325889"/>
              </w:rPr>
              <w:t>Number</w:t>
            </w:r>
          </w:p>
        </w:tc>
        <w:tc>
          <w:tcPr>
            <w:tcW w:w="20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2"/>
                <w:szCs w:val="12"/>
                <w:b w:val="1"/>
                <w:bCs w:val="1"/>
                <w:color w:val="325889"/>
              </w:rPr>
              <w:t>Value</w:t>
            </w:r>
          </w:p>
        </w:tc>
        <w:tc>
          <w:tcPr>
            <w:tcW w:w="0" w:type="dxa"/>
            <w:vAlign w:val="bottom"/>
          </w:tcPr>
          <w:p>
            <w:pPr>
              <w:spacing w:after="0"/>
              <w:rPr>
                <w:sz w:val="1"/>
                <w:szCs w:val="1"/>
                <w:color w:val="auto"/>
              </w:rPr>
            </w:pPr>
          </w:p>
        </w:tc>
      </w:tr>
      <w:tr>
        <w:trPr>
          <w:trHeight w:val="121"/>
        </w:trPr>
        <w:tc>
          <w:tcPr>
            <w:tcW w:w="9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gridSpan w:val="2"/>
          </w:tcPr>
          <w:p>
            <w:pPr>
              <w:jc w:val="right"/>
              <w:ind w:right="240"/>
              <w:spacing w:after="0" w:line="122" w:lineRule="exact"/>
              <w:rPr>
                <w:sz w:val="20"/>
                <w:szCs w:val="20"/>
                <w:color w:val="auto"/>
              </w:rPr>
            </w:pPr>
            <w:r>
              <w:rPr>
                <w:rFonts w:ascii="Arial" w:cs="Arial" w:eastAsia="Arial" w:hAnsi="Arial"/>
                <w:sz w:val="12"/>
                <w:szCs w:val="12"/>
                <w:b w:val="1"/>
                <w:bCs w:val="1"/>
                <w:color w:val="325889"/>
              </w:rPr>
              <w:t>of Shares</w:t>
            </w:r>
          </w:p>
        </w:tc>
        <w:tc>
          <w:tcPr>
            <w:tcW w:w="2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9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right"/>
              <w:ind w:right="240"/>
              <w:spacing w:after="0" w:line="131" w:lineRule="exact"/>
              <w:rPr>
                <w:sz w:val="20"/>
                <w:szCs w:val="20"/>
                <w:color w:val="auto"/>
              </w:rPr>
            </w:pPr>
            <w:r>
              <w:rPr>
                <w:rFonts w:ascii="Arial" w:cs="Arial" w:eastAsia="Arial" w:hAnsi="Arial"/>
                <w:sz w:val="12"/>
                <w:szCs w:val="12"/>
                <w:b w:val="1"/>
                <w:bCs w:val="1"/>
                <w:color w:val="325889"/>
                <w:w w:val="97"/>
              </w:rPr>
              <w:t>Acquired on</w:t>
            </w:r>
          </w:p>
        </w:tc>
        <w:tc>
          <w:tcPr>
            <w:tcW w:w="200" w:type="dxa"/>
            <w:vAlign w:val="bottom"/>
          </w:tcPr>
          <w:p>
            <w:pPr>
              <w:spacing w:after="0"/>
              <w:rPr>
                <w:sz w:val="11"/>
                <w:szCs w:val="11"/>
                <w:color w:val="auto"/>
              </w:rPr>
            </w:pPr>
          </w:p>
        </w:tc>
        <w:tc>
          <w:tcPr>
            <w:tcW w:w="860" w:type="dxa"/>
            <w:vAlign w:val="bottom"/>
          </w:tcPr>
          <w:p>
            <w:pPr>
              <w:jc w:val="right"/>
              <w:spacing w:after="0" w:line="131" w:lineRule="exact"/>
              <w:rPr>
                <w:sz w:val="20"/>
                <w:szCs w:val="20"/>
                <w:color w:val="auto"/>
              </w:rPr>
            </w:pPr>
            <w:r>
              <w:rPr>
                <w:rFonts w:ascii="Arial" w:cs="Arial" w:eastAsia="Arial" w:hAnsi="Arial"/>
                <w:sz w:val="12"/>
                <w:szCs w:val="12"/>
                <w:b w:val="1"/>
                <w:bCs w:val="1"/>
                <w:color w:val="325889"/>
              </w:rPr>
              <w:t>Realized on</w:t>
            </w:r>
          </w:p>
        </w:tc>
        <w:tc>
          <w:tcPr>
            <w:tcW w:w="0" w:type="dxa"/>
            <w:vAlign w:val="bottom"/>
          </w:tcPr>
          <w:p>
            <w:pPr>
              <w:spacing w:after="0"/>
              <w:rPr>
                <w:sz w:val="1"/>
                <w:szCs w:val="1"/>
                <w:color w:val="auto"/>
              </w:rPr>
            </w:pPr>
          </w:p>
        </w:tc>
      </w:tr>
      <w:tr>
        <w:trPr>
          <w:trHeight w:val="182"/>
        </w:trPr>
        <w:tc>
          <w:tcPr>
            <w:tcW w:w="9200" w:type="dxa"/>
            <w:vAlign w:val="bottom"/>
            <w:tcBorders>
              <w:bottom w:val="single" w:sz="8" w:color="325889"/>
            </w:tcBorders>
          </w:tcPr>
          <w:p>
            <w:pPr>
              <w:spacing w:after="0"/>
              <w:rPr>
                <w:sz w:val="20"/>
                <w:szCs w:val="20"/>
                <w:color w:val="auto"/>
              </w:rPr>
            </w:pPr>
            <w:r>
              <w:rPr>
                <w:rFonts w:ascii="Arial" w:cs="Arial" w:eastAsia="Arial" w:hAnsi="Arial"/>
                <w:sz w:val="12"/>
                <w:szCs w:val="12"/>
                <w:b w:val="1"/>
                <w:bCs w:val="1"/>
                <w:color w:val="auto"/>
              </w:rPr>
              <w:t>Name</w:t>
            </w:r>
          </w:p>
        </w:tc>
        <w:tc>
          <w:tcPr>
            <w:tcW w:w="240" w:type="dxa"/>
            <w:vAlign w:val="bottom"/>
          </w:tcPr>
          <w:p>
            <w:pPr>
              <w:spacing w:after="0"/>
              <w:rPr>
                <w:sz w:val="15"/>
                <w:szCs w:val="15"/>
                <w:color w:val="auto"/>
              </w:rPr>
            </w:pPr>
          </w:p>
        </w:tc>
        <w:tc>
          <w:tcPr>
            <w:tcW w:w="700" w:type="dxa"/>
            <w:vAlign w:val="bottom"/>
            <w:tcBorders>
              <w:bottom w:val="single" w:sz="8" w:color="325889"/>
            </w:tcBorders>
          </w:tcPr>
          <w:p>
            <w:pPr>
              <w:jc w:val="right"/>
              <w:spacing w:after="0"/>
              <w:rPr>
                <w:sz w:val="20"/>
                <w:szCs w:val="20"/>
                <w:color w:val="auto"/>
              </w:rPr>
            </w:pPr>
            <w:r>
              <w:rPr>
                <w:rFonts w:ascii="Arial" w:cs="Arial" w:eastAsia="Arial" w:hAnsi="Arial"/>
                <w:sz w:val="12"/>
                <w:szCs w:val="12"/>
                <w:b w:val="1"/>
                <w:bCs w:val="1"/>
                <w:color w:val="325889"/>
              </w:rPr>
              <w:t>Vesting (#)</w:t>
            </w:r>
          </w:p>
        </w:tc>
        <w:tc>
          <w:tcPr>
            <w:tcW w:w="240" w:type="dxa"/>
            <w:vAlign w:val="bottom"/>
          </w:tcPr>
          <w:p>
            <w:pPr>
              <w:spacing w:after="0"/>
              <w:rPr>
                <w:sz w:val="15"/>
                <w:szCs w:val="15"/>
                <w:color w:val="auto"/>
              </w:rPr>
            </w:pPr>
          </w:p>
        </w:tc>
        <w:tc>
          <w:tcPr>
            <w:tcW w:w="200" w:type="dxa"/>
            <w:vAlign w:val="bottom"/>
            <w:tcBorders>
              <w:bottom w:val="single" w:sz="8" w:color="325889"/>
            </w:tcBorders>
          </w:tcPr>
          <w:p>
            <w:pPr>
              <w:spacing w:after="0"/>
              <w:rPr>
                <w:sz w:val="15"/>
                <w:szCs w:val="15"/>
                <w:color w:val="auto"/>
              </w:rPr>
            </w:pPr>
          </w:p>
        </w:tc>
        <w:tc>
          <w:tcPr>
            <w:tcW w:w="860" w:type="dxa"/>
            <w:vAlign w:val="bottom"/>
            <w:tcBorders>
              <w:bottom w:val="single" w:sz="8" w:color="325889"/>
            </w:tcBorders>
          </w:tcPr>
          <w:p>
            <w:pPr>
              <w:jc w:val="right"/>
              <w:spacing w:after="0" w:line="178" w:lineRule="exact"/>
              <w:rPr>
                <w:sz w:val="20"/>
                <w:szCs w:val="20"/>
                <w:color w:val="auto"/>
              </w:rPr>
            </w:pPr>
            <w:r>
              <w:rPr>
                <w:rFonts w:ascii="Arial" w:cs="Arial" w:eastAsia="Arial" w:hAnsi="Arial"/>
                <w:sz w:val="12"/>
                <w:szCs w:val="12"/>
                <w:b w:val="1"/>
                <w:bCs w:val="1"/>
                <w:color w:val="325889"/>
              </w:rPr>
              <w:t>Vesting</w:t>
            </w:r>
            <w:r>
              <w:rPr>
                <w:rFonts w:ascii="Arial" w:cs="Arial" w:eastAsia="Arial" w:hAnsi="Arial"/>
                <w:sz w:val="19"/>
                <w:szCs w:val="19"/>
                <w:b w:val="1"/>
                <w:bCs w:val="1"/>
                <w:color w:val="325889"/>
                <w:vertAlign w:val="superscript"/>
              </w:rPr>
              <w:t>(1)</w:t>
            </w:r>
            <w:r>
              <w:rPr>
                <w:rFonts w:ascii="Arial" w:cs="Arial" w:eastAsia="Arial" w:hAnsi="Arial"/>
                <w:sz w:val="12"/>
                <w:szCs w:val="12"/>
                <w:b w:val="1"/>
                <w:bCs w:val="1"/>
                <w:color w:val="325889"/>
              </w:rPr>
              <w:t xml:space="preserve"> ($)</w:t>
            </w:r>
          </w:p>
        </w:tc>
        <w:tc>
          <w:tcPr>
            <w:tcW w:w="0" w:type="dxa"/>
            <w:vAlign w:val="bottom"/>
          </w:tcPr>
          <w:p>
            <w:pPr>
              <w:spacing w:after="0"/>
              <w:rPr>
                <w:sz w:val="1"/>
                <w:szCs w:val="1"/>
                <w:color w:val="auto"/>
              </w:rPr>
            </w:pPr>
          </w:p>
        </w:tc>
      </w:tr>
      <w:tr>
        <w:trPr>
          <w:trHeight w:val="207"/>
        </w:trPr>
        <w:tc>
          <w:tcPr>
            <w:tcW w:w="920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Marc Holliday</w:t>
            </w:r>
          </w:p>
        </w:tc>
        <w:tc>
          <w:tcPr>
            <w:tcW w:w="240" w:type="dxa"/>
            <w:vAlign w:val="bottom"/>
          </w:tcPr>
          <w:p>
            <w:pPr>
              <w:spacing w:after="0"/>
              <w:rPr>
                <w:sz w:val="17"/>
                <w:szCs w:val="17"/>
                <w:color w:val="auto"/>
              </w:rPr>
            </w:pPr>
          </w:p>
        </w:tc>
        <w:tc>
          <w:tcPr>
            <w:tcW w:w="7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137,801</w:t>
            </w:r>
          </w:p>
        </w:tc>
        <w:tc>
          <w:tcPr>
            <w:tcW w:w="240" w:type="dxa"/>
            <w:vAlign w:val="bottom"/>
          </w:tcPr>
          <w:p>
            <w:pPr>
              <w:spacing w:after="0"/>
              <w:rPr>
                <w:sz w:val="17"/>
                <w:szCs w:val="17"/>
                <w:color w:val="auto"/>
              </w:rPr>
            </w:pPr>
          </w:p>
        </w:tc>
        <w:tc>
          <w:tcPr>
            <w:tcW w:w="200" w:type="dxa"/>
            <w:vAlign w:val="bottom"/>
            <w:tcBorders>
              <w:bottom w:val="single" w:sz="8" w:color="98A3B8"/>
            </w:tcBorders>
          </w:tcPr>
          <w:p>
            <w:pPr>
              <w:jc w:val="center"/>
              <w:ind w:right="3"/>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13,944,593</w:t>
            </w:r>
          </w:p>
        </w:tc>
        <w:tc>
          <w:tcPr>
            <w:tcW w:w="0" w:type="dxa"/>
            <w:vAlign w:val="bottom"/>
          </w:tcPr>
          <w:p>
            <w:pPr>
              <w:spacing w:after="0"/>
              <w:rPr>
                <w:sz w:val="1"/>
                <w:szCs w:val="1"/>
                <w:color w:val="auto"/>
              </w:rPr>
            </w:pPr>
          </w:p>
        </w:tc>
      </w:tr>
      <w:tr>
        <w:trPr>
          <w:trHeight w:val="205"/>
        </w:trPr>
        <w:tc>
          <w:tcPr>
            <w:tcW w:w="920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Stephen L. Green</w:t>
            </w:r>
          </w:p>
        </w:tc>
        <w:tc>
          <w:tcPr>
            <w:tcW w:w="240" w:type="dxa"/>
            <w:vAlign w:val="bottom"/>
          </w:tcPr>
          <w:p>
            <w:pPr>
              <w:spacing w:after="0"/>
              <w:rPr>
                <w:sz w:val="17"/>
                <w:szCs w:val="17"/>
                <w:color w:val="auto"/>
              </w:rPr>
            </w:pPr>
          </w:p>
        </w:tc>
        <w:tc>
          <w:tcPr>
            <w:tcW w:w="7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24,820</w:t>
            </w:r>
          </w:p>
        </w:tc>
        <w:tc>
          <w:tcPr>
            <w:tcW w:w="240" w:type="dxa"/>
            <w:vAlign w:val="bottom"/>
          </w:tcPr>
          <w:p>
            <w:pPr>
              <w:spacing w:after="0"/>
              <w:rPr>
                <w:sz w:val="17"/>
                <w:szCs w:val="17"/>
                <w:color w:val="auto"/>
              </w:rPr>
            </w:pPr>
          </w:p>
        </w:tc>
        <w:tc>
          <w:tcPr>
            <w:tcW w:w="200" w:type="dxa"/>
            <w:vAlign w:val="bottom"/>
            <w:tcBorders>
              <w:bottom w:val="single" w:sz="8" w:color="98A3B8"/>
            </w:tcBorders>
          </w:tcPr>
          <w:p>
            <w:pPr>
              <w:jc w:val="center"/>
              <w:ind w:right="3"/>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2,569,524</w:t>
            </w:r>
          </w:p>
        </w:tc>
        <w:tc>
          <w:tcPr>
            <w:tcW w:w="0" w:type="dxa"/>
            <w:vAlign w:val="bottom"/>
          </w:tcPr>
          <w:p>
            <w:pPr>
              <w:spacing w:after="0"/>
              <w:rPr>
                <w:sz w:val="1"/>
                <w:szCs w:val="1"/>
                <w:color w:val="auto"/>
              </w:rPr>
            </w:pPr>
          </w:p>
        </w:tc>
      </w:tr>
      <w:tr>
        <w:trPr>
          <w:trHeight w:val="205"/>
        </w:trPr>
        <w:tc>
          <w:tcPr>
            <w:tcW w:w="920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Andrew Mathias</w:t>
            </w:r>
          </w:p>
        </w:tc>
        <w:tc>
          <w:tcPr>
            <w:tcW w:w="240" w:type="dxa"/>
            <w:vAlign w:val="bottom"/>
          </w:tcPr>
          <w:p>
            <w:pPr>
              <w:spacing w:after="0"/>
              <w:rPr>
                <w:sz w:val="17"/>
                <w:szCs w:val="17"/>
                <w:color w:val="auto"/>
              </w:rPr>
            </w:pPr>
          </w:p>
        </w:tc>
        <w:tc>
          <w:tcPr>
            <w:tcW w:w="7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108,957</w:t>
            </w:r>
          </w:p>
        </w:tc>
        <w:tc>
          <w:tcPr>
            <w:tcW w:w="240" w:type="dxa"/>
            <w:vAlign w:val="bottom"/>
          </w:tcPr>
          <w:p>
            <w:pPr>
              <w:spacing w:after="0"/>
              <w:rPr>
                <w:sz w:val="17"/>
                <w:szCs w:val="17"/>
                <w:color w:val="auto"/>
              </w:rPr>
            </w:pPr>
          </w:p>
        </w:tc>
        <w:tc>
          <w:tcPr>
            <w:tcW w:w="200" w:type="dxa"/>
            <w:vAlign w:val="bottom"/>
            <w:tcBorders>
              <w:bottom w:val="single" w:sz="8" w:color="98A3B8"/>
            </w:tcBorders>
          </w:tcPr>
          <w:p>
            <w:pPr>
              <w:jc w:val="center"/>
              <w:ind w:right="3"/>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11,491,522</w:t>
            </w:r>
          </w:p>
        </w:tc>
        <w:tc>
          <w:tcPr>
            <w:tcW w:w="0" w:type="dxa"/>
            <w:vAlign w:val="bottom"/>
          </w:tcPr>
          <w:p>
            <w:pPr>
              <w:spacing w:after="0"/>
              <w:rPr>
                <w:sz w:val="1"/>
                <w:szCs w:val="1"/>
                <w:color w:val="auto"/>
              </w:rPr>
            </w:pPr>
          </w:p>
        </w:tc>
      </w:tr>
      <w:tr>
        <w:trPr>
          <w:trHeight w:val="205"/>
        </w:trPr>
        <w:tc>
          <w:tcPr>
            <w:tcW w:w="920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Matthew J. DiLiberto</w:t>
            </w:r>
          </w:p>
        </w:tc>
        <w:tc>
          <w:tcPr>
            <w:tcW w:w="240" w:type="dxa"/>
            <w:vAlign w:val="bottom"/>
          </w:tcPr>
          <w:p>
            <w:pPr>
              <w:spacing w:after="0"/>
              <w:rPr>
                <w:sz w:val="17"/>
                <w:szCs w:val="17"/>
                <w:color w:val="auto"/>
              </w:rPr>
            </w:pPr>
          </w:p>
        </w:tc>
        <w:tc>
          <w:tcPr>
            <w:tcW w:w="7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6,646</w:t>
            </w:r>
          </w:p>
        </w:tc>
        <w:tc>
          <w:tcPr>
            <w:tcW w:w="240" w:type="dxa"/>
            <w:vAlign w:val="bottom"/>
          </w:tcPr>
          <w:p>
            <w:pPr>
              <w:spacing w:after="0"/>
              <w:rPr>
                <w:sz w:val="17"/>
                <w:szCs w:val="17"/>
                <w:color w:val="auto"/>
              </w:rPr>
            </w:pPr>
          </w:p>
        </w:tc>
        <w:tc>
          <w:tcPr>
            <w:tcW w:w="200" w:type="dxa"/>
            <w:vAlign w:val="bottom"/>
            <w:tcBorders>
              <w:bottom w:val="single" w:sz="8" w:color="98A3B8"/>
            </w:tcBorders>
          </w:tcPr>
          <w:p>
            <w:pPr>
              <w:jc w:val="center"/>
              <w:ind w:right="3"/>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746,660</w:t>
            </w:r>
          </w:p>
        </w:tc>
        <w:tc>
          <w:tcPr>
            <w:tcW w:w="0" w:type="dxa"/>
            <w:vAlign w:val="bottom"/>
          </w:tcPr>
          <w:p>
            <w:pPr>
              <w:spacing w:after="0"/>
              <w:rPr>
                <w:sz w:val="1"/>
                <w:szCs w:val="1"/>
                <w:color w:val="auto"/>
              </w:rPr>
            </w:pPr>
          </w:p>
        </w:tc>
      </w:tr>
      <w:tr>
        <w:trPr>
          <w:trHeight w:val="216"/>
        </w:trPr>
        <w:tc>
          <w:tcPr>
            <w:tcW w:w="9200" w:type="dxa"/>
            <w:vAlign w:val="bottom"/>
            <w:tcBorders>
              <w:bottom w:val="single" w:sz="8" w:color="325889"/>
            </w:tcBorders>
          </w:tcPr>
          <w:p>
            <w:pPr>
              <w:spacing w:after="0"/>
              <w:rPr>
                <w:sz w:val="20"/>
                <w:szCs w:val="20"/>
                <w:color w:val="auto"/>
              </w:rPr>
            </w:pPr>
            <w:r>
              <w:rPr>
                <w:rFonts w:ascii="Arial" w:cs="Arial" w:eastAsia="Arial" w:hAnsi="Arial"/>
                <w:sz w:val="15"/>
                <w:szCs w:val="15"/>
                <w:color w:val="auto"/>
              </w:rPr>
              <w:t>Andrew S. Levine</w:t>
            </w:r>
          </w:p>
        </w:tc>
        <w:tc>
          <w:tcPr>
            <w:tcW w:w="240" w:type="dxa"/>
            <w:vAlign w:val="bottom"/>
          </w:tcPr>
          <w:p>
            <w:pPr>
              <w:spacing w:after="0"/>
              <w:rPr>
                <w:sz w:val="18"/>
                <w:szCs w:val="18"/>
                <w:color w:val="auto"/>
              </w:rPr>
            </w:pPr>
          </w:p>
        </w:tc>
        <w:tc>
          <w:tcPr>
            <w:tcW w:w="700" w:type="dxa"/>
            <w:vAlign w:val="bottom"/>
            <w:tcBorders>
              <w:bottom w:val="single" w:sz="8" w:color="325889"/>
            </w:tcBorders>
          </w:tcPr>
          <w:p>
            <w:pPr>
              <w:jc w:val="right"/>
              <w:spacing w:after="0"/>
              <w:rPr>
                <w:sz w:val="20"/>
                <w:szCs w:val="20"/>
                <w:color w:val="auto"/>
              </w:rPr>
            </w:pPr>
            <w:r>
              <w:rPr>
                <w:rFonts w:ascii="Arial" w:cs="Arial" w:eastAsia="Arial" w:hAnsi="Arial"/>
                <w:sz w:val="15"/>
                <w:szCs w:val="15"/>
                <w:color w:val="auto"/>
              </w:rPr>
              <w:t>25,430</w:t>
            </w:r>
          </w:p>
        </w:tc>
        <w:tc>
          <w:tcPr>
            <w:tcW w:w="240" w:type="dxa"/>
            <w:vAlign w:val="bottom"/>
          </w:tcPr>
          <w:p>
            <w:pPr>
              <w:spacing w:after="0"/>
              <w:rPr>
                <w:sz w:val="18"/>
                <w:szCs w:val="18"/>
                <w:color w:val="auto"/>
              </w:rPr>
            </w:pPr>
          </w:p>
        </w:tc>
        <w:tc>
          <w:tcPr>
            <w:tcW w:w="200" w:type="dxa"/>
            <w:vAlign w:val="bottom"/>
            <w:tcBorders>
              <w:bottom w:val="single" w:sz="8" w:color="325889"/>
            </w:tcBorders>
          </w:tcPr>
          <w:p>
            <w:pPr>
              <w:jc w:val="center"/>
              <w:ind w:right="3"/>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325889"/>
            </w:tcBorders>
          </w:tcPr>
          <w:p>
            <w:pPr>
              <w:jc w:val="right"/>
              <w:spacing w:after="0"/>
              <w:rPr>
                <w:sz w:val="20"/>
                <w:szCs w:val="20"/>
                <w:color w:val="auto"/>
              </w:rPr>
            </w:pPr>
            <w:r>
              <w:rPr>
                <w:rFonts w:ascii="Arial" w:cs="Arial" w:eastAsia="Arial" w:hAnsi="Arial"/>
                <w:sz w:val="15"/>
                <w:szCs w:val="15"/>
                <w:color w:val="auto"/>
              </w:rPr>
              <w:t>2,761,905</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305" w:hanging="305"/>
        <w:spacing w:after="0"/>
        <w:tabs>
          <w:tab w:leader="none" w:pos="305" w:val="left"/>
        </w:tabs>
        <w:numPr>
          <w:ilvl w:val="0"/>
          <w:numId w:val="58"/>
        </w:numPr>
        <w:rPr>
          <w:rFonts w:ascii="Arial" w:cs="Arial" w:eastAsia="Arial" w:hAnsi="Arial"/>
          <w:sz w:val="12"/>
          <w:szCs w:val="12"/>
          <w:color w:val="auto"/>
        </w:rPr>
      </w:pPr>
      <w:r>
        <w:rPr>
          <w:rFonts w:ascii="Arial" w:cs="Arial" w:eastAsia="Arial" w:hAnsi="Arial"/>
          <w:sz w:val="12"/>
          <w:szCs w:val="12"/>
          <w:color w:val="auto"/>
        </w:rPr>
        <w:t>Amounts reflect the market value of the stock on the vesting date.</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2017 Proxy Statement </w:t>
      </w:r>
      <w:r>
        <w:rPr>
          <w:rFonts w:ascii="Arial" w:cs="Arial" w:eastAsia="Arial" w:hAnsi="Arial"/>
          <w:sz w:val="15"/>
          <w:szCs w:val="15"/>
          <w:color w:val="325889"/>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83450" cy="203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5"/>
          </w:cols>
          <w:pgMar w:left="235" w:top="528" w:right="219" w:bottom="1440" w:gutter="0" w:footer="0" w:header="0"/>
        </w:sectPr>
      </w:pPr>
    </w:p>
    <w:bookmarkStart w:id="45" w:name="page46"/>
    <w:bookmarkEnd w:id="45"/>
    <w:p>
      <w:pPr>
        <w:ind w:left="5"/>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ind w:left="5"/>
        <w:spacing w:after="0"/>
        <w:rPr>
          <w:sz w:val="20"/>
          <w:szCs w:val="20"/>
          <w:color w:val="auto"/>
        </w:rPr>
      </w:pPr>
      <w:r>
        <w:rPr>
          <w:rFonts w:ascii="Arial" w:cs="Arial" w:eastAsia="Arial" w:hAnsi="Arial"/>
          <w:sz w:val="15"/>
          <w:szCs w:val="15"/>
          <w:u w:val="single" w:color="auto"/>
          <w:color w:val="325889"/>
        </w:rPr>
        <w:t>EXECUTIVE COMPENSATION</w:t>
      </w:r>
    </w:p>
    <w:p>
      <w:pPr>
        <w:spacing w:after="0" w:line="167"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325889"/>
        </w:rPr>
        <w:t>2016 Nonqualified Deferred Compensation</w:t>
      </w:r>
    </w:p>
    <w:p>
      <w:pPr>
        <w:spacing w:after="0" w:line="212" w:lineRule="exact"/>
        <w:rPr>
          <w:sz w:val="20"/>
          <w:szCs w:val="20"/>
          <w:color w:val="auto"/>
        </w:rPr>
      </w:pPr>
    </w:p>
    <w:p>
      <w:pPr>
        <w:ind w:left="5" w:right="40"/>
        <w:spacing w:after="0" w:line="250" w:lineRule="auto"/>
        <w:rPr>
          <w:sz w:val="20"/>
          <w:szCs w:val="20"/>
          <w:color w:val="auto"/>
        </w:rPr>
      </w:pPr>
      <w:r>
        <w:rPr>
          <w:rFonts w:ascii="Arial" w:cs="Arial" w:eastAsia="Arial" w:hAnsi="Arial"/>
          <w:sz w:val="15"/>
          <w:szCs w:val="15"/>
          <w:color w:val="auto"/>
        </w:rPr>
        <w:t>The following table sets forth certain information regarding non-tax qualified compensation deferred during the year ended December 31, 2016. All of the information below relates to notional stock units that we have granted to certain of our named executive officers pursuant to employment agreements we have entered into with them. Pursuant to these employment agreements, we have agreed to grant notional stock units with a specified value to certain of our named executive officers each year, which are subject to vesting based on continued employment for the following year. Once vested, these notional stock units represent a contingent right to receive the value of one share of our common stock. Under the terms of the deferred compensation agreements, each participant is also entitled to dividend equivalent rights, to be paid in cash on a current basis, equal to the amount per share of any cash dividend we declare, multiplied by the total number of notional units held by such participant as of the record date for such dividend. Vested notional stock units are settled in cash no later than 30 days following the earliest of (i) the executive’s death, (ii) the date of the executive’s separation from service with us and (iii) the effective date of a change in control.</w:t>
      </w:r>
    </w:p>
    <w:p>
      <w:pPr>
        <w:spacing w:after="0" w:line="159" w:lineRule="exact"/>
        <w:rPr>
          <w:sz w:val="20"/>
          <w:szCs w:val="20"/>
          <w:color w:val="auto"/>
        </w:rPr>
      </w:pPr>
    </w:p>
    <w:tbl>
      <w:tblPr>
        <w:tblLayout w:type="fixed"/>
        <w:tblInd w:w="5" w:type="dxa"/>
        <w:tblCellMar>
          <w:top w:w="0" w:type="dxa"/>
          <w:left w:w="0" w:type="dxa"/>
          <w:bottom w:w="0" w:type="dxa"/>
          <w:right w:w="0" w:type="dxa"/>
        </w:tblCellMar>
      </w:tblPr>
      <w:tr>
        <w:trPr>
          <w:trHeight w:val="157"/>
        </w:trPr>
        <w:tc>
          <w:tcPr>
            <w:tcW w:w="5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325889"/>
              </w:rPr>
              <w:t>Executive</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325889"/>
              </w:rPr>
              <w:t>Registrant</w:t>
            </w:r>
          </w:p>
        </w:tc>
        <w:tc>
          <w:tcPr>
            <w:tcW w:w="26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325889"/>
              </w:rPr>
              <w:t>Aggregate</w:t>
            </w:r>
          </w:p>
        </w:tc>
        <w:tc>
          <w:tcPr>
            <w:tcW w:w="22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325889"/>
              </w:rPr>
              <w:t>Aggregate</w:t>
            </w:r>
          </w:p>
        </w:tc>
        <w:tc>
          <w:tcPr>
            <w:tcW w:w="3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325889"/>
              </w:rPr>
              <w:t>Aggregate</w:t>
            </w:r>
          </w:p>
        </w:tc>
      </w:tr>
      <w:tr>
        <w:trPr>
          <w:trHeight w:val="131"/>
        </w:trPr>
        <w:tc>
          <w:tcPr>
            <w:tcW w:w="5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3"/>
          </w:tcPr>
          <w:p>
            <w:pPr>
              <w:jc w:val="right"/>
              <w:ind w:right="140"/>
              <w:spacing w:after="0" w:line="131" w:lineRule="exact"/>
              <w:rPr>
                <w:sz w:val="20"/>
                <w:szCs w:val="20"/>
                <w:color w:val="auto"/>
              </w:rPr>
            </w:pPr>
            <w:r>
              <w:rPr>
                <w:rFonts w:ascii="Arial" w:cs="Arial" w:eastAsia="Arial" w:hAnsi="Arial"/>
                <w:sz w:val="12"/>
                <w:szCs w:val="12"/>
                <w:b w:val="1"/>
                <w:bCs w:val="1"/>
                <w:color w:val="325889"/>
              </w:rPr>
              <w:t>Contributions</w:t>
            </w:r>
          </w:p>
        </w:tc>
        <w:tc>
          <w:tcPr>
            <w:tcW w:w="940" w:type="dxa"/>
            <w:vAlign w:val="bottom"/>
            <w:gridSpan w:val="2"/>
          </w:tcPr>
          <w:p>
            <w:pPr>
              <w:jc w:val="right"/>
              <w:ind w:right="140"/>
              <w:spacing w:after="0" w:line="131" w:lineRule="exact"/>
              <w:rPr>
                <w:sz w:val="20"/>
                <w:szCs w:val="20"/>
                <w:color w:val="auto"/>
              </w:rPr>
            </w:pPr>
            <w:r>
              <w:rPr>
                <w:rFonts w:ascii="Arial" w:cs="Arial" w:eastAsia="Arial" w:hAnsi="Arial"/>
                <w:sz w:val="12"/>
                <w:szCs w:val="12"/>
                <w:b w:val="1"/>
                <w:bCs w:val="1"/>
                <w:color w:val="325889"/>
                <w:w w:val="99"/>
              </w:rPr>
              <w:t>Contributions</w:t>
            </w:r>
          </w:p>
        </w:tc>
        <w:tc>
          <w:tcPr>
            <w:tcW w:w="260" w:type="dxa"/>
            <w:vAlign w:val="bottom"/>
          </w:tcPr>
          <w:p>
            <w:pPr>
              <w:spacing w:after="0"/>
              <w:rPr>
                <w:sz w:val="11"/>
                <w:szCs w:val="11"/>
                <w:color w:val="auto"/>
              </w:rPr>
            </w:pPr>
          </w:p>
        </w:tc>
        <w:tc>
          <w:tcPr>
            <w:tcW w:w="900" w:type="dxa"/>
            <w:vAlign w:val="bottom"/>
            <w:gridSpan w:val="2"/>
          </w:tcPr>
          <w:p>
            <w:pPr>
              <w:jc w:val="right"/>
              <w:ind w:right="140"/>
              <w:spacing w:after="0" w:line="131" w:lineRule="exact"/>
              <w:rPr>
                <w:sz w:val="20"/>
                <w:szCs w:val="20"/>
                <w:color w:val="auto"/>
              </w:rPr>
            </w:pPr>
            <w:r>
              <w:rPr>
                <w:rFonts w:ascii="Arial" w:cs="Arial" w:eastAsia="Arial" w:hAnsi="Arial"/>
                <w:sz w:val="12"/>
                <w:szCs w:val="12"/>
                <w:b w:val="1"/>
                <w:bCs w:val="1"/>
                <w:color w:val="325889"/>
              </w:rPr>
              <w:t>Earnings</w:t>
            </w:r>
          </w:p>
        </w:tc>
        <w:tc>
          <w:tcPr>
            <w:tcW w:w="220" w:type="dxa"/>
            <w:vAlign w:val="bottom"/>
          </w:tcPr>
          <w:p>
            <w:pPr>
              <w:spacing w:after="0"/>
              <w:rPr>
                <w:sz w:val="11"/>
                <w:szCs w:val="11"/>
                <w:color w:val="auto"/>
              </w:rPr>
            </w:pPr>
          </w:p>
        </w:tc>
        <w:tc>
          <w:tcPr>
            <w:tcW w:w="980" w:type="dxa"/>
            <w:vAlign w:val="bottom"/>
            <w:gridSpan w:val="2"/>
          </w:tcPr>
          <w:p>
            <w:pPr>
              <w:jc w:val="right"/>
              <w:ind w:right="140"/>
              <w:spacing w:after="0" w:line="131" w:lineRule="exact"/>
              <w:rPr>
                <w:sz w:val="20"/>
                <w:szCs w:val="20"/>
                <w:color w:val="auto"/>
              </w:rPr>
            </w:pPr>
            <w:r>
              <w:rPr>
                <w:rFonts w:ascii="Arial" w:cs="Arial" w:eastAsia="Arial" w:hAnsi="Arial"/>
                <w:sz w:val="12"/>
                <w:szCs w:val="12"/>
                <w:b w:val="1"/>
                <w:bCs w:val="1"/>
                <w:color w:val="325889"/>
              </w:rPr>
              <w:t>Withdrawals/</w:t>
            </w:r>
          </w:p>
        </w:tc>
        <w:tc>
          <w:tcPr>
            <w:tcW w:w="320" w:type="dxa"/>
            <w:vAlign w:val="bottom"/>
          </w:tcPr>
          <w:p>
            <w:pPr>
              <w:spacing w:after="0"/>
              <w:rPr>
                <w:sz w:val="11"/>
                <w:szCs w:val="11"/>
                <w:color w:val="auto"/>
              </w:rPr>
            </w:pPr>
          </w:p>
        </w:tc>
        <w:tc>
          <w:tcPr>
            <w:tcW w:w="760" w:type="dxa"/>
            <w:vAlign w:val="bottom"/>
          </w:tcPr>
          <w:p>
            <w:pPr>
              <w:jc w:val="right"/>
              <w:spacing w:after="0" w:line="131" w:lineRule="exact"/>
              <w:rPr>
                <w:sz w:val="20"/>
                <w:szCs w:val="20"/>
                <w:color w:val="auto"/>
              </w:rPr>
            </w:pPr>
            <w:r>
              <w:rPr>
                <w:rFonts w:ascii="Arial" w:cs="Arial" w:eastAsia="Arial" w:hAnsi="Arial"/>
                <w:sz w:val="12"/>
                <w:szCs w:val="12"/>
                <w:b w:val="1"/>
                <w:bCs w:val="1"/>
                <w:color w:val="325889"/>
              </w:rPr>
              <w:t>Balance</w:t>
            </w:r>
          </w:p>
        </w:tc>
      </w:tr>
      <w:tr>
        <w:trPr>
          <w:trHeight w:val="178"/>
        </w:trPr>
        <w:tc>
          <w:tcPr>
            <w:tcW w:w="5780" w:type="dxa"/>
            <w:vAlign w:val="bottom"/>
          </w:tcPr>
          <w:p>
            <w:pPr>
              <w:spacing w:after="0"/>
              <w:rPr>
                <w:sz w:val="20"/>
                <w:szCs w:val="20"/>
                <w:color w:val="auto"/>
              </w:rPr>
            </w:pPr>
            <w:r>
              <w:rPr>
                <w:rFonts w:ascii="Arial" w:cs="Arial" w:eastAsia="Arial" w:hAnsi="Arial"/>
                <w:sz w:val="12"/>
                <w:szCs w:val="12"/>
                <w:b w:val="1"/>
                <w:bCs w:val="1"/>
                <w:color w:val="auto"/>
              </w:rPr>
              <w:t>Executive</w:t>
            </w:r>
          </w:p>
        </w:tc>
        <w:tc>
          <w:tcPr>
            <w:tcW w:w="140" w:type="dxa"/>
            <w:vAlign w:val="bottom"/>
          </w:tcPr>
          <w:p>
            <w:pPr>
              <w:spacing w:after="0"/>
              <w:rPr>
                <w:sz w:val="15"/>
                <w:szCs w:val="15"/>
                <w:color w:val="auto"/>
              </w:rPr>
            </w:pPr>
          </w:p>
        </w:tc>
        <w:tc>
          <w:tcPr>
            <w:tcW w:w="1140" w:type="dxa"/>
            <w:vAlign w:val="bottom"/>
            <w:gridSpan w:val="3"/>
          </w:tcPr>
          <w:p>
            <w:pPr>
              <w:jc w:val="right"/>
              <w:ind w:right="140"/>
              <w:spacing w:after="0" w:line="178" w:lineRule="exact"/>
              <w:rPr>
                <w:sz w:val="20"/>
                <w:szCs w:val="20"/>
                <w:color w:val="auto"/>
              </w:rPr>
            </w:pPr>
            <w:r>
              <w:rPr>
                <w:rFonts w:ascii="Arial" w:cs="Arial" w:eastAsia="Arial" w:hAnsi="Arial"/>
                <w:sz w:val="12"/>
                <w:szCs w:val="12"/>
                <w:b w:val="1"/>
                <w:bCs w:val="1"/>
                <w:color w:val="325889"/>
                <w:w w:val="92"/>
              </w:rPr>
              <w:t>in Last FY ($)</w:t>
            </w:r>
            <w:r>
              <w:rPr>
                <w:rFonts w:ascii="Arial" w:cs="Arial" w:eastAsia="Arial" w:hAnsi="Arial"/>
                <w:sz w:val="19"/>
                <w:szCs w:val="19"/>
                <w:b w:val="1"/>
                <w:bCs w:val="1"/>
                <w:color w:val="325889"/>
                <w:w w:val="92"/>
                <w:vertAlign w:val="superscript"/>
              </w:rPr>
              <w:t>(1)(2)</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325889"/>
              </w:rPr>
              <w:t>in Last FY ($)</w:t>
            </w:r>
          </w:p>
        </w:tc>
        <w:tc>
          <w:tcPr>
            <w:tcW w:w="1160" w:type="dxa"/>
            <w:vAlign w:val="bottom"/>
            <w:gridSpan w:val="3"/>
          </w:tcPr>
          <w:p>
            <w:pPr>
              <w:ind w:left="20"/>
              <w:spacing w:after="0" w:line="178" w:lineRule="exact"/>
              <w:rPr>
                <w:sz w:val="20"/>
                <w:szCs w:val="20"/>
                <w:color w:val="auto"/>
              </w:rPr>
            </w:pPr>
            <w:r>
              <w:rPr>
                <w:rFonts w:ascii="Arial" w:cs="Arial" w:eastAsia="Arial" w:hAnsi="Arial"/>
                <w:sz w:val="12"/>
                <w:szCs w:val="12"/>
                <w:b w:val="1"/>
                <w:bCs w:val="1"/>
                <w:color w:val="325889"/>
              </w:rPr>
              <w:t>in Last FY ($)</w:t>
            </w:r>
            <w:r>
              <w:rPr>
                <w:rFonts w:ascii="Arial" w:cs="Arial" w:eastAsia="Arial" w:hAnsi="Arial"/>
                <w:sz w:val="19"/>
                <w:szCs w:val="19"/>
                <w:b w:val="1"/>
                <w:bCs w:val="1"/>
                <w:color w:val="325889"/>
                <w:vertAlign w:val="superscript"/>
              </w:rPr>
              <w:t>(2)(3)</w:t>
            </w:r>
          </w:p>
        </w:tc>
        <w:tc>
          <w:tcPr>
            <w:tcW w:w="1200" w:type="dxa"/>
            <w:vAlign w:val="bottom"/>
            <w:gridSpan w:val="3"/>
          </w:tcPr>
          <w:p>
            <w:pPr>
              <w:ind w:left="20"/>
              <w:spacing w:after="0" w:line="178" w:lineRule="exact"/>
              <w:rPr>
                <w:sz w:val="20"/>
                <w:szCs w:val="20"/>
                <w:color w:val="auto"/>
              </w:rPr>
            </w:pPr>
            <w:r>
              <w:rPr>
                <w:rFonts w:ascii="Arial" w:cs="Arial" w:eastAsia="Arial" w:hAnsi="Arial"/>
                <w:sz w:val="12"/>
                <w:szCs w:val="12"/>
                <w:b w:val="1"/>
                <w:bCs w:val="1"/>
                <w:color w:val="325889"/>
              </w:rPr>
              <w:t>Distributions ($)</w:t>
            </w:r>
            <w:r>
              <w:rPr>
                <w:rFonts w:ascii="Arial" w:cs="Arial" w:eastAsia="Arial" w:hAnsi="Arial"/>
                <w:sz w:val="19"/>
                <w:szCs w:val="19"/>
                <w:b w:val="1"/>
                <w:bCs w:val="1"/>
                <w:color w:val="325889"/>
                <w:vertAlign w:val="superscript"/>
              </w:rPr>
              <w:t>(4)</w:t>
            </w:r>
          </w:p>
        </w:tc>
        <w:tc>
          <w:tcPr>
            <w:tcW w:w="1080" w:type="dxa"/>
            <w:vAlign w:val="bottom"/>
            <w:gridSpan w:val="2"/>
          </w:tcPr>
          <w:p>
            <w:pPr>
              <w:jc w:val="right"/>
              <w:spacing w:after="0" w:line="178" w:lineRule="exact"/>
              <w:rPr>
                <w:sz w:val="20"/>
                <w:szCs w:val="20"/>
                <w:color w:val="auto"/>
              </w:rPr>
            </w:pPr>
            <w:r>
              <w:rPr>
                <w:rFonts w:ascii="Arial" w:cs="Arial" w:eastAsia="Arial" w:hAnsi="Arial"/>
                <w:sz w:val="12"/>
                <w:szCs w:val="12"/>
                <w:b w:val="1"/>
                <w:bCs w:val="1"/>
                <w:color w:val="325889"/>
                <w:w w:val="92"/>
              </w:rPr>
              <w:t>at Last FYE ($)</w:t>
            </w:r>
            <w:r>
              <w:rPr>
                <w:rFonts w:ascii="Arial" w:cs="Arial" w:eastAsia="Arial" w:hAnsi="Arial"/>
                <w:sz w:val="19"/>
                <w:szCs w:val="19"/>
                <w:b w:val="1"/>
                <w:bCs w:val="1"/>
                <w:color w:val="325889"/>
                <w:w w:val="92"/>
                <w:vertAlign w:val="superscript"/>
              </w:rPr>
              <w:t>(</w:t>
            </w:r>
            <w:r>
              <w:rPr>
                <w:rFonts w:ascii="Arial" w:cs="Arial" w:eastAsia="Arial" w:hAnsi="Arial"/>
                <w:sz w:val="19"/>
                <w:szCs w:val="19"/>
                <w:color w:val="325889"/>
                <w:w w:val="92"/>
                <w:vertAlign w:val="superscript"/>
              </w:rPr>
              <w:t>2</w:t>
            </w:r>
            <w:r>
              <w:rPr>
                <w:rFonts w:ascii="Arial" w:cs="Arial" w:eastAsia="Arial" w:hAnsi="Arial"/>
                <w:sz w:val="19"/>
                <w:szCs w:val="19"/>
                <w:b w:val="1"/>
                <w:bCs w:val="1"/>
                <w:color w:val="325889"/>
                <w:w w:val="92"/>
                <w:vertAlign w:val="superscript"/>
              </w:rPr>
              <w:t>)(</w:t>
            </w:r>
            <w:r>
              <w:rPr>
                <w:rFonts w:ascii="Arial" w:cs="Arial" w:eastAsia="Arial" w:hAnsi="Arial"/>
                <w:sz w:val="19"/>
                <w:szCs w:val="19"/>
                <w:color w:val="325889"/>
                <w:w w:val="92"/>
                <w:vertAlign w:val="superscript"/>
              </w:rPr>
              <w:t>5</w:t>
            </w:r>
            <w:r>
              <w:rPr>
                <w:rFonts w:ascii="Arial" w:cs="Arial" w:eastAsia="Arial" w:hAnsi="Arial"/>
                <w:sz w:val="19"/>
                <w:szCs w:val="19"/>
                <w:b w:val="1"/>
                <w:bCs w:val="1"/>
                <w:color w:val="325889"/>
                <w:w w:val="92"/>
                <w:vertAlign w:val="superscript"/>
              </w:rPr>
              <w:t>)</w:t>
            </w:r>
          </w:p>
        </w:tc>
      </w:tr>
      <w:tr>
        <w:trPr>
          <w:trHeight w:val="24"/>
        </w:trPr>
        <w:tc>
          <w:tcPr>
            <w:tcW w:w="578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325889"/>
          </w:tcPr>
          <w:p>
            <w:pPr>
              <w:spacing w:after="0"/>
              <w:rPr>
                <w:sz w:val="2"/>
                <w:szCs w:val="2"/>
                <w:color w:val="auto"/>
              </w:rPr>
            </w:pPr>
          </w:p>
        </w:tc>
        <w:tc>
          <w:tcPr>
            <w:tcW w:w="64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325889"/>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325889"/>
          </w:tcPr>
          <w:p>
            <w:pPr>
              <w:spacing w:after="0"/>
              <w:rPr>
                <w:sz w:val="2"/>
                <w:szCs w:val="2"/>
                <w:color w:val="auto"/>
              </w:rPr>
            </w:pPr>
          </w:p>
        </w:tc>
        <w:tc>
          <w:tcPr>
            <w:tcW w:w="76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325889"/>
          </w:tcPr>
          <w:p>
            <w:pPr>
              <w:spacing w:after="0"/>
              <w:rPr>
                <w:sz w:val="2"/>
                <w:szCs w:val="2"/>
                <w:color w:val="auto"/>
              </w:rPr>
            </w:pPr>
          </w:p>
        </w:tc>
        <w:tc>
          <w:tcPr>
            <w:tcW w:w="84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325889"/>
          </w:tcPr>
          <w:p>
            <w:pPr>
              <w:spacing w:after="0"/>
              <w:rPr>
                <w:sz w:val="2"/>
                <w:szCs w:val="2"/>
                <w:color w:val="auto"/>
              </w:rPr>
            </w:pPr>
          </w:p>
        </w:tc>
        <w:tc>
          <w:tcPr>
            <w:tcW w:w="760" w:type="dxa"/>
            <w:vAlign w:val="bottom"/>
            <w:shd w:val="clear" w:color="auto" w:fill="325889"/>
          </w:tcPr>
          <w:p>
            <w:pPr>
              <w:spacing w:after="0"/>
              <w:rPr>
                <w:sz w:val="2"/>
                <w:szCs w:val="2"/>
                <w:color w:val="auto"/>
              </w:rPr>
            </w:pPr>
          </w:p>
        </w:tc>
      </w:tr>
      <w:tr>
        <w:trPr>
          <w:trHeight w:val="207"/>
        </w:trPr>
        <w:tc>
          <w:tcPr>
            <w:tcW w:w="5780" w:type="dxa"/>
            <w:vAlign w:val="bottom"/>
          </w:tcPr>
          <w:p>
            <w:pPr>
              <w:spacing w:after="0"/>
              <w:rPr>
                <w:sz w:val="20"/>
                <w:szCs w:val="20"/>
                <w:color w:val="auto"/>
              </w:rPr>
            </w:pPr>
            <w:r>
              <w:rPr>
                <w:rFonts w:ascii="Arial" w:cs="Arial" w:eastAsia="Arial" w:hAnsi="Arial"/>
                <w:sz w:val="15"/>
                <w:szCs w:val="15"/>
                <w:color w:val="auto"/>
              </w:rPr>
              <w:t>Marc Holliday</w:t>
            </w:r>
          </w:p>
        </w:tc>
        <w:tc>
          <w:tcPr>
            <w:tcW w:w="140" w:type="dxa"/>
            <w:vAlign w:val="bottom"/>
          </w:tcPr>
          <w:p>
            <w:pPr>
              <w:spacing w:after="0"/>
              <w:rPr>
                <w:sz w:val="17"/>
                <w:szCs w:val="17"/>
                <w:color w:val="auto"/>
              </w:rPr>
            </w:pPr>
          </w:p>
        </w:tc>
        <w:tc>
          <w:tcPr>
            <w:tcW w:w="360" w:type="dxa"/>
            <w:vAlign w:val="bottom"/>
          </w:tcPr>
          <w:p>
            <w:pPr>
              <w:jc w:val="right"/>
              <w:ind w:right="3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479,771</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ind w:left="2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-18,809</w:t>
            </w:r>
          </w:p>
        </w:tc>
        <w:tc>
          <w:tcPr>
            <w:tcW w:w="220" w:type="dxa"/>
            <w:vAlign w:val="bottom"/>
          </w:tcPr>
          <w:p>
            <w:pPr>
              <w:ind w:left="2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128,735</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4,140,783</w:t>
            </w:r>
          </w:p>
        </w:tc>
      </w:tr>
      <w:tr>
        <w:trPr>
          <w:trHeight w:val="20"/>
        </w:trPr>
        <w:tc>
          <w:tcPr>
            <w:tcW w:w="57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98A3B8"/>
          </w:tcPr>
          <w:p>
            <w:pPr>
              <w:spacing w:after="0" w:line="20" w:lineRule="exact"/>
              <w:rPr>
                <w:sz w:val="1"/>
                <w:szCs w:val="1"/>
                <w:color w:val="auto"/>
              </w:rPr>
            </w:pPr>
          </w:p>
        </w:tc>
        <w:tc>
          <w:tcPr>
            <w:tcW w:w="64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98A3B8"/>
          </w:tcPr>
          <w:p>
            <w:pPr>
              <w:spacing w:after="0" w:line="20" w:lineRule="exact"/>
              <w:rPr>
                <w:sz w:val="1"/>
                <w:szCs w:val="1"/>
                <w:color w:val="auto"/>
              </w:rPr>
            </w:pPr>
          </w:p>
        </w:tc>
        <w:tc>
          <w:tcPr>
            <w:tcW w:w="7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98A3B8"/>
          </w:tcPr>
          <w:p>
            <w:pPr>
              <w:spacing w:after="0" w:line="20" w:lineRule="exact"/>
              <w:rPr>
                <w:sz w:val="1"/>
                <w:szCs w:val="1"/>
                <w:color w:val="auto"/>
              </w:rPr>
            </w:pPr>
          </w:p>
        </w:tc>
        <w:tc>
          <w:tcPr>
            <w:tcW w:w="84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98A3B8"/>
          </w:tcPr>
          <w:p>
            <w:pPr>
              <w:spacing w:after="0" w:line="20" w:lineRule="exact"/>
              <w:rPr>
                <w:sz w:val="1"/>
                <w:szCs w:val="1"/>
                <w:color w:val="auto"/>
              </w:rPr>
            </w:pPr>
          </w:p>
        </w:tc>
        <w:tc>
          <w:tcPr>
            <w:tcW w:w="760" w:type="dxa"/>
            <w:vAlign w:val="bottom"/>
            <w:shd w:val="clear" w:color="auto" w:fill="98A3B8"/>
          </w:tcPr>
          <w:p>
            <w:pPr>
              <w:spacing w:after="0" w:line="20" w:lineRule="exact"/>
              <w:rPr>
                <w:sz w:val="1"/>
                <w:szCs w:val="1"/>
                <w:color w:val="auto"/>
              </w:rPr>
            </w:pPr>
          </w:p>
        </w:tc>
      </w:tr>
      <w:tr>
        <w:trPr>
          <w:trHeight w:val="205"/>
        </w:trPr>
        <w:tc>
          <w:tcPr>
            <w:tcW w:w="5780" w:type="dxa"/>
            <w:vAlign w:val="bottom"/>
          </w:tcPr>
          <w:p>
            <w:pPr>
              <w:spacing w:after="0"/>
              <w:rPr>
                <w:sz w:val="20"/>
                <w:szCs w:val="20"/>
                <w:color w:val="auto"/>
              </w:rPr>
            </w:pPr>
            <w:r>
              <w:rPr>
                <w:rFonts w:ascii="Arial" w:cs="Arial" w:eastAsia="Arial" w:hAnsi="Arial"/>
                <w:sz w:val="15"/>
                <w:szCs w:val="15"/>
                <w:color w:val="auto"/>
              </w:rPr>
              <w:t>Stephen L. Green</w:t>
            </w:r>
          </w:p>
        </w:tc>
        <w:tc>
          <w:tcPr>
            <w:tcW w:w="140" w:type="dxa"/>
            <w:vAlign w:val="bottom"/>
          </w:tcPr>
          <w:p>
            <w:pPr>
              <w:spacing w:after="0"/>
              <w:rPr>
                <w:sz w:val="17"/>
                <w:szCs w:val="17"/>
                <w:color w:val="auto"/>
              </w:rPr>
            </w:pPr>
          </w:p>
        </w:tc>
        <w:tc>
          <w:tcPr>
            <w:tcW w:w="360" w:type="dxa"/>
            <w:vAlign w:val="bottom"/>
          </w:tcPr>
          <w:p>
            <w:pPr>
              <w:jc w:val="right"/>
              <w:ind w:right="3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143,364</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ind w:left="2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-27,562</w:t>
            </w:r>
          </w:p>
        </w:tc>
        <w:tc>
          <w:tcPr>
            <w:tcW w:w="220" w:type="dxa"/>
            <w:vAlign w:val="bottom"/>
          </w:tcPr>
          <w:p>
            <w:pPr>
              <w:ind w:left="2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39,303</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1,467,735</w:t>
            </w:r>
          </w:p>
        </w:tc>
      </w:tr>
      <w:tr>
        <w:trPr>
          <w:trHeight w:val="20"/>
        </w:trPr>
        <w:tc>
          <w:tcPr>
            <w:tcW w:w="57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98A3B8"/>
          </w:tcPr>
          <w:p>
            <w:pPr>
              <w:spacing w:after="0" w:line="20" w:lineRule="exact"/>
              <w:rPr>
                <w:sz w:val="1"/>
                <w:szCs w:val="1"/>
                <w:color w:val="auto"/>
              </w:rPr>
            </w:pPr>
          </w:p>
        </w:tc>
        <w:tc>
          <w:tcPr>
            <w:tcW w:w="64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98A3B8"/>
          </w:tcPr>
          <w:p>
            <w:pPr>
              <w:spacing w:after="0" w:line="20" w:lineRule="exact"/>
              <w:rPr>
                <w:sz w:val="1"/>
                <w:szCs w:val="1"/>
                <w:color w:val="auto"/>
              </w:rPr>
            </w:pPr>
          </w:p>
        </w:tc>
        <w:tc>
          <w:tcPr>
            <w:tcW w:w="7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98A3B8"/>
          </w:tcPr>
          <w:p>
            <w:pPr>
              <w:spacing w:after="0" w:line="20" w:lineRule="exact"/>
              <w:rPr>
                <w:sz w:val="1"/>
                <w:szCs w:val="1"/>
                <w:color w:val="auto"/>
              </w:rPr>
            </w:pPr>
          </w:p>
        </w:tc>
        <w:tc>
          <w:tcPr>
            <w:tcW w:w="84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98A3B8"/>
          </w:tcPr>
          <w:p>
            <w:pPr>
              <w:spacing w:after="0" w:line="20" w:lineRule="exact"/>
              <w:rPr>
                <w:sz w:val="1"/>
                <w:szCs w:val="1"/>
                <w:color w:val="auto"/>
              </w:rPr>
            </w:pPr>
          </w:p>
        </w:tc>
        <w:tc>
          <w:tcPr>
            <w:tcW w:w="760" w:type="dxa"/>
            <w:vAlign w:val="bottom"/>
            <w:shd w:val="clear" w:color="auto" w:fill="98A3B8"/>
          </w:tcPr>
          <w:p>
            <w:pPr>
              <w:spacing w:after="0" w:line="20" w:lineRule="exact"/>
              <w:rPr>
                <w:sz w:val="1"/>
                <w:szCs w:val="1"/>
                <w:color w:val="auto"/>
              </w:rPr>
            </w:pPr>
          </w:p>
        </w:tc>
      </w:tr>
      <w:tr>
        <w:trPr>
          <w:trHeight w:val="205"/>
        </w:trPr>
        <w:tc>
          <w:tcPr>
            <w:tcW w:w="5780" w:type="dxa"/>
            <w:vAlign w:val="bottom"/>
          </w:tcPr>
          <w:p>
            <w:pPr>
              <w:spacing w:after="0"/>
              <w:rPr>
                <w:sz w:val="20"/>
                <w:szCs w:val="20"/>
                <w:color w:val="auto"/>
              </w:rPr>
            </w:pPr>
            <w:r>
              <w:rPr>
                <w:rFonts w:ascii="Arial" w:cs="Arial" w:eastAsia="Arial" w:hAnsi="Arial"/>
                <w:sz w:val="15"/>
                <w:szCs w:val="15"/>
                <w:color w:val="auto"/>
              </w:rPr>
              <w:t>Andrew Mathias</w:t>
            </w:r>
          </w:p>
        </w:tc>
        <w:tc>
          <w:tcPr>
            <w:tcW w:w="140" w:type="dxa"/>
            <w:vAlign w:val="bottom"/>
          </w:tcPr>
          <w:p>
            <w:pPr>
              <w:spacing w:after="0"/>
              <w:rPr>
                <w:sz w:val="17"/>
                <w:szCs w:val="17"/>
                <w:color w:val="auto"/>
              </w:rPr>
            </w:pPr>
          </w:p>
        </w:tc>
        <w:tc>
          <w:tcPr>
            <w:tcW w:w="360" w:type="dxa"/>
            <w:vAlign w:val="bottom"/>
          </w:tcPr>
          <w:p>
            <w:pPr>
              <w:jc w:val="right"/>
              <w:ind w:right="3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477,845</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ind w:left="2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-46,553</w:t>
            </w:r>
          </w:p>
        </w:tc>
        <w:tc>
          <w:tcPr>
            <w:tcW w:w="220" w:type="dxa"/>
            <w:vAlign w:val="bottom"/>
          </w:tcPr>
          <w:p>
            <w:pPr>
              <w:ind w:left="2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79,825</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2,980,963</w:t>
            </w:r>
          </w:p>
        </w:tc>
      </w:tr>
      <w:tr>
        <w:trPr>
          <w:trHeight w:val="20"/>
        </w:trPr>
        <w:tc>
          <w:tcPr>
            <w:tcW w:w="57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98A3B8"/>
          </w:tcPr>
          <w:p>
            <w:pPr>
              <w:spacing w:after="0" w:line="20" w:lineRule="exact"/>
              <w:rPr>
                <w:sz w:val="1"/>
                <w:szCs w:val="1"/>
                <w:color w:val="auto"/>
              </w:rPr>
            </w:pPr>
          </w:p>
        </w:tc>
        <w:tc>
          <w:tcPr>
            <w:tcW w:w="64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98A3B8"/>
          </w:tcPr>
          <w:p>
            <w:pPr>
              <w:spacing w:after="0" w:line="20" w:lineRule="exact"/>
              <w:rPr>
                <w:sz w:val="1"/>
                <w:szCs w:val="1"/>
                <w:color w:val="auto"/>
              </w:rPr>
            </w:pPr>
          </w:p>
        </w:tc>
        <w:tc>
          <w:tcPr>
            <w:tcW w:w="7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98A3B8"/>
          </w:tcPr>
          <w:p>
            <w:pPr>
              <w:spacing w:after="0" w:line="20" w:lineRule="exact"/>
              <w:rPr>
                <w:sz w:val="1"/>
                <w:szCs w:val="1"/>
                <w:color w:val="auto"/>
              </w:rPr>
            </w:pPr>
          </w:p>
        </w:tc>
        <w:tc>
          <w:tcPr>
            <w:tcW w:w="84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98A3B8"/>
          </w:tcPr>
          <w:p>
            <w:pPr>
              <w:spacing w:after="0" w:line="20" w:lineRule="exact"/>
              <w:rPr>
                <w:sz w:val="1"/>
                <w:szCs w:val="1"/>
                <w:color w:val="auto"/>
              </w:rPr>
            </w:pPr>
          </w:p>
        </w:tc>
        <w:tc>
          <w:tcPr>
            <w:tcW w:w="760" w:type="dxa"/>
            <w:vAlign w:val="bottom"/>
            <w:shd w:val="clear" w:color="auto" w:fill="98A3B8"/>
          </w:tcPr>
          <w:p>
            <w:pPr>
              <w:spacing w:after="0" w:line="20" w:lineRule="exact"/>
              <w:rPr>
                <w:sz w:val="1"/>
                <w:szCs w:val="1"/>
                <w:color w:val="auto"/>
              </w:rPr>
            </w:pPr>
          </w:p>
        </w:tc>
      </w:tr>
      <w:tr>
        <w:trPr>
          <w:trHeight w:val="205"/>
        </w:trPr>
        <w:tc>
          <w:tcPr>
            <w:tcW w:w="5780" w:type="dxa"/>
            <w:vAlign w:val="bottom"/>
          </w:tcPr>
          <w:p>
            <w:pPr>
              <w:spacing w:after="0"/>
              <w:rPr>
                <w:sz w:val="20"/>
                <w:szCs w:val="20"/>
                <w:color w:val="auto"/>
              </w:rPr>
            </w:pPr>
            <w:r>
              <w:rPr>
                <w:rFonts w:ascii="Arial" w:cs="Arial" w:eastAsia="Arial" w:hAnsi="Arial"/>
                <w:sz w:val="15"/>
                <w:szCs w:val="15"/>
                <w:color w:val="auto"/>
              </w:rPr>
              <w:t>Matthew J. DiLiberto</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57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98A3B8"/>
          </w:tcPr>
          <w:p>
            <w:pPr>
              <w:spacing w:after="0" w:line="20" w:lineRule="exact"/>
              <w:rPr>
                <w:sz w:val="1"/>
                <w:szCs w:val="1"/>
                <w:color w:val="auto"/>
              </w:rPr>
            </w:pPr>
          </w:p>
        </w:tc>
        <w:tc>
          <w:tcPr>
            <w:tcW w:w="64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98A3B8"/>
          </w:tcPr>
          <w:p>
            <w:pPr>
              <w:spacing w:after="0" w:line="20" w:lineRule="exact"/>
              <w:rPr>
                <w:sz w:val="1"/>
                <w:szCs w:val="1"/>
                <w:color w:val="auto"/>
              </w:rPr>
            </w:pPr>
          </w:p>
        </w:tc>
        <w:tc>
          <w:tcPr>
            <w:tcW w:w="7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98A3B8"/>
          </w:tcPr>
          <w:p>
            <w:pPr>
              <w:spacing w:after="0" w:line="20" w:lineRule="exact"/>
              <w:rPr>
                <w:sz w:val="1"/>
                <w:szCs w:val="1"/>
                <w:color w:val="auto"/>
              </w:rPr>
            </w:pPr>
          </w:p>
        </w:tc>
        <w:tc>
          <w:tcPr>
            <w:tcW w:w="84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98A3B8"/>
          </w:tcPr>
          <w:p>
            <w:pPr>
              <w:spacing w:after="0" w:line="20" w:lineRule="exact"/>
              <w:rPr>
                <w:sz w:val="1"/>
                <w:szCs w:val="1"/>
                <w:color w:val="auto"/>
              </w:rPr>
            </w:pPr>
          </w:p>
        </w:tc>
        <w:tc>
          <w:tcPr>
            <w:tcW w:w="760" w:type="dxa"/>
            <w:vAlign w:val="bottom"/>
            <w:shd w:val="clear" w:color="auto" w:fill="98A3B8"/>
          </w:tcPr>
          <w:p>
            <w:pPr>
              <w:spacing w:after="0" w:line="20" w:lineRule="exact"/>
              <w:rPr>
                <w:sz w:val="1"/>
                <w:szCs w:val="1"/>
                <w:color w:val="auto"/>
              </w:rPr>
            </w:pPr>
          </w:p>
        </w:tc>
      </w:tr>
      <w:tr>
        <w:trPr>
          <w:trHeight w:val="205"/>
        </w:trPr>
        <w:tc>
          <w:tcPr>
            <w:tcW w:w="5780" w:type="dxa"/>
            <w:vAlign w:val="bottom"/>
          </w:tcPr>
          <w:p>
            <w:pPr>
              <w:spacing w:after="0"/>
              <w:rPr>
                <w:sz w:val="20"/>
                <w:szCs w:val="20"/>
                <w:color w:val="auto"/>
              </w:rPr>
            </w:pPr>
            <w:r>
              <w:rPr>
                <w:rFonts w:ascii="Arial" w:cs="Arial" w:eastAsia="Arial" w:hAnsi="Arial"/>
                <w:sz w:val="15"/>
                <w:szCs w:val="15"/>
                <w:color w:val="auto"/>
              </w:rPr>
              <w:t>Andrew S. Levine</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30"/>
        </w:trPr>
        <w:tc>
          <w:tcPr>
            <w:tcW w:w="578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325889"/>
          </w:tcPr>
          <w:p>
            <w:pPr>
              <w:spacing w:after="0"/>
              <w:rPr>
                <w:sz w:val="2"/>
                <w:szCs w:val="2"/>
                <w:color w:val="auto"/>
              </w:rPr>
            </w:pPr>
          </w:p>
        </w:tc>
        <w:tc>
          <w:tcPr>
            <w:tcW w:w="64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325889"/>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325889"/>
          </w:tcPr>
          <w:p>
            <w:pPr>
              <w:spacing w:after="0"/>
              <w:rPr>
                <w:sz w:val="2"/>
                <w:szCs w:val="2"/>
                <w:color w:val="auto"/>
              </w:rPr>
            </w:pPr>
          </w:p>
        </w:tc>
        <w:tc>
          <w:tcPr>
            <w:tcW w:w="76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325889"/>
          </w:tcPr>
          <w:p>
            <w:pPr>
              <w:spacing w:after="0"/>
              <w:rPr>
                <w:sz w:val="2"/>
                <w:szCs w:val="2"/>
                <w:color w:val="auto"/>
              </w:rPr>
            </w:pPr>
          </w:p>
        </w:tc>
        <w:tc>
          <w:tcPr>
            <w:tcW w:w="84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325889"/>
          </w:tcPr>
          <w:p>
            <w:pPr>
              <w:spacing w:after="0"/>
              <w:rPr>
                <w:sz w:val="2"/>
                <w:szCs w:val="2"/>
                <w:color w:val="auto"/>
              </w:rPr>
            </w:pPr>
          </w:p>
        </w:tc>
        <w:tc>
          <w:tcPr>
            <w:tcW w:w="760" w:type="dxa"/>
            <w:vAlign w:val="bottom"/>
            <w:shd w:val="clear" w:color="auto" w:fill="325889"/>
          </w:tcPr>
          <w:p>
            <w:pPr>
              <w:spacing w:after="0"/>
              <w:rPr>
                <w:sz w:val="2"/>
                <w:szCs w:val="2"/>
                <w:color w:val="auto"/>
              </w:rPr>
            </w:pPr>
          </w:p>
        </w:tc>
      </w:tr>
    </w:tbl>
    <w:p>
      <w:pPr>
        <w:spacing w:after="0" w:line="59" w:lineRule="exact"/>
        <w:rPr>
          <w:sz w:val="20"/>
          <w:szCs w:val="20"/>
          <w:color w:val="auto"/>
        </w:rPr>
      </w:pPr>
    </w:p>
    <w:p>
      <w:pPr>
        <w:ind w:left="305" w:hanging="305"/>
        <w:spacing w:after="0"/>
        <w:tabs>
          <w:tab w:leader="none" w:pos="305" w:val="left"/>
        </w:tabs>
        <w:numPr>
          <w:ilvl w:val="0"/>
          <w:numId w:val="59"/>
        </w:numPr>
        <w:rPr>
          <w:rFonts w:ascii="Arial" w:cs="Arial" w:eastAsia="Arial" w:hAnsi="Arial"/>
          <w:sz w:val="12"/>
          <w:szCs w:val="12"/>
          <w:color w:val="auto"/>
        </w:rPr>
      </w:pPr>
      <w:r>
        <w:rPr>
          <w:rFonts w:ascii="Arial" w:cs="Arial" w:eastAsia="Arial" w:hAnsi="Arial"/>
          <w:sz w:val="12"/>
          <w:szCs w:val="12"/>
          <w:color w:val="auto"/>
        </w:rPr>
        <w:t>Represents values as of the vesting dates for notional units that vested during 2016, which are reported in the 2016 Option Exercises and Stock Vested table.</w:t>
      </w:r>
    </w:p>
    <w:p>
      <w:pPr>
        <w:spacing w:after="0" w:line="51" w:lineRule="exact"/>
        <w:rPr>
          <w:rFonts w:ascii="Arial" w:cs="Arial" w:eastAsia="Arial" w:hAnsi="Arial"/>
          <w:sz w:val="12"/>
          <w:szCs w:val="12"/>
          <w:color w:val="auto"/>
        </w:rPr>
      </w:pPr>
    </w:p>
    <w:p>
      <w:pPr>
        <w:ind w:left="305" w:right="100" w:hanging="305"/>
        <w:spacing w:after="0" w:line="231" w:lineRule="auto"/>
        <w:tabs>
          <w:tab w:leader="none" w:pos="305" w:val="left"/>
        </w:tabs>
        <w:numPr>
          <w:ilvl w:val="0"/>
          <w:numId w:val="59"/>
        </w:numPr>
        <w:rPr>
          <w:rFonts w:ascii="Arial" w:cs="Arial" w:eastAsia="Arial" w:hAnsi="Arial"/>
          <w:sz w:val="12"/>
          <w:szCs w:val="12"/>
          <w:color w:val="auto"/>
        </w:rPr>
      </w:pPr>
      <w:r>
        <w:rPr>
          <w:rFonts w:ascii="Arial" w:cs="Arial" w:eastAsia="Arial" w:hAnsi="Arial"/>
          <w:sz w:val="12"/>
          <w:szCs w:val="12"/>
          <w:color w:val="auto"/>
        </w:rPr>
        <w:t>Awards of notional units constitute “Stock Awards” for purposes of the Summary Compensation Table, and, as a result, the full grant date fair value of these awards computed in accordance with ASC 718, as of the grant date of such awards, are included in the “Stock Awards” column of the Summary Compensation Table for the year in which they were granted. The right to receive dividend equivalents was factored into the determination of the grant date fair value, which means that the value of the dividend equivalents included in “Aggregate Earnings in Last FY” was effectively already included in the Summary Compensation Table.</w:t>
      </w:r>
    </w:p>
    <w:p>
      <w:pPr>
        <w:spacing w:after="0" w:line="50" w:lineRule="exact"/>
        <w:rPr>
          <w:rFonts w:ascii="Arial" w:cs="Arial" w:eastAsia="Arial" w:hAnsi="Arial"/>
          <w:sz w:val="12"/>
          <w:szCs w:val="12"/>
          <w:color w:val="auto"/>
        </w:rPr>
      </w:pPr>
    </w:p>
    <w:p>
      <w:pPr>
        <w:ind w:left="305" w:right="80" w:hanging="305"/>
        <w:spacing w:after="0" w:line="231" w:lineRule="auto"/>
        <w:tabs>
          <w:tab w:leader="none" w:pos="305" w:val="left"/>
        </w:tabs>
        <w:numPr>
          <w:ilvl w:val="0"/>
          <w:numId w:val="59"/>
        </w:numPr>
        <w:rPr>
          <w:rFonts w:ascii="Arial" w:cs="Arial" w:eastAsia="Arial" w:hAnsi="Arial"/>
          <w:sz w:val="12"/>
          <w:szCs w:val="12"/>
          <w:color w:val="auto"/>
        </w:rPr>
      </w:pPr>
      <w:r>
        <w:rPr>
          <w:rFonts w:ascii="Arial" w:cs="Arial" w:eastAsia="Arial" w:hAnsi="Arial"/>
          <w:sz w:val="12"/>
          <w:szCs w:val="12"/>
          <w:color w:val="auto"/>
        </w:rPr>
        <w:t>The amounts in this column represent the increase or decrease in value of vested notional units from December 31, 2015 through December 31, 2016, as calculated based on the closing stock price on the NYSE of one share of our common stock on December 31, 2015, or, for notional units that vested during 2016, the closing stock price on the NYSE of one share of our common stock on such vesting date, compared to the closing stock price on the NYSE of one share of our common stock on December 31, 2016, plus the aggregate value of dividend equivalent rights paid with respect to all vested and unvested notional units held by each executive during 2016.</w:t>
      </w:r>
    </w:p>
    <w:p>
      <w:pPr>
        <w:spacing w:after="0" w:line="50" w:lineRule="exact"/>
        <w:rPr>
          <w:rFonts w:ascii="Arial" w:cs="Arial" w:eastAsia="Arial" w:hAnsi="Arial"/>
          <w:sz w:val="12"/>
          <w:szCs w:val="12"/>
          <w:color w:val="auto"/>
        </w:rPr>
      </w:pPr>
    </w:p>
    <w:p>
      <w:pPr>
        <w:ind w:left="305" w:hanging="305"/>
        <w:spacing w:after="0"/>
        <w:tabs>
          <w:tab w:leader="none" w:pos="305" w:val="left"/>
        </w:tabs>
        <w:numPr>
          <w:ilvl w:val="0"/>
          <w:numId w:val="59"/>
        </w:numPr>
        <w:rPr>
          <w:rFonts w:ascii="Arial" w:cs="Arial" w:eastAsia="Arial" w:hAnsi="Arial"/>
          <w:sz w:val="12"/>
          <w:szCs w:val="12"/>
          <w:color w:val="auto"/>
        </w:rPr>
      </w:pPr>
      <w:r>
        <w:rPr>
          <w:rFonts w:ascii="Arial" w:cs="Arial" w:eastAsia="Arial" w:hAnsi="Arial"/>
          <w:sz w:val="12"/>
          <w:szCs w:val="12"/>
          <w:color w:val="auto"/>
        </w:rPr>
        <w:t>Represents the aggregate value of dividend equivalent rights paid with respect to all vested and unvested notional units held by each executive during 2016.</w:t>
      </w:r>
    </w:p>
    <w:p>
      <w:pPr>
        <w:spacing w:after="0" w:line="51" w:lineRule="exact"/>
        <w:rPr>
          <w:rFonts w:ascii="Arial" w:cs="Arial" w:eastAsia="Arial" w:hAnsi="Arial"/>
          <w:sz w:val="12"/>
          <w:szCs w:val="12"/>
          <w:color w:val="auto"/>
        </w:rPr>
      </w:pPr>
    </w:p>
    <w:p>
      <w:pPr>
        <w:ind w:left="305" w:hanging="305"/>
        <w:spacing w:after="0"/>
        <w:tabs>
          <w:tab w:leader="none" w:pos="305" w:val="left"/>
        </w:tabs>
        <w:numPr>
          <w:ilvl w:val="0"/>
          <w:numId w:val="59"/>
        </w:numPr>
        <w:rPr>
          <w:rFonts w:ascii="Arial" w:cs="Arial" w:eastAsia="Arial" w:hAnsi="Arial"/>
          <w:sz w:val="12"/>
          <w:szCs w:val="12"/>
          <w:color w:val="auto"/>
        </w:rPr>
      </w:pPr>
      <w:r>
        <w:rPr>
          <w:rFonts w:ascii="Arial" w:cs="Arial" w:eastAsia="Arial" w:hAnsi="Arial"/>
          <w:sz w:val="12"/>
          <w:szCs w:val="12"/>
          <w:color w:val="auto"/>
        </w:rPr>
        <w:t>Based on a per share price of $107.55, which was the closing stock price on the NYSE of one share of our common stock on December 31, 2016.</w:t>
      </w:r>
    </w:p>
    <w:p>
      <w:pPr>
        <w:spacing w:after="0" w:line="186" w:lineRule="exact"/>
        <w:rPr>
          <w:sz w:val="20"/>
          <w:szCs w:val="20"/>
          <w:color w:val="auto"/>
        </w:rPr>
      </w:pPr>
    </w:p>
    <w:p>
      <w:pPr>
        <w:ind w:left="305" w:hanging="305"/>
        <w:spacing w:after="0"/>
        <w:tabs>
          <w:tab w:leader="none" w:pos="305" w:val="left"/>
        </w:tabs>
        <w:numPr>
          <w:ilvl w:val="0"/>
          <w:numId w:val="60"/>
        </w:numPr>
        <w:rPr>
          <w:rFonts w:ascii="Arial" w:cs="Arial" w:eastAsia="Arial" w:hAnsi="Arial"/>
          <w:sz w:val="15"/>
          <w:szCs w:val="15"/>
          <w:color w:val="325889"/>
        </w:rPr>
      </w:pPr>
      <w:r>
        <w:rPr>
          <w:rFonts w:ascii="Arial" w:cs="Arial" w:eastAsia="Arial" w:hAnsi="Arial"/>
          <w:sz w:val="15"/>
          <w:szCs w:val="15"/>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83450" cy="203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5"/>
          </w:cols>
          <w:pgMar w:left="235" w:top="528" w:right="219" w:bottom="1440" w:gutter="0" w:footer="0" w:header="0"/>
        </w:sectPr>
      </w:pPr>
    </w:p>
    <w:bookmarkStart w:id="46" w:name="page47"/>
    <w:bookmarkEnd w:id="46"/>
    <w:p>
      <w:pPr>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325889"/>
        </w:rPr>
        <w:t>EXECUTIVE COMPENSATION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325889"/>
        </w:rPr>
        <w:t>Potential Payments Upon Termination or Change in Control</w:t>
      </w:r>
    </w:p>
    <w:p>
      <w:pPr>
        <w:spacing w:after="0" w:line="212" w:lineRule="exact"/>
        <w:rPr>
          <w:sz w:val="20"/>
          <w:szCs w:val="20"/>
          <w:color w:val="auto"/>
        </w:rPr>
      </w:pPr>
    </w:p>
    <w:p>
      <w:pPr>
        <w:ind w:right="120"/>
        <w:spacing w:after="0" w:line="253" w:lineRule="auto"/>
        <w:rPr>
          <w:sz w:val="20"/>
          <w:szCs w:val="20"/>
          <w:color w:val="auto"/>
        </w:rPr>
      </w:pPr>
      <w:r>
        <w:rPr>
          <w:rFonts w:ascii="Arial" w:cs="Arial" w:eastAsia="Arial" w:hAnsi="Arial"/>
          <w:sz w:val="15"/>
          <w:szCs w:val="15"/>
          <w:color w:val="auto"/>
        </w:rPr>
        <w:t>We have contractual arrangements with our named executive officers that provide for payments, acceleration of vesting or other benefits to our named executive officers upon a termination of employment in certain circumstances or upon a change in control. These include our employment agreements with our named executive officers and the terms of our 2014 Outperformance Plan, our performance-based equity awards and our stock options. The following are certain key aspects of these contractual arrangements:</w:t>
      </w:r>
    </w:p>
    <w:p>
      <w:pPr>
        <w:spacing w:after="0" w:line="174" w:lineRule="exact"/>
        <w:rPr>
          <w:sz w:val="20"/>
          <w:szCs w:val="20"/>
          <w:color w:val="auto"/>
        </w:rPr>
      </w:pPr>
    </w:p>
    <w:p>
      <w:pPr>
        <w:ind w:left="460" w:hanging="228"/>
        <w:spacing w:after="0"/>
        <w:tabs>
          <w:tab w:leader="none" w:pos="460" w:val="left"/>
        </w:tabs>
        <w:numPr>
          <w:ilvl w:val="0"/>
          <w:numId w:val="61"/>
        </w:numPr>
        <w:rPr>
          <w:rFonts w:ascii="Arial" w:cs="Arial" w:eastAsia="Arial" w:hAnsi="Arial"/>
          <w:sz w:val="15"/>
          <w:szCs w:val="15"/>
          <w:color w:val="325889"/>
        </w:rPr>
      </w:pPr>
      <w:r>
        <w:rPr>
          <w:rFonts w:ascii="Arial" w:cs="Arial" w:eastAsia="Arial" w:hAnsi="Arial"/>
          <w:sz w:val="15"/>
          <w:szCs w:val="15"/>
          <w:color w:val="auto"/>
        </w:rPr>
        <w:t>No IRC Section 280G tax gross-up provisions</w:t>
      </w:r>
    </w:p>
    <w:p>
      <w:pPr>
        <w:spacing w:after="0" w:line="195" w:lineRule="exact"/>
        <w:rPr>
          <w:rFonts w:ascii="Arial" w:cs="Arial" w:eastAsia="Arial" w:hAnsi="Arial"/>
          <w:sz w:val="15"/>
          <w:szCs w:val="15"/>
          <w:color w:val="325889"/>
        </w:rPr>
      </w:pPr>
    </w:p>
    <w:p>
      <w:pPr>
        <w:ind w:left="460" w:hanging="228"/>
        <w:spacing w:after="0"/>
        <w:tabs>
          <w:tab w:leader="none" w:pos="460" w:val="left"/>
        </w:tabs>
        <w:numPr>
          <w:ilvl w:val="0"/>
          <w:numId w:val="61"/>
        </w:numPr>
        <w:rPr>
          <w:rFonts w:ascii="Arial" w:cs="Arial" w:eastAsia="Arial" w:hAnsi="Arial"/>
          <w:sz w:val="15"/>
          <w:szCs w:val="15"/>
          <w:color w:val="325889"/>
        </w:rPr>
      </w:pPr>
      <w:r>
        <w:rPr>
          <w:rFonts w:ascii="Arial" w:cs="Arial" w:eastAsia="Arial" w:hAnsi="Arial"/>
          <w:sz w:val="15"/>
          <w:szCs w:val="15"/>
          <w:color w:val="auto"/>
        </w:rPr>
        <w:t>No single trigger change in control payments</w:t>
      </w:r>
    </w:p>
    <w:p>
      <w:pPr>
        <w:spacing w:after="0" w:line="195" w:lineRule="exact"/>
        <w:rPr>
          <w:rFonts w:ascii="Arial" w:cs="Arial" w:eastAsia="Arial" w:hAnsi="Arial"/>
          <w:sz w:val="15"/>
          <w:szCs w:val="15"/>
          <w:color w:val="325889"/>
        </w:rPr>
      </w:pPr>
    </w:p>
    <w:p>
      <w:pPr>
        <w:ind w:left="460" w:hanging="228"/>
        <w:spacing w:after="0"/>
        <w:tabs>
          <w:tab w:leader="none" w:pos="460" w:val="left"/>
        </w:tabs>
        <w:numPr>
          <w:ilvl w:val="0"/>
          <w:numId w:val="61"/>
        </w:numPr>
        <w:rPr>
          <w:rFonts w:ascii="Arial" w:cs="Arial" w:eastAsia="Arial" w:hAnsi="Arial"/>
          <w:sz w:val="15"/>
          <w:szCs w:val="15"/>
          <w:color w:val="325889"/>
        </w:rPr>
      </w:pPr>
      <w:r>
        <w:rPr>
          <w:rFonts w:ascii="Arial" w:cs="Arial" w:eastAsia="Arial" w:hAnsi="Arial"/>
          <w:sz w:val="15"/>
          <w:szCs w:val="15"/>
          <w:color w:val="auto"/>
        </w:rPr>
        <w:t>No single trigger change in control vesting acceleration</w:t>
      </w:r>
    </w:p>
    <w:p>
      <w:pPr>
        <w:spacing w:after="0" w:line="195" w:lineRule="exact"/>
        <w:rPr>
          <w:rFonts w:ascii="Arial" w:cs="Arial" w:eastAsia="Arial" w:hAnsi="Arial"/>
          <w:sz w:val="15"/>
          <w:szCs w:val="15"/>
          <w:color w:val="325889"/>
        </w:rPr>
      </w:pPr>
    </w:p>
    <w:p>
      <w:pPr>
        <w:ind w:right="4320" w:firstLine="232"/>
        <w:spacing w:after="0" w:line="499" w:lineRule="auto"/>
        <w:tabs>
          <w:tab w:leader="none" w:pos="463" w:val="left"/>
        </w:tabs>
        <w:numPr>
          <w:ilvl w:val="0"/>
          <w:numId w:val="61"/>
        </w:numPr>
        <w:rPr>
          <w:rFonts w:ascii="Arial" w:cs="Arial" w:eastAsia="Arial" w:hAnsi="Arial"/>
          <w:sz w:val="15"/>
          <w:szCs w:val="15"/>
          <w:color w:val="325889"/>
        </w:rPr>
      </w:pPr>
      <w:r>
        <w:rPr>
          <w:rFonts w:ascii="Arial" w:cs="Arial" w:eastAsia="Arial" w:hAnsi="Arial"/>
          <w:sz w:val="15"/>
          <w:szCs w:val="15"/>
          <w:color w:val="auto"/>
        </w:rPr>
        <w:t>Reasonable cash severance multiples (1x without change in control; 2x-3x with change in control) The discussion below describes these contractual arrangements in greater detail.</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b w:val="1"/>
          <w:bCs w:val="1"/>
          <w:color w:val="325889"/>
        </w:rPr>
        <w:t>Employment Agreements</w:t>
      </w:r>
    </w:p>
    <w:p>
      <w:pPr>
        <w:spacing w:after="0" w:line="200" w:lineRule="exact"/>
        <w:rPr>
          <w:sz w:val="20"/>
          <w:szCs w:val="20"/>
          <w:color w:val="auto"/>
        </w:rPr>
      </w:pPr>
    </w:p>
    <w:p>
      <w:pPr>
        <w:ind w:right="120"/>
        <w:spacing w:after="0" w:line="253" w:lineRule="auto"/>
        <w:rPr>
          <w:sz w:val="20"/>
          <w:szCs w:val="20"/>
          <w:color w:val="auto"/>
        </w:rPr>
      </w:pPr>
      <w:r>
        <w:rPr>
          <w:rFonts w:ascii="Arial" w:cs="Arial" w:eastAsia="Arial" w:hAnsi="Arial"/>
          <w:sz w:val="15"/>
          <w:szCs w:val="15"/>
          <w:color w:val="auto"/>
        </w:rPr>
        <w:t>We have employment agreements with all of our named executive officers. All of the employment agreements with our named executive officers provide for, among other things, severance payments and benefits and acceleration of equity awards in connection with the termination of employment in certain circumstances. In return, each of our named executive officers has agreed to non-compete, non-solicitation, non-interference and confidentiality provisions. The table below summarizes the material terms of our employment agreements with our named executive officers.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20" w:type="dxa"/>
            <w:vAlign w:val="bottom"/>
            <w:tcBorders>
              <w:bottom w:val="single" w:sz="8" w:color="325889"/>
            </w:tcBorders>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Borders>
              <w:bottom w:val="single" w:sz="8" w:color="325889"/>
            </w:tcBorders>
          </w:tcPr>
          <w:p>
            <w:pPr>
              <w:ind w:left="340"/>
              <w:spacing w:after="0"/>
              <w:rPr>
                <w:sz w:val="20"/>
                <w:szCs w:val="20"/>
                <w:color w:val="auto"/>
              </w:rPr>
            </w:pPr>
            <w:r>
              <w:rPr>
                <w:rFonts w:ascii="Arial" w:cs="Arial" w:eastAsia="Arial" w:hAnsi="Arial"/>
                <w:sz w:val="12"/>
                <w:szCs w:val="12"/>
                <w:b w:val="1"/>
                <w:bCs w:val="1"/>
                <w:color w:val="325889"/>
              </w:rPr>
              <w:t>Marc Holliday</w:t>
            </w:r>
          </w:p>
        </w:tc>
        <w:tc>
          <w:tcPr>
            <w:tcW w:w="140" w:type="dxa"/>
            <w:vAlign w:val="bottom"/>
          </w:tcPr>
          <w:p>
            <w:pPr>
              <w:spacing w:after="0"/>
              <w:rPr>
                <w:sz w:val="12"/>
                <w:szCs w:val="12"/>
                <w:color w:val="auto"/>
              </w:rPr>
            </w:pPr>
          </w:p>
        </w:tc>
        <w:tc>
          <w:tcPr>
            <w:tcW w:w="1480" w:type="dxa"/>
            <w:vAlign w:val="bottom"/>
            <w:tcBorders>
              <w:bottom w:val="single" w:sz="8" w:color="325889"/>
            </w:tcBorders>
          </w:tcPr>
          <w:p>
            <w:pPr>
              <w:ind w:left="260"/>
              <w:spacing w:after="0"/>
              <w:rPr>
                <w:sz w:val="20"/>
                <w:szCs w:val="20"/>
                <w:color w:val="auto"/>
              </w:rPr>
            </w:pPr>
            <w:r>
              <w:rPr>
                <w:rFonts w:ascii="Arial" w:cs="Arial" w:eastAsia="Arial" w:hAnsi="Arial"/>
                <w:sz w:val="12"/>
                <w:szCs w:val="12"/>
                <w:b w:val="1"/>
                <w:bCs w:val="1"/>
                <w:color w:val="325889"/>
              </w:rPr>
              <w:t>Stephen L. Green</w:t>
            </w:r>
          </w:p>
        </w:tc>
        <w:tc>
          <w:tcPr>
            <w:tcW w:w="160" w:type="dxa"/>
            <w:vAlign w:val="bottom"/>
          </w:tcPr>
          <w:p>
            <w:pPr>
              <w:spacing w:after="0"/>
              <w:rPr>
                <w:sz w:val="12"/>
                <w:szCs w:val="12"/>
                <w:color w:val="auto"/>
              </w:rPr>
            </w:pPr>
          </w:p>
        </w:tc>
        <w:tc>
          <w:tcPr>
            <w:tcW w:w="1480" w:type="dxa"/>
            <w:vAlign w:val="bottom"/>
            <w:tcBorders>
              <w:bottom w:val="single" w:sz="8" w:color="325889"/>
            </w:tcBorders>
          </w:tcPr>
          <w:p>
            <w:pPr>
              <w:jc w:val="right"/>
              <w:ind w:right="225"/>
              <w:spacing w:after="0"/>
              <w:rPr>
                <w:sz w:val="20"/>
                <w:szCs w:val="20"/>
                <w:color w:val="auto"/>
              </w:rPr>
            </w:pPr>
            <w:r>
              <w:rPr>
                <w:rFonts w:ascii="Arial" w:cs="Arial" w:eastAsia="Arial" w:hAnsi="Arial"/>
                <w:sz w:val="12"/>
                <w:szCs w:val="12"/>
                <w:b w:val="1"/>
                <w:bCs w:val="1"/>
                <w:color w:val="325889"/>
              </w:rPr>
              <w:t>Andrew Mathias</w:t>
            </w:r>
          </w:p>
        </w:tc>
        <w:tc>
          <w:tcPr>
            <w:tcW w:w="140" w:type="dxa"/>
            <w:vAlign w:val="bottom"/>
          </w:tcPr>
          <w:p>
            <w:pPr>
              <w:spacing w:after="0"/>
              <w:rPr>
                <w:sz w:val="12"/>
                <w:szCs w:val="12"/>
                <w:color w:val="auto"/>
              </w:rPr>
            </w:pPr>
          </w:p>
        </w:tc>
        <w:tc>
          <w:tcPr>
            <w:tcW w:w="1480" w:type="dxa"/>
            <w:vAlign w:val="bottom"/>
            <w:tcBorders>
              <w:bottom w:val="single" w:sz="8" w:color="325889"/>
            </w:tcBorders>
          </w:tcPr>
          <w:p>
            <w:pPr>
              <w:ind w:left="160"/>
              <w:spacing w:after="0"/>
              <w:rPr>
                <w:sz w:val="20"/>
                <w:szCs w:val="20"/>
                <w:color w:val="auto"/>
              </w:rPr>
            </w:pPr>
            <w:r>
              <w:rPr>
                <w:rFonts w:ascii="Arial" w:cs="Arial" w:eastAsia="Arial" w:hAnsi="Arial"/>
                <w:sz w:val="12"/>
                <w:szCs w:val="12"/>
                <w:b w:val="1"/>
                <w:bCs w:val="1"/>
                <w:color w:val="325889"/>
              </w:rPr>
              <w:t>Matthew J. DiLiberto</w:t>
            </w:r>
          </w:p>
        </w:tc>
        <w:tc>
          <w:tcPr>
            <w:tcW w:w="140" w:type="dxa"/>
            <w:vAlign w:val="bottom"/>
          </w:tcPr>
          <w:p>
            <w:pPr>
              <w:spacing w:after="0"/>
              <w:rPr>
                <w:sz w:val="12"/>
                <w:szCs w:val="12"/>
                <w:color w:val="auto"/>
              </w:rPr>
            </w:pPr>
          </w:p>
        </w:tc>
        <w:tc>
          <w:tcPr>
            <w:tcW w:w="1480" w:type="dxa"/>
            <w:vAlign w:val="bottom"/>
            <w:tcBorders>
              <w:bottom w:val="single" w:sz="8" w:color="325889"/>
            </w:tcBorders>
          </w:tcPr>
          <w:p>
            <w:pPr>
              <w:jc w:val="right"/>
              <w:ind w:right="165"/>
              <w:spacing w:after="0"/>
              <w:rPr>
                <w:sz w:val="20"/>
                <w:szCs w:val="20"/>
                <w:color w:val="auto"/>
              </w:rPr>
            </w:pPr>
            <w:r>
              <w:rPr>
                <w:rFonts w:ascii="Arial" w:cs="Arial" w:eastAsia="Arial" w:hAnsi="Arial"/>
                <w:sz w:val="12"/>
                <w:szCs w:val="12"/>
                <w:b w:val="1"/>
                <w:bCs w:val="1"/>
                <w:color w:val="325889"/>
              </w:rPr>
              <w:t>Andrew S. Levine</w:t>
            </w:r>
          </w:p>
        </w:tc>
      </w:tr>
      <w:tr>
        <w:trPr>
          <w:trHeight w:val="261"/>
        </w:trPr>
        <w:tc>
          <w:tcPr>
            <w:tcW w:w="3320" w:type="dxa"/>
            <w:vAlign w:val="bottom"/>
          </w:tcPr>
          <w:p>
            <w:pPr>
              <w:spacing w:after="0" w:line="260" w:lineRule="exact"/>
              <w:rPr>
                <w:sz w:val="20"/>
                <w:szCs w:val="20"/>
                <w:color w:val="auto"/>
              </w:rPr>
            </w:pPr>
            <w:r>
              <w:rPr>
                <w:rFonts w:ascii="Arial" w:cs="Arial" w:eastAsia="Arial" w:hAnsi="Arial"/>
                <w:sz w:val="15"/>
                <w:szCs w:val="15"/>
                <w:b w:val="1"/>
                <w:bCs w:val="1"/>
                <w:color w:val="auto"/>
              </w:rPr>
              <w:t>Term</w:t>
            </w:r>
            <w:r>
              <w:rPr>
                <w:rFonts w:ascii="Arial" w:cs="Arial" w:eastAsia="Arial" w:hAnsi="Arial"/>
                <w:sz w:val="25"/>
                <w:szCs w:val="25"/>
                <w:b w:val="1"/>
                <w:bCs w:val="1"/>
                <w:color w:val="auto"/>
                <w:vertAlign w:val="superscript"/>
              </w:rPr>
              <w:t>(</w:t>
            </w:r>
            <w:r>
              <w:rPr>
                <w:rFonts w:ascii="Arial" w:cs="Arial" w:eastAsia="Arial" w:hAnsi="Arial"/>
                <w:sz w:val="25"/>
                <w:szCs w:val="25"/>
                <w:color w:val="auto"/>
                <w:vertAlign w:val="superscript"/>
              </w:rPr>
              <w:t>1</w:t>
            </w:r>
            <w:r>
              <w:rPr>
                <w:rFonts w:ascii="Arial" w:cs="Arial" w:eastAsia="Arial" w:hAnsi="Arial"/>
                <w:sz w:val="25"/>
                <w:szCs w:val="25"/>
                <w:b w:val="1"/>
                <w:bCs w:val="1"/>
                <w:color w:val="auto"/>
                <w:vertAlign w:val="superscript"/>
              </w:rPr>
              <w:t>)</w:t>
            </w:r>
          </w:p>
        </w:tc>
        <w:tc>
          <w:tcPr>
            <w:tcW w:w="160" w:type="dxa"/>
            <w:vAlign w:val="bottom"/>
          </w:tcPr>
          <w:p>
            <w:pPr>
              <w:spacing w:after="0"/>
              <w:rPr>
                <w:sz w:val="22"/>
                <w:szCs w:val="22"/>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5"/>
                <w:szCs w:val="15"/>
                <w:color w:val="auto"/>
              </w:rPr>
              <w:t>1/18/16 - 1/17/19</w:t>
            </w:r>
          </w:p>
        </w:tc>
        <w:tc>
          <w:tcPr>
            <w:tcW w:w="1640" w:type="dxa"/>
            <w:vAlign w:val="bottom"/>
            <w:gridSpan w:val="2"/>
          </w:tcPr>
          <w:p>
            <w:pPr>
              <w:jc w:val="right"/>
              <w:ind w:right="160"/>
              <w:spacing w:after="0"/>
              <w:rPr>
                <w:sz w:val="20"/>
                <w:szCs w:val="20"/>
                <w:color w:val="auto"/>
              </w:rPr>
            </w:pPr>
            <w:r>
              <w:rPr>
                <w:rFonts w:ascii="Arial" w:cs="Arial" w:eastAsia="Arial" w:hAnsi="Arial"/>
                <w:sz w:val="15"/>
                <w:szCs w:val="15"/>
                <w:color w:val="auto"/>
              </w:rPr>
              <w:t>1/1/15 - 1/1/16</w:t>
            </w:r>
          </w:p>
        </w:tc>
        <w:tc>
          <w:tcPr>
            <w:tcW w:w="1480" w:type="dxa"/>
            <w:vAlign w:val="bottom"/>
          </w:tcPr>
          <w:p>
            <w:pPr>
              <w:jc w:val="right"/>
              <w:spacing w:after="0"/>
              <w:rPr>
                <w:sz w:val="20"/>
                <w:szCs w:val="20"/>
                <w:color w:val="auto"/>
              </w:rPr>
            </w:pPr>
            <w:r>
              <w:rPr>
                <w:rFonts w:ascii="Arial" w:cs="Arial" w:eastAsia="Arial" w:hAnsi="Arial"/>
                <w:sz w:val="15"/>
                <w:szCs w:val="15"/>
                <w:color w:val="auto"/>
              </w:rPr>
              <w:t>1/1/16 - 12/31/17</w:t>
            </w:r>
          </w:p>
        </w:tc>
        <w:tc>
          <w:tcPr>
            <w:tcW w:w="140" w:type="dxa"/>
            <w:vAlign w:val="bottom"/>
          </w:tcPr>
          <w:p>
            <w:pPr>
              <w:spacing w:after="0"/>
              <w:rPr>
                <w:sz w:val="22"/>
                <w:szCs w:val="22"/>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5"/>
                <w:szCs w:val="15"/>
                <w:color w:val="auto"/>
              </w:rPr>
              <w:t>1/1/15 - 1/1/18</w:t>
            </w:r>
          </w:p>
        </w:tc>
        <w:tc>
          <w:tcPr>
            <w:tcW w:w="1480" w:type="dxa"/>
            <w:vAlign w:val="bottom"/>
          </w:tcPr>
          <w:p>
            <w:pPr>
              <w:jc w:val="right"/>
              <w:spacing w:after="0"/>
              <w:rPr>
                <w:sz w:val="20"/>
                <w:szCs w:val="20"/>
                <w:color w:val="auto"/>
              </w:rPr>
            </w:pPr>
            <w:r>
              <w:rPr>
                <w:rFonts w:ascii="Arial" w:cs="Arial" w:eastAsia="Arial" w:hAnsi="Arial"/>
                <w:sz w:val="15"/>
                <w:szCs w:val="15"/>
                <w:color w:val="auto"/>
              </w:rPr>
              <w:t>1/1/16 - 1/1/19</w:t>
            </w:r>
          </w:p>
        </w:tc>
      </w:tr>
      <w:tr>
        <w:trPr>
          <w:trHeight w:val="20"/>
        </w:trPr>
        <w:tc>
          <w:tcPr>
            <w:tcW w:w="332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shd w:val="clear" w:color="auto" w:fill="98A3B8"/>
          </w:tcPr>
          <w:p>
            <w:pPr>
              <w:spacing w:after="0" w:line="20" w:lineRule="exact"/>
              <w:rPr>
                <w:sz w:val="1"/>
                <w:szCs w:val="1"/>
                <w:color w:val="auto"/>
              </w:rPr>
            </w:pPr>
          </w:p>
        </w:tc>
      </w:tr>
      <w:tr>
        <w:trPr>
          <w:trHeight w:val="204"/>
        </w:trPr>
        <w:tc>
          <w:tcPr>
            <w:tcW w:w="3320" w:type="dxa"/>
            <w:vAlign w:val="bottom"/>
          </w:tcPr>
          <w:p>
            <w:pPr>
              <w:spacing w:after="0"/>
              <w:rPr>
                <w:sz w:val="20"/>
                <w:szCs w:val="20"/>
                <w:color w:val="auto"/>
              </w:rPr>
            </w:pPr>
            <w:r>
              <w:rPr>
                <w:rFonts w:ascii="Arial" w:cs="Arial" w:eastAsia="Arial" w:hAnsi="Arial"/>
                <w:sz w:val="15"/>
                <w:szCs w:val="15"/>
                <w:b w:val="1"/>
                <w:bCs w:val="1"/>
                <w:color w:val="auto"/>
              </w:rPr>
              <w:t>Annual Salary</w:t>
            </w:r>
          </w:p>
        </w:tc>
        <w:tc>
          <w:tcPr>
            <w:tcW w:w="160" w:type="dxa"/>
            <w:vAlign w:val="bottom"/>
          </w:tcPr>
          <w:p>
            <w:pPr>
              <w:spacing w:after="0"/>
              <w:rPr>
                <w:sz w:val="17"/>
                <w:szCs w:val="17"/>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5"/>
                <w:szCs w:val="15"/>
                <w:color w:val="auto"/>
              </w:rPr>
              <w:t>$1.35M</w:t>
            </w:r>
          </w:p>
        </w:tc>
        <w:tc>
          <w:tcPr>
            <w:tcW w:w="1640" w:type="dxa"/>
            <w:vAlign w:val="bottom"/>
            <w:gridSpan w:val="2"/>
          </w:tcPr>
          <w:p>
            <w:pPr>
              <w:jc w:val="right"/>
              <w:ind w:right="160"/>
              <w:spacing w:after="0"/>
              <w:rPr>
                <w:sz w:val="20"/>
                <w:szCs w:val="20"/>
                <w:color w:val="auto"/>
              </w:rPr>
            </w:pPr>
            <w:r>
              <w:rPr>
                <w:rFonts w:ascii="Arial" w:cs="Arial" w:eastAsia="Arial" w:hAnsi="Arial"/>
                <w:sz w:val="15"/>
                <w:szCs w:val="15"/>
                <w:color w:val="auto"/>
              </w:rPr>
              <w:t>$750K</w:t>
            </w:r>
          </w:p>
        </w:tc>
        <w:tc>
          <w:tcPr>
            <w:tcW w:w="1620" w:type="dxa"/>
            <w:vAlign w:val="bottom"/>
            <w:gridSpan w:val="2"/>
          </w:tcPr>
          <w:p>
            <w:pPr>
              <w:jc w:val="right"/>
              <w:ind w:right="140"/>
              <w:spacing w:after="0"/>
              <w:rPr>
                <w:sz w:val="20"/>
                <w:szCs w:val="20"/>
                <w:color w:val="auto"/>
              </w:rPr>
            </w:pPr>
            <w:r>
              <w:rPr>
                <w:rFonts w:ascii="Arial" w:cs="Arial" w:eastAsia="Arial" w:hAnsi="Arial"/>
                <w:sz w:val="15"/>
                <w:szCs w:val="15"/>
                <w:color w:val="auto"/>
              </w:rPr>
              <w:t>$800K</w:t>
            </w:r>
          </w:p>
        </w:tc>
        <w:tc>
          <w:tcPr>
            <w:tcW w:w="1620" w:type="dxa"/>
            <w:vAlign w:val="bottom"/>
            <w:gridSpan w:val="2"/>
          </w:tcPr>
          <w:p>
            <w:pPr>
              <w:jc w:val="right"/>
              <w:ind w:right="140"/>
              <w:spacing w:after="0"/>
              <w:rPr>
                <w:sz w:val="20"/>
                <w:szCs w:val="20"/>
                <w:color w:val="auto"/>
              </w:rPr>
            </w:pPr>
            <w:r>
              <w:rPr>
                <w:rFonts w:ascii="Arial" w:cs="Arial" w:eastAsia="Arial" w:hAnsi="Arial"/>
                <w:sz w:val="15"/>
                <w:szCs w:val="15"/>
                <w:color w:val="auto"/>
              </w:rPr>
              <w:t>$400K</w:t>
            </w:r>
          </w:p>
        </w:tc>
        <w:tc>
          <w:tcPr>
            <w:tcW w:w="1480" w:type="dxa"/>
            <w:vAlign w:val="bottom"/>
          </w:tcPr>
          <w:p>
            <w:pPr>
              <w:jc w:val="right"/>
              <w:spacing w:after="0"/>
              <w:rPr>
                <w:sz w:val="20"/>
                <w:szCs w:val="20"/>
                <w:color w:val="auto"/>
              </w:rPr>
            </w:pPr>
            <w:r>
              <w:rPr>
                <w:rFonts w:ascii="Arial" w:cs="Arial" w:eastAsia="Arial" w:hAnsi="Arial"/>
                <w:sz w:val="15"/>
                <w:szCs w:val="15"/>
                <w:color w:val="auto"/>
              </w:rPr>
              <w:t>$550K</w:t>
            </w:r>
          </w:p>
        </w:tc>
      </w:tr>
      <w:tr>
        <w:trPr>
          <w:trHeight w:val="37"/>
        </w:trPr>
        <w:tc>
          <w:tcPr>
            <w:tcW w:w="3320" w:type="dxa"/>
            <w:vAlign w:val="bottom"/>
            <w:tcBorders>
              <w:bottom w:val="single" w:sz="8" w:color="98A3B8"/>
            </w:tcBorders>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Borders>
              <w:bottom w:val="single" w:sz="8" w:color="98A3B8"/>
            </w:tcBorders>
          </w:tcPr>
          <w:p>
            <w:pPr>
              <w:spacing w:after="0"/>
              <w:rPr>
                <w:sz w:val="3"/>
                <w:szCs w:val="3"/>
                <w:color w:val="auto"/>
              </w:rPr>
            </w:pPr>
          </w:p>
        </w:tc>
        <w:tc>
          <w:tcPr>
            <w:tcW w:w="140" w:type="dxa"/>
            <w:vAlign w:val="bottom"/>
          </w:tcPr>
          <w:p>
            <w:pPr>
              <w:spacing w:after="0"/>
              <w:rPr>
                <w:sz w:val="3"/>
                <w:szCs w:val="3"/>
                <w:color w:val="auto"/>
              </w:rPr>
            </w:pPr>
          </w:p>
        </w:tc>
        <w:tc>
          <w:tcPr>
            <w:tcW w:w="1480" w:type="dxa"/>
            <w:vAlign w:val="bottom"/>
            <w:tcBorders>
              <w:bottom w:val="single" w:sz="8" w:color="98A3B8"/>
            </w:tcBorders>
          </w:tcPr>
          <w:p>
            <w:pPr>
              <w:spacing w:after="0"/>
              <w:rPr>
                <w:sz w:val="3"/>
                <w:szCs w:val="3"/>
                <w:color w:val="auto"/>
              </w:rPr>
            </w:pPr>
          </w:p>
        </w:tc>
        <w:tc>
          <w:tcPr>
            <w:tcW w:w="160" w:type="dxa"/>
            <w:vAlign w:val="bottom"/>
          </w:tcPr>
          <w:p>
            <w:pPr>
              <w:spacing w:after="0"/>
              <w:rPr>
                <w:sz w:val="3"/>
                <w:szCs w:val="3"/>
                <w:color w:val="auto"/>
              </w:rPr>
            </w:pPr>
          </w:p>
        </w:tc>
        <w:tc>
          <w:tcPr>
            <w:tcW w:w="1480" w:type="dxa"/>
            <w:vAlign w:val="bottom"/>
            <w:tcBorders>
              <w:bottom w:val="single" w:sz="8" w:color="98A3B8"/>
            </w:tcBorders>
          </w:tcPr>
          <w:p>
            <w:pPr>
              <w:spacing w:after="0"/>
              <w:rPr>
                <w:sz w:val="3"/>
                <w:szCs w:val="3"/>
                <w:color w:val="auto"/>
              </w:rPr>
            </w:pPr>
          </w:p>
        </w:tc>
        <w:tc>
          <w:tcPr>
            <w:tcW w:w="140" w:type="dxa"/>
            <w:vAlign w:val="bottom"/>
          </w:tcPr>
          <w:p>
            <w:pPr>
              <w:spacing w:after="0"/>
              <w:rPr>
                <w:sz w:val="3"/>
                <w:szCs w:val="3"/>
                <w:color w:val="auto"/>
              </w:rPr>
            </w:pPr>
          </w:p>
        </w:tc>
        <w:tc>
          <w:tcPr>
            <w:tcW w:w="1480" w:type="dxa"/>
            <w:vAlign w:val="bottom"/>
            <w:tcBorders>
              <w:bottom w:val="single" w:sz="8" w:color="98A3B8"/>
            </w:tcBorders>
          </w:tcPr>
          <w:p>
            <w:pPr>
              <w:spacing w:after="0"/>
              <w:rPr>
                <w:sz w:val="3"/>
                <w:szCs w:val="3"/>
                <w:color w:val="auto"/>
              </w:rPr>
            </w:pPr>
          </w:p>
        </w:tc>
        <w:tc>
          <w:tcPr>
            <w:tcW w:w="140" w:type="dxa"/>
            <w:vAlign w:val="bottom"/>
          </w:tcPr>
          <w:p>
            <w:pPr>
              <w:spacing w:after="0"/>
              <w:rPr>
                <w:sz w:val="3"/>
                <w:szCs w:val="3"/>
                <w:color w:val="auto"/>
              </w:rPr>
            </w:pPr>
          </w:p>
        </w:tc>
        <w:tc>
          <w:tcPr>
            <w:tcW w:w="1480" w:type="dxa"/>
            <w:vAlign w:val="bottom"/>
            <w:tcBorders>
              <w:bottom w:val="single" w:sz="8" w:color="98A3B8"/>
            </w:tcBorders>
          </w:tcPr>
          <w:p>
            <w:pPr>
              <w:spacing w:after="0"/>
              <w:rPr>
                <w:sz w:val="3"/>
                <w:szCs w:val="3"/>
                <w:color w:val="auto"/>
              </w:rPr>
            </w:pPr>
          </w:p>
        </w:tc>
      </w:tr>
      <w:tr>
        <w:trPr>
          <w:trHeight w:val="180"/>
        </w:trPr>
        <w:tc>
          <w:tcPr>
            <w:tcW w:w="3480" w:type="dxa"/>
            <w:vAlign w:val="bottom"/>
            <w:gridSpan w:val="2"/>
          </w:tcPr>
          <w:p>
            <w:pPr>
              <w:spacing w:after="0"/>
              <w:rPr>
                <w:sz w:val="20"/>
                <w:szCs w:val="20"/>
                <w:color w:val="auto"/>
              </w:rPr>
            </w:pPr>
            <w:r>
              <w:rPr>
                <w:rFonts w:ascii="Arial" w:cs="Arial" w:eastAsia="Arial" w:hAnsi="Arial"/>
                <w:sz w:val="15"/>
                <w:szCs w:val="15"/>
                <w:b w:val="1"/>
                <w:bCs w:val="1"/>
                <w:color w:val="auto"/>
              </w:rPr>
              <w:t>Annual Deferred</w:t>
            </w: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51"/>
        </w:trPr>
        <w:tc>
          <w:tcPr>
            <w:tcW w:w="3320" w:type="dxa"/>
            <w:vAlign w:val="bottom"/>
          </w:tcPr>
          <w:p>
            <w:pPr>
              <w:spacing w:after="0" w:line="251" w:lineRule="exact"/>
              <w:rPr>
                <w:sz w:val="20"/>
                <w:szCs w:val="20"/>
                <w:color w:val="auto"/>
              </w:rPr>
            </w:pPr>
            <w:r>
              <w:rPr>
                <w:rFonts w:ascii="Arial" w:cs="Arial" w:eastAsia="Arial" w:hAnsi="Arial"/>
                <w:sz w:val="15"/>
                <w:szCs w:val="15"/>
                <w:b w:val="1"/>
                <w:bCs w:val="1"/>
                <w:color w:val="auto"/>
              </w:rPr>
              <w:t>Compensation</w:t>
            </w:r>
            <w:r>
              <w:rPr>
                <w:rFonts w:ascii="Arial" w:cs="Arial" w:eastAsia="Arial" w:hAnsi="Arial"/>
                <w:sz w:val="25"/>
                <w:szCs w:val="25"/>
                <w:b w:val="1"/>
                <w:bCs w:val="1"/>
                <w:color w:val="auto"/>
                <w:vertAlign w:val="superscript"/>
              </w:rPr>
              <w:t>(</w:t>
            </w:r>
            <w:r>
              <w:rPr>
                <w:rFonts w:ascii="Arial" w:cs="Arial" w:eastAsia="Arial" w:hAnsi="Arial"/>
                <w:sz w:val="25"/>
                <w:szCs w:val="25"/>
                <w:color w:val="auto"/>
                <w:vertAlign w:val="superscript"/>
              </w:rPr>
              <w:t>2</w:t>
            </w:r>
            <w:r>
              <w:rPr>
                <w:rFonts w:ascii="Arial" w:cs="Arial" w:eastAsia="Arial" w:hAnsi="Arial"/>
                <w:sz w:val="25"/>
                <w:szCs w:val="25"/>
                <w:b w:val="1"/>
                <w:bCs w:val="1"/>
                <w:color w:val="auto"/>
                <w:vertAlign w:val="superscript"/>
              </w:rPr>
              <w:t>)</w:t>
            </w:r>
          </w:p>
        </w:tc>
        <w:tc>
          <w:tcPr>
            <w:tcW w:w="160" w:type="dxa"/>
            <w:vAlign w:val="bottom"/>
          </w:tcPr>
          <w:p>
            <w:pPr>
              <w:spacing w:after="0"/>
              <w:rPr>
                <w:sz w:val="21"/>
                <w:szCs w:val="21"/>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5"/>
                <w:szCs w:val="15"/>
                <w:color w:val="auto"/>
              </w:rPr>
              <w:t>$750K</w:t>
            </w:r>
          </w:p>
        </w:tc>
        <w:tc>
          <w:tcPr>
            <w:tcW w:w="1640" w:type="dxa"/>
            <w:vAlign w:val="bottom"/>
            <w:gridSpan w:val="2"/>
          </w:tcPr>
          <w:p>
            <w:pPr>
              <w:jc w:val="right"/>
              <w:ind w:right="160"/>
              <w:spacing w:after="0"/>
              <w:rPr>
                <w:sz w:val="20"/>
                <w:szCs w:val="20"/>
                <w:color w:val="auto"/>
              </w:rPr>
            </w:pPr>
            <w:r>
              <w:rPr>
                <w:rFonts w:ascii="Arial" w:cs="Arial" w:eastAsia="Arial" w:hAnsi="Arial"/>
                <w:sz w:val="15"/>
                <w:szCs w:val="15"/>
                <w:color w:val="auto"/>
              </w:rPr>
              <w:t>$150K</w:t>
            </w:r>
          </w:p>
        </w:tc>
        <w:tc>
          <w:tcPr>
            <w:tcW w:w="1620" w:type="dxa"/>
            <w:vAlign w:val="bottom"/>
            <w:gridSpan w:val="2"/>
          </w:tcPr>
          <w:p>
            <w:pPr>
              <w:jc w:val="right"/>
              <w:ind w:right="140"/>
              <w:spacing w:after="0"/>
              <w:rPr>
                <w:sz w:val="20"/>
                <w:szCs w:val="20"/>
                <w:color w:val="auto"/>
              </w:rPr>
            </w:pPr>
            <w:r>
              <w:rPr>
                <w:rFonts w:ascii="Arial" w:cs="Arial" w:eastAsia="Arial" w:hAnsi="Arial"/>
                <w:sz w:val="15"/>
                <w:szCs w:val="15"/>
                <w:color w:val="auto"/>
              </w:rPr>
              <w:t>$550K</w:t>
            </w:r>
          </w:p>
        </w:tc>
        <w:tc>
          <w:tcPr>
            <w:tcW w:w="1620" w:type="dxa"/>
            <w:vAlign w:val="bottom"/>
            <w:gridSpan w:val="2"/>
          </w:tcPr>
          <w:p>
            <w:pPr>
              <w:ind w:left="1120"/>
              <w:spacing w:after="0"/>
              <w:rPr>
                <w:sz w:val="20"/>
                <w:szCs w:val="20"/>
                <w:color w:val="auto"/>
              </w:rPr>
            </w:pPr>
            <w:r>
              <w:rPr>
                <w:rFonts w:ascii="Arial" w:cs="Arial" w:eastAsia="Arial" w:hAnsi="Arial"/>
                <w:sz w:val="15"/>
                <w:szCs w:val="15"/>
                <w:color w:val="auto"/>
              </w:rPr>
              <w:t>None</w:t>
            </w:r>
          </w:p>
        </w:tc>
        <w:tc>
          <w:tcPr>
            <w:tcW w:w="1480" w:type="dxa"/>
            <w:vAlign w:val="bottom"/>
          </w:tcPr>
          <w:p>
            <w:pPr>
              <w:jc w:val="right"/>
              <w:spacing w:after="0"/>
              <w:rPr>
                <w:sz w:val="20"/>
                <w:szCs w:val="20"/>
                <w:color w:val="auto"/>
              </w:rPr>
            </w:pPr>
            <w:r>
              <w:rPr>
                <w:rFonts w:ascii="Arial" w:cs="Arial" w:eastAsia="Arial" w:hAnsi="Arial"/>
                <w:sz w:val="15"/>
                <w:szCs w:val="15"/>
                <w:color w:val="auto"/>
              </w:rPr>
              <w:t>None</w:t>
            </w:r>
          </w:p>
        </w:tc>
      </w:tr>
      <w:tr>
        <w:trPr>
          <w:trHeight w:val="20"/>
        </w:trPr>
        <w:tc>
          <w:tcPr>
            <w:tcW w:w="332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shd w:val="clear" w:color="auto" w:fill="98A3B8"/>
          </w:tcPr>
          <w:p>
            <w:pPr>
              <w:spacing w:after="0" w:line="20" w:lineRule="exact"/>
              <w:rPr>
                <w:sz w:val="1"/>
                <w:szCs w:val="1"/>
                <w:color w:val="auto"/>
              </w:rPr>
            </w:pPr>
          </w:p>
        </w:tc>
      </w:tr>
      <w:tr>
        <w:trPr>
          <w:trHeight w:val="253"/>
        </w:trPr>
        <w:tc>
          <w:tcPr>
            <w:tcW w:w="3320" w:type="dxa"/>
            <w:vAlign w:val="bottom"/>
          </w:tcPr>
          <w:p>
            <w:pPr>
              <w:spacing w:after="0"/>
              <w:rPr>
                <w:sz w:val="20"/>
                <w:szCs w:val="20"/>
                <w:color w:val="auto"/>
              </w:rPr>
            </w:pPr>
            <w:r>
              <w:rPr>
                <w:rFonts w:ascii="Arial" w:cs="Arial" w:eastAsia="Arial" w:hAnsi="Arial"/>
                <w:sz w:val="15"/>
                <w:szCs w:val="15"/>
                <w:b w:val="1"/>
                <w:bCs w:val="1"/>
                <w:color w:val="auto"/>
              </w:rPr>
              <w:t>Guaranteed Bonus</w:t>
            </w:r>
          </w:p>
        </w:tc>
        <w:tc>
          <w:tcPr>
            <w:tcW w:w="160" w:type="dxa"/>
            <w:vAlign w:val="bottom"/>
          </w:tcPr>
          <w:p>
            <w:pPr>
              <w:spacing w:after="0"/>
              <w:rPr>
                <w:sz w:val="21"/>
                <w:szCs w:val="21"/>
                <w:color w:val="auto"/>
              </w:rPr>
            </w:pPr>
          </w:p>
        </w:tc>
        <w:tc>
          <w:tcPr>
            <w:tcW w:w="1600" w:type="dxa"/>
            <w:vAlign w:val="bottom"/>
            <w:gridSpan w:val="2"/>
          </w:tcPr>
          <w:p>
            <w:pPr>
              <w:jc w:val="right"/>
              <w:ind w:right="140"/>
              <w:spacing w:after="0" w:line="253" w:lineRule="exact"/>
              <w:rPr>
                <w:sz w:val="20"/>
                <w:szCs w:val="20"/>
                <w:color w:val="auto"/>
              </w:rPr>
            </w:pPr>
            <w:r>
              <w:rPr>
                <w:rFonts w:ascii="Arial" w:cs="Arial" w:eastAsia="Arial" w:hAnsi="Arial"/>
                <w:sz w:val="15"/>
                <w:szCs w:val="15"/>
                <w:color w:val="auto"/>
              </w:rPr>
              <w:t>None</w:t>
            </w:r>
            <w:r>
              <w:rPr>
                <w:rFonts w:ascii="Arial" w:cs="Arial" w:eastAsia="Arial" w:hAnsi="Arial"/>
                <w:sz w:val="25"/>
                <w:szCs w:val="25"/>
                <w:color w:val="auto"/>
                <w:vertAlign w:val="superscript"/>
              </w:rPr>
              <w:t>(3)</w:t>
            </w:r>
          </w:p>
        </w:tc>
        <w:tc>
          <w:tcPr>
            <w:tcW w:w="1640" w:type="dxa"/>
            <w:vAlign w:val="bottom"/>
            <w:gridSpan w:val="2"/>
          </w:tcPr>
          <w:p>
            <w:pPr>
              <w:jc w:val="right"/>
              <w:ind w:right="160"/>
              <w:spacing w:after="0"/>
              <w:rPr>
                <w:sz w:val="20"/>
                <w:szCs w:val="20"/>
                <w:color w:val="auto"/>
              </w:rPr>
            </w:pPr>
            <w:r>
              <w:rPr>
                <w:rFonts w:ascii="Arial" w:cs="Arial" w:eastAsia="Arial" w:hAnsi="Arial"/>
                <w:sz w:val="15"/>
                <w:szCs w:val="15"/>
                <w:color w:val="auto"/>
              </w:rPr>
              <w:t>None</w:t>
            </w:r>
          </w:p>
        </w:tc>
        <w:tc>
          <w:tcPr>
            <w:tcW w:w="1620" w:type="dxa"/>
            <w:vAlign w:val="bottom"/>
            <w:gridSpan w:val="2"/>
          </w:tcPr>
          <w:p>
            <w:pPr>
              <w:ind w:left="1100"/>
              <w:spacing w:after="0"/>
              <w:rPr>
                <w:sz w:val="20"/>
                <w:szCs w:val="20"/>
                <w:color w:val="auto"/>
              </w:rPr>
            </w:pPr>
            <w:r>
              <w:rPr>
                <w:rFonts w:ascii="Arial" w:cs="Arial" w:eastAsia="Arial" w:hAnsi="Arial"/>
                <w:sz w:val="15"/>
                <w:szCs w:val="15"/>
                <w:color w:val="auto"/>
              </w:rPr>
              <w:t>None</w:t>
            </w:r>
          </w:p>
        </w:tc>
        <w:tc>
          <w:tcPr>
            <w:tcW w:w="1620" w:type="dxa"/>
            <w:vAlign w:val="bottom"/>
            <w:gridSpan w:val="2"/>
          </w:tcPr>
          <w:p>
            <w:pPr>
              <w:ind w:left="1120"/>
              <w:spacing w:after="0"/>
              <w:rPr>
                <w:sz w:val="20"/>
                <w:szCs w:val="20"/>
                <w:color w:val="auto"/>
              </w:rPr>
            </w:pPr>
            <w:r>
              <w:rPr>
                <w:rFonts w:ascii="Arial" w:cs="Arial" w:eastAsia="Arial" w:hAnsi="Arial"/>
                <w:sz w:val="15"/>
                <w:szCs w:val="15"/>
                <w:color w:val="auto"/>
              </w:rPr>
              <w:t>None</w:t>
            </w:r>
          </w:p>
        </w:tc>
        <w:tc>
          <w:tcPr>
            <w:tcW w:w="1480" w:type="dxa"/>
            <w:vAlign w:val="bottom"/>
          </w:tcPr>
          <w:p>
            <w:pPr>
              <w:jc w:val="right"/>
              <w:spacing w:after="0"/>
              <w:rPr>
                <w:sz w:val="20"/>
                <w:szCs w:val="20"/>
                <w:color w:val="auto"/>
              </w:rPr>
            </w:pPr>
            <w:r>
              <w:rPr>
                <w:rFonts w:ascii="Arial" w:cs="Arial" w:eastAsia="Arial" w:hAnsi="Arial"/>
                <w:sz w:val="15"/>
                <w:szCs w:val="15"/>
                <w:color w:val="auto"/>
              </w:rPr>
              <w:t>None</w:t>
            </w:r>
          </w:p>
        </w:tc>
      </w:tr>
      <w:tr>
        <w:trPr>
          <w:trHeight w:val="20"/>
        </w:trPr>
        <w:tc>
          <w:tcPr>
            <w:tcW w:w="332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shd w:val="clear" w:color="auto" w:fill="98A3B8"/>
          </w:tcPr>
          <w:p>
            <w:pPr>
              <w:spacing w:after="0" w:line="20" w:lineRule="exact"/>
              <w:rPr>
                <w:sz w:val="1"/>
                <w:szCs w:val="1"/>
                <w:color w:val="auto"/>
              </w:rPr>
            </w:pPr>
          </w:p>
        </w:tc>
      </w:tr>
      <w:tr>
        <w:trPr>
          <w:trHeight w:val="196"/>
        </w:trPr>
        <w:tc>
          <w:tcPr>
            <w:tcW w:w="3320" w:type="dxa"/>
            <w:vAlign w:val="bottom"/>
          </w:tcPr>
          <w:p>
            <w:pPr>
              <w:spacing w:after="0"/>
              <w:rPr>
                <w:sz w:val="20"/>
                <w:szCs w:val="20"/>
                <w:color w:val="auto"/>
              </w:rPr>
            </w:pPr>
            <w:r>
              <w:rPr>
                <w:rFonts w:ascii="Arial" w:cs="Arial" w:eastAsia="Arial" w:hAnsi="Arial"/>
                <w:sz w:val="15"/>
                <w:szCs w:val="15"/>
                <w:b w:val="1"/>
                <w:bCs w:val="1"/>
                <w:color w:val="auto"/>
              </w:rPr>
              <w:t>OPP Allocation</w:t>
            </w:r>
          </w:p>
        </w:tc>
        <w:tc>
          <w:tcPr>
            <w:tcW w:w="160" w:type="dxa"/>
            <w:vAlign w:val="bottom"/>
          </w:tcPr>
          <w:p>
            <w:pPr>
              <w:spacing w:after="0"/>
              <w:rPr>
                <w:sz w:val="17"/>
                <w:szCs w:val="17"/>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5"/>
                <w:szCs w:val="15"/>
                <w:color w:val="auto"/>
              </w:rPr>
              <w:t>22.67% (2014)</w:t>
            </w: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2"/>
        </w:trPr>
        <w:tc>
          <w:tcPr>
            <w:tcW w:w="3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5"/>
                <w:szCs w:val="15"/>
                <w:color w:val="auto"/>
              </w:rPr>
              <w:t>and 24% (future)</w:t>
            </w:r>
          </w:p>
        </w:tc>
        <w:tc>
          <w:tcPr>
            <w:tcW w:w="1640" w:type="dxa"/>
            <w:vAlign w:val="bottom"/>
            <w:gridSpan w:val="2"/>
          </w:tcPr>
          <w:p>
            <w:pPr>
              <w:jc w:val="right"/>
              <w:ind w:right="160"/>
              <w:spacing w:after="0"/>
              <w:rPr>
                <w:sz w:val="20"/>
                <w:szCs w:val="20"/>
                <w:color w:val="auto"/>
              </w:rPr>
            </w:pPr>
            <w:r>
              <w:rPr>
                <w:rFonts w:ascii="Arial" w:cs="Arial" w:eastAsia="Arial" w:hAnsi="Arial"/>
                <w:sz w:val="15"/>
                <w:szCs w:val="15"/>
                <w:color w:val="auto"/>
              </w:rPr>
              <w:t>None</w:t>
            </w:r>
          </w:p>
        </w:tc>
        <w:tc>
          <w:tcPr>
            <w:tcW w:w="1620" w:type="dxa"/>
            <w:vAlign w:val="bottom"/>
            <w:gridSpan w:val="2"/>
          </w:tcPr>
          <w:p>
            <w:pPr>
              <w:jc w:val="right"/>
              <w:ind w:right="140"/>
              <w:spacing w:after="0"/>
              <w:rPr>
                <w:sz w:val="20"/>
                <w:szCs w:val="20"/>
                <w:color w:val="auto"/>
              </w:rPr>
            </w:pPr>
            <w:r>
              <w:rPr>
                <w:rFonts w:ascii="Arial" w:cs="Arial" w:eastAsia="Arial" w:hAnsi="Arial"/>
                <w:sz w:val="15"/>
                <w:szCs w:val="15"/>
                <w:color w:val="auto"/>
              </w:rPr>
              <w:t>16% (2014/future)</w:t>
            </w:r>
          </w:p>
        </w:tc>
        <w:tc>
          <w:tcPr>
            <w:tcW w:w="1620" w:type="dxa"/>
            <w:vAlign w:val="bottom"/>
            <w:gridSpan w:val="2"/>
          </w:tcPr>
          <w:p>
            <w:pPr>
              <w:ind w:left="1120"/>
              <w:spacing w:after="0"/>
              <w:rPr>
                <w:sz w:val="20"/>
                <w:szCs w:val="20"/>
                <w:color w:val="auto"/>
              </w:rPr>
            </w:pPr>
            <w:r>
              <w:rPr>
                <w:rFonts w:ascii="Arial" w:cs="Arial" w:eastAsia="Arial" w:hAnsi="Arial"/>
                <w:sz w:val="15"/>
                <w:szCs w:val="15"/>
                <w:color w:val="auto"/>
              </w:rPr>
              <w:t>None</w:t>
            </w:r>
          </w:p>
        </w:tc>
        <w:tc>
          <w:tcPr>
            <w:tcW w:w="1480" w:type="dxa"/>
            <w:vAlign w:val="bottom"/>
          </w:tcPr>
          <w:p>
            <w:pPr>
              <w:jc w:val="right"/>
              <w:spacing w:after="0"/>
              <w:rPr>
                <w:sz w:val="20"/>
                <w:szCs w:val="20"/>
                <w:color w:val="auto"/>
              </w:rPr>
            </w:pPr>
            <w:r>
              <w:rPr>
                <w:rFonts w:ascii="Arial" w:cs="Arial" w:eastAsia="Arial" w:hAnsi="Arial"/>
                <w:sz w:val="15"/>
                <w:szCs w:val="15"/>
                <w:color w:val="auto"/>
              </w:rPr>
              <w:t>None</w:t>
            </w:r>
          </w:p>
        </w:tc>
      </w:tr>
      <w:tr>
        <w:trPr>
          <w:trHeight w:val="20"/>
        </w:trPr>
        <w:tc>
          <w:tcPr>
            <w:tcW w:w="332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shd w:val="clear" w:color="auto" w:fill="98A3B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shd w:val="clear" w:color="auto" w:fill="98A3B8"/>
          </w:tcPr>
          <w:p>
            <w:pPr>
              <w:spacing w:after="0" w:line="20" w:lineRule="exact"/>
              <w:rPr>
                <w:sz w:val="1"/>
                <w:szCs w:val="1"/>
                <w:color w:val="auto"/>
              </w:rPr>
            </w:pPr>
          </w:p>
        </w:tc>
      </w:tr>
      <w:tr>
        <w:trPr>
          <w:trHeight w:val="203"/>
        </w:trPr>
        <w:tc>
          <w:tcPr>
            <w:tcW w:w="3320" w:type="dxa"/>
            <w:vAlign w:val="bottom"/>
          </w:tcPr>
          <w:p>
            <w:pPr>
              <w:spacing w:after="0"/>
              <w:rPr>
                <w:sz w:val="20"/>
                <w:szCs w:val="20"/>
                <w:color w:val="auto"/>
              </w:rPr>
            </w:pPr>
            <w:r>
              <w:rPr>
                <w:rFonts w:ascii="Arial" w:cs="Arial" w:eastAsia="Arial" w:hAnsi="Arial"/>
                <w:sz w:val="15"/>
                <w:szCs w:val="15"/>
                <w:b w:val="1"/>
                <w:bCs w:val="1"/>
                <w:color w:val="auto"/>
              </w:rPr>
              <w:t>Other Benefits</w:t>
            </w:r>
          </w:p>
        </w:tc>
        <w:tc>
          <w:tcPr>
            <w:tcW w:w="160" w:type="dxa"/>
            <w:vAlign w:val="bottom"/>
          </w:tcPr>
          <w:p>
            <w:pPr>
              <w:spacing w:after="0"/>
              <w:rPr>
                <w:sz w:val="17"/>
                <w:szCs w:val="17"/>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5"/>
                <w:szCs w:val="15"/>
                <w:color w:val="auto"/>
              </w:rPr>
              <w:t>$10M of life</w:t>
            </w: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2"/>
        </w:trPr>
        <w:tc>
          <w:tcPr>
            <w:tcW w:w="3320" w:type="dxa"/>
            <w:vAlign w:val="bottom"/>
            <w:tcBorders>
              <w:bottom w:val="single" w:sz="8" w:color="98A3B8"/>
            </w:tcBorders>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Borders>
              <w:bottom w:val="single" w:sz="8" w:color="98A3B8"/>
            </w:tcBorders>
            <w:gridSpan w:val="2"/>
          </w:tcPr>
          <w:p>
            <w:pPr>
              <w:jc w:val="right"/>
              <w:ind w:right="140"/>
              <w:spacing w:after="0"/>
              <w:rPr>
                <w:sz w:val="20"/>
                <w:szCs w:val="20"/>
                <w:color w:val="auto"/>
              </w:rPr>
            </w:pPr>
            <w:r>
              <w:rPr>
                <w:rFonts w:ascii="Arial" w:cs="Arial" w:eastAsia="Arial" w:hAnsi="Arial"/>
                <w:sz w:val="15"/>
                <w:szCs w:val="15"/>
                <w:color w:val="auto"/>
              </w:rPr>
              <w:t>insurance</w:t>
            </w:r>
          </w:p>
        </w:tc>
        <w:tc>
          <w:tcPr>
            <w:tcW w:w="1640" w:type="dxa"/>
            <w:vAlign w:val="bottom"/>
            <w:tcBorders>
              <w:bottom w:val="single" w:sz="8" w:color="98A3B8"/>
            </w:tcBorders>
            <w:gridSpan w:val="2"/>
          </w:tcPr>
          <w:p>
            <w:pPr>
              <w:jc w:val="right"/>
              <w:ind w:right="160"/>
              <w:spacing w:after="0"/>
              <w:rPr>
                <w:sz w:val="20"/>
                <w:szCs w:val="20"/>
                <w:color w:val="auto"/>
              </w:rPr>
            </w:pPr>
            <w:r>
              <w:rPr>
                <w:rFonts w:ascii="Arial" w:cs="Arial" w:eastAsia="Arial" w:hAnsi="Arial"/>
                <w:sz w:val="15"/>
                <w:szCs w:val="15"/>
                <w:color w:val="auto"/>
              </w:rPr>
              <w:t>$5M of life insurance</w:t>
            </w:r>
          </w:p>
        </w:tc>
        <w:tc>
          <w:tcPr>
            <w:tcW w:w="1620" w:type="dxa"/>
            <w:vAlign w:val="bottom"/>
            <w:tcBorders>
              <w:bottom w:val="single" w:sz="8" w:color="98A3B8"/>
            </w:tcBorders>
            <w:gridSpan w:val="2"/>
          </w:tcPr>
          <w:p>
            <w:pPr>
              <w:ind w:left="1100"/>
              <w:spacing w:after="0"/>
              <w:rPr>
                <w:sz w:val="20"/>
                <w:szCs w:val="20"/>
                <w:color w:val="auto"/>
              </w:rPr>
            </w:pPr>
            <w:r>
              <w:rPr>
                <w:rFonts w:ascii="Arial" w:cs="Arial" w:eastAsia="Arial" w:hAnsi="Arial"/>
                <w:sz w:val="15"/>
                <w:szCs w:val="15"/>
                <w:color w:val="auto"/>
              </w:rPr>
              <w:t>None</w:t>
            </w:r>
          </w:p>
        </w:tc>
        <w:tc>
          <w:tcPr>
            <w:tcW w:w="1620" w:type="dxa"/>
            <w:vAlign w:val="bottom"/>
            <w:tcBorders>
              <w:bottom w:val="single" w:sz="8" w:color="98A3B8"/>
            </w:tcBorders>
            <w:gridSpan w:val="2"/>
          </w:tcPr>
          <w:p>
            <w:pPr>
              <w:ind w:left="1120"/>
              <w:spacing w:after="0"/>
              <w:rPr>
                <w:sz w:val="20"/>
                <w:szCs w:val="20"/>
                <w:color w:val="auto"/>
              </w:rPr>
            </w:pPr>
            <w:r>
              <w:rPr>
                <w:rFonts w:ascii="Arial" w:cs="Arial" w:eastAsia="Arial" w:hAnsi="Arial"/>
                <w:sz w:val="15"/>
                <w:szCs w:val="15"/>
                <w:color w:val="auto"/>
              </w:rPr>
              <w:t>None</w:t>
            </w:r>
          </w:p>
        </w:tc>
        <w:tc>
          <w:tcPr>
            <w:tcW w:w="148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None</w:t>
            </w:r>
          </w:p>
        </w:tc>
      </w:tr>
      <w:tr>
        <w:trPr>
          <w:trHeight w:val="203"/>
        </w:trPr>
        <w:tc>
          <w:tcPr>
            <w:tcW w:w="3480" w:type="dxa"/>
            <w:vAlign w:val="bottom"/>
            <w:gridSpan w:val="2"/>
          </w:tcPr>
          <w:p>
            <w:pPr>
              <w:spacing w:after="0"/>
              <w:rPr>
                <w:sz w:val="20"/>
                <w:szCs w:val="20"/>
                <w:color w:val="auto"/>
              </w:rPr>
            </w:pPr>
            <w:r>
              <w:rPr>
                <w:rFonts w:ascii="Arial" w:cs="Arial" w:eastAsia="Arial" w:hAnsi="Arial"/>
                <w:sz w:val="15"/>
                <w:szCs w:val="15"/>
                <w:b w:val="1"/>
                <w:bCs w:val="1"/>
                <w:color w:val="auto"/>
              </w:rPr>
              <w:t>Equity Awards</w:t>
            </w:r>
          </w:p>
        </w:tc>
        <w:tc>
          <w:tcPr>
            <w:tcW w:w="7960" w:type="dxa"/>
            <w:vAlign w:val="bottom"/>
            <w:gridSpan w:val="9"/>
          </w:tcPr>
          <w:p>
            <w:pPr>
              <w:spacing w:after="0"/>
              <w:rPr>
                <w:sz w:val="20"/>
                <w:szCs w:val="20"/>
                <w:color w:val="auto"/>
              </w:rPr>
            </w:pPr>
            <w:r>
              <w:rPr>
                <w:rFonts w:ascii="Arial" w:cs="Arial" w:eastAsia="Arial" w:hAnsi="Arial"/>
                <w:sz w:val="15"/>
                <w:szCs w:val="15"/>
                <w:color w:val="auto"/>
              </w:rPr>
              <w:t>See “—Compensation Discussion and Analysis—Long-Term Equity Incentive Awards—Employment Agreement</w:t>
            </w:r>
          </w:p>
        </w:tc>
      </w:tr>
      <w:tr>
        <w:trPr>
          <w:trHeight w:val="203"/>
        </w:trPr>
        <w:tc>
          <w:tcPr>
            <w:tcW w:w="3320" w:type="dxa"/>
            <w:vAlign w:val="bottom"/>
            <w:tcBorders>
              <w:bottom w:val="single" w:sz="8" w:color="325889"/>
            </w:tcBorders>
          </w:tcPr>
          <w:p>
            <w:pPr>
              <w:spacing w:after="0"/>
              <w:rPr>
                <w:sz w:val="17"/>
                <w:szCs w:val="17"/>
                <w:color w:val="auto"/>
              </w:rPr>
            </w:pPr>
          </w:p>
        </w:tc>
        <w:tc>
          <w:tcPr>
            <w:tcW w:w="160" w:type="dxa"/>
            <w:vAlign w:val="bottom"/>
          </w:tcPr>
          <w:p>
            <w:pPr>
              <w:spacing w:after="0"/>
              <w:rPr>
                <w:sz w:val="17"/>
                <w:szCs w:val="17"/>
                <w:color w:val="auto"/>
              </w:rPr>
            </w:pPr>
          </w:p>
        </w:tc>
        <w:tc>
          <w:tcPr>
            <w:tcW w:w="4860" w:type="dxa"/>
            <w:vAlign w:val="bottom"/>
            <w:tcBorders>
              <w:bottom w:val="single" w:sz="8" w:color="325889"/>
            </w:tcBorders>
            <w:gridSpan w:val="6"/>
          </w:tcPr>
          <w:p>
            <w:pPr>
              <w:spacing w:after="0"/>
              <w:rPr>
                <w:sz w:val="20"/>
                <w:szCs w:val="20"/>
                <w:color w:val="auto"/>
              </w:rPr>
            </w:pPr>
            <w:r>
              <w:rPr>
                <w:rFonts w:ascii="Arial" w:cs="Arial" w:eastAsia="Arial" w:hAnsi="Arial"/>
                <w:sz w:val="15"/>
                <w:szCs w:val="15"/>
                <w:color w:val="auto"/>
              </w:rPr>
              <w:t>Awards” for a summary of the terms relating to equity awards.</w:t>
            </w:r>
          </w:p>
        </w:tc>
        <w:tc>
          <w:tcPr>
            <w:tcW w:w="1480" w:type="dxa"/>
            <w:vAlign w:val="bottom"/>
            <w:tcBorders>
              <w:bottom w:val="single" w:sz="8" w:color="325889"/>
            </w:tcBorders>
          </w:tcPr>
          <w:p>
            <w:pPr>
              <w:spacing w:after="0"/>
              <w:rPr>
                <w:sz w:val="17"/>
                <w:szCs w:val="17"/>
                <w:color w:val="auto"/>
              </w:rPr>
            </w:pPr>
          </w:p>
        </w:tc>
        <w:tc>
          <w:tcPr>
            <w:tcW w:w="140" w:type="dxa"/>
            <w:vAlign w:val="bottom"/>
            <w:tcBorders>
              <w:bottom w:val="single" w:sz="8" w:color="325889"/>
            </w:tcBorders>
          </w:tcPr>
          <w:p>
            <w:pPr>
              <w:spacing w:after="0"/>
              <w:rPr>
                <w:sz w:val="17"/>
                <w:szCs w:val="17"/>
                <w:color w:val="auto"/>
              </w:rPr>
            </w:pPr>
          </w:p>
        </w:tc>
        <w:tc>
          <w:tcPr>
            <w:tcW w:w="1480" w:type="dxa"/>
            <w:vAlign w:val="bottom"/>
            <w:tcBorders>
              <w:bottom w:val="single" w:sz="8" w:color="325889"/>
            </w:tcBorders>
          </w:tcPr>
          <w:p>
            <w:pPr>
              <w:spacing w:after="0"/>
              <w:rPr>
                <w:sz w:val="17"/>
                <w:szCs w:val="17"/>
                <w:color w:val="auto"/>
              </w:rPr>
            </w:pPr>
          </w:p>
        </w:tc>
      </w:tr>
    </w:tbl>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2017 Proxy Statement </w:t>
      </w:r>
      <w:r>
        <w:rPr>
          <w:rFonts w:ascii="Arial" w:cs="Arial" w:eastAsia="Arial" w:hAnsi="Arial"/>
          <w:sz w:val="15"/>
          <w:szCs w:val="15"/>
          <w:color w:val="325889"/>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83450" cy="203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0"/>
          </w:cols>
          <w:pgMar w:left="240" w:top="528" w:right="219" w:bottom="1440" w:gutter="0" w:footer="0" w:header="0"/>
        </w:sectPr>
      </w:pPr>
    </w:p>
    <w:bookmarkStart w:id="47" w:name="page48"/>
    <w:bookmarkEnd w:id="47"/>
    <w:p>
      <w:pPr>
        <w:ind w:left="5"/>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ind w:left="5"/>
        <w:spacing w:after="0"/>
        <w:rPr>
          <w:sz w:val="20"/>
          <w:szCs w:val="20"/>
          <w:color w:val="auto"/>
        </w:rPr>
      </w:pPr>
      <w:r>
        <w:rPr>
          <w:rFonts w:ascii="Arial" w:cs="Arial" w:eastAsia="Arial" w:hAnsi="Arial"/>
          <w:sz w:val="15"/>
          <w:szCs w:val="15"/>
          <w:u w:val="single" w:color="auto"/>
          <w:color w:val="325889"/>
        </w:rPr>
        <w:t>EXECUTIVE COMPENSATION</w:t>
      </w:r>
    </w:p>
    <w:p>
      <w:pPr>
        <w:spacing w:after="0" w:line="237" w:lineRule="exact"/>
        <w:rPr>
          <w:sz w:val="20"/>
          <w:szCs w:val="20"/>
          <w:color w:val="auto"/>
        </w:rPr>
      </w:pPr>
    </w:p>
    <w:tbl>
      <w:tblPr>
        <w:tblLayout w:type="fixed"/>
        <w:tblInd w:w="5" w:type="dxa"/>
        <w:tblCellMar>
          <w:top w:w="0" w:type="dxa"/>
          <w:left w:w="0" w:type="dxa"/>
          <w:bottom w:w="0" w:type="dxa"/>
          <w:right w:w="0" w:type="dxa"/>
        </w:tblCellMar>
      </w:tblPr>
      <w:tr>
        <w:trPr>
          <w:trHeight w:val="173"/>
        </w:trPr>
        <w:tc>
          <w:tcPr>
            <w:tcW w:w="2300" w:type="dxa"/>
            <w:vAlign w:val="bottom"/>
            <w:tcBorders>
              <w:bottom w:val="single" w:sz="8" w:color="325889"/>
            </w:tcBorders>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Borders>
              <w:bottom w:val="single" w:sz="8" w:color="325889"/>
            </w:tcBorders>
          </w:tcPr>
          <w:p>
            <w:pPr>
              <w:ind w:left="480"/>
              <w:spacing w:after="0"/>
              <w:rPr>
                <w:sz w:val="20"/>
                <w:szCs w:val="20"/>
                <w:color w:val="auto"/>
              </w:rPr>
            </w:pPr>
            <w:r>
              <w:rPr>
                <w:rFonts w:ascii="Arial" w:cs="Arial" w:eastAsia="Arial" w:hAnsi="Arial"/>
                <w:sz w:val="12"/>
                <w:szCs w:val="12"/>
                <w:b w:val="1"/>
                <w:bCs w:val="1"/>
                <w:color w:val="325889"/>
              </w:rPr>
              <w:t>Marc Holliday</w:t>
            </w:r>
          </w:p>
        </w:tc>
        <w:tc>
          <w:tcPr>
            <w:tcW w:w="1920" w:type="dxa"/>
            <w:vAlign w:val="bottom"/>
            <w:tcBorders>
              <w:bottom w:val="single" w:sz="8" w:color="325889"/>
            </w:tcBorders>
          </w:tcPr>
          <w:p>
            <w:pPr>
              <w:ind w:left="340"/>
              <w:spacing w:after="0"/>
              <w:rPr>
                <w:sz w:val="20"/>
                <w:szCs w:val="20"/>
                <w:color w:val="auto"/>
              </w:rPr>
            </w:pPr>
            <w:r>
              <w:rPr>
                <w:rFonts w:ascii="Arial" w:cs="Arial" w:eastAsia="Arial" w:hAnsi="Arial"/>
                <w:sz w:val="12"/>
                <w:szCs w:val="12"/>
                <w:b w:val="1"/>
                <w:bCs w:val="1"/>
                <w:color w:val="325889"/>
              </w:rPr>
              <w:t>Stephen L. Green</w:t>
            </w:r>
          </w:p>
        </w:tc>
        <w:tc>
          <w:tcPr>
            <w:tcW w:w="1380" w:type="dxa"/>
            <w:vAlign w:val="bottom"/>
            <w:tcBorders>
              <w:bottom w:val="single" w:sz="8" w:color="325889"/>
            </w:tcBorders>
          </w:tcPr>
          <w:p>
            <w:pPr>
              <w:ind w:left="200"/>
              <w:spacing w:after="0"/>
              <w:rPr>
                <w:sz w:val="20"/>
                <w:szCs w:val="20"/>
                <w:color w:val="auto"/>
              </w:rPr>
            </w:pPr>
            <w:r>
              <w:rPr>
                <w:rFonts w:ascii="Arial" w:cs="Arial" w:eastAsia="Arial" w:hAnsi="Arial"/>
                <w:sz w:val="12"/>
                <w:szCs w:val="12"/>
                <w:b w:val="1"/>
                <w:bCs w:val="1"/>
                <w:color w:val="325889"/>
              </w:rPr>
              <w:t>Andrew Mathias</w:t>
            </w:r>
          </w:p>
        </w:tc>
        <w:tc>
          <w:tcPr>
            <w:tcW w:w="2020" w:type="dxa"/>
            <w:vAlign w:val="bottom"/>
            <w:tcBorders>
              <w:bottom w:val="single" w:sz="8" w:color="325889"/>
            </w:tcBorders>
          </w:tcPr>
          <w:p>
            <w:pPr>
              <w:ind w:left="440"/>
              <w:spacing w:after="0"/>
              <w:rPr>
                <w:sz w:val="20"/>
                <w:szCs w:val="20"/>
                <w:color w:val="auto"/>
              </w:rPr>
            </w:pPr>
            <w:r>
              <w:rPr>
                <w:rFonts w:ascii="Arial" w:cs="Arial" w:eastAsia="Arial" w:hAnsi="Arial"/>
                <w:sz w:val="12"/>
                <w:szCs w:val="12"/>
                <w:b w:val="1"/>
                <w:bCs w:val="1"/>
                <w:color w:val="325889"/>
              </w:rPr>
              <w:t>Matthew J. DiLiberto</w:t>
            </w:r>
          </w:p>
        </w:tc>
        <w:tc>
          <w:tcPr>
            <w:tcW w:w="2060" w:type="dxa"/>
            <w:vAlign w:val="bottom"/>
            <w:tcBorders>
              <w:bottom w:val="single" w:sz="8" w:color="325889"/>
            </w:tcBorders>
          </w:tcPr>
          <w:p>
            <w:pPr>
              <w:ind w:left="400"/>
              <w:spacing w:after="0"/>
              <w:rPr>
                <w:sz w:val="20"/>
                <w:szCs w:val="20"/>
                <w:color w:val="auto"/>
              </w:rPr>
            </w:pPr>
            <w:r>
              <w:rPr>
                <w:rFonts w:ascii="Arial" w:cs="Arial" w:eastAsia="Arial" w:hAnsi="Arial"/>
                <w:sz w:val="12"/>
                <w:szCs w:val="12"/>
                <w:b w:val="1"/>
                <w:bCs w:val="1"/>
                <w:color w:val="325889"/>
              </w:rPr>
              <w:t>Andrew S. Levine</w:t>
            </w:r>
          </w:p>
        </w:tc>
      </w:tr>
      <w:tr>
        <w:trPr>
          <w:trHeight w:val="204"/>
        </w:trPr>
        <w:tc>
          <w:tcPr>
            <w:tcW w:w="2300" w:type="dxa"/>
            <w:vAlign w:val="bottom"/>
          </w:tcPr>
          <w:p>
            <w:pPr>
              <w:spacing w:after="0"/>
              <w:rPr>
                <w:sz w:val="20"/>
                <w:szCs w:val="20"/>
                <w:color w:val="auto"/>
              </w:rPr>
            </w:pPr>
            <w:r>
              <w:rPr>
                <w:rFonts w:ascii="Arial" w:cs="Arial" w:eastAsia="Arial" w:hAnsi="Arial"/>
                <w:sz w:val="15"/>
                <w:szCs w:val="15"/>
                <w:b w:val="1"/>
                <w:bCs w:val="1"/>
                <w:color w:val="auto"/>
              </w:rPr>
              <w:t>Severance Benefits</w:t>
            </w:r>
          </w:p>
        </w:tc>
        <w:tc>
          <w:tcPr>
            <w:tcW w:w="9140" w:type="dxa"/>
            <w:vAlign w:val="bottom"/>
            <w:gridSpan w:val="6"/>
          </w:tcPr>
          <w:p>
            <w:pPr>
              <w:ind w:left="160"/>
              <w:spacing w:after="0"/>
              <w:rPr>
                <w:sz w:val="20"/>
                <w:szCs w:val="20"/>
                <w:color w:val="auto"/>
              </w:rPr>
            </w:pPr>
            <w:r>
              <w:rPr>
                <w:rFonts w:ascii="Arial" w:cs="Arial" w:eastAsia="Arial" w:hAnsi="Arial"/>
                <w:sz w:val="15"/>
                <w:szCs w:val="15"/>
                <w:color w:val="auto"/>
              </w:rPr>
              <w:t>If the executive’s employment is terminated by us without Cause or by the executive for Good Reason during the term, the</w:t>
            </w:r>
          </w:p>
        </w:tc>
      </w:tr>
      <w:tr>
        <w:trPr>
          <w:trHeight w:val="178"/>
        </w:trPr>
        <w:tc>
          <w:tcPr>
            <w:tcW w:w="2300" w:type="dxa"/>
            <w:vAlign w:val="bottom"/>
          </w:tcPr>
          <w:p>
            <w:pPr>
              <w:spacing w:after="0"/>
              <w:rPr>
                <w:sz w:val="15"/>
                <w:szCs w:val="15"/>
                <w:color w:val="auto"/>
              </w:rPr>
            </w:pPr>
          </w:p>
        </w:tc>
        <w:tc>
          <w:tcPr>
            <w:tcW w:w="9140" w:type="dxa"/>
            <w:vAlign w:val="bottom"/>
            <w:gridSpan w:val="6"/>
          </w:tcPr>
          <w:p>
            <w:pPr>
              <w:ind w:left="160"/>
              <w:spacing w:after="0"/>
              <w:rPr>
                <w:sz w:val="20"/>
                <w:szCs w:val="20"/>
                <w:color w:val="auto"/>
              </w:rPr>
            </w:pPr>
            <w:r>
              <w:rPr>
                <w:rFonts w:ascii="Arial" w:cs="Arial" w:eastAsia="Arial" w:hAnsi="Arial"/>
                <w:sz w:val="15"/>
                <w:szCs w:val="15"/>
                <w:color w:val="auto"/>
              </w:rPr>
              <w:t>executive will be entitled to the following payments or benefits subject (except if such termination is in connection with a Change-in-</w:t>
            </w:r>
          </w:p>
        </w:tc>
      </w:tr>
      <w:tr>
        <w:trPr>
          <w:trHeight w:val="186"/>
        </w:trPr>
        <w:tc>
          <w:tcPr>
            <w:tcW w:w="2300" w:type="dxa"/>
            <w:vAlign w:val="bottom"/>
          </w:tcPr>
          <w:p>
            <w:pPr>
              <w:spacing w:after="0"/>
              <w:rPr>
                <w:sz w:val="16"/>
                <w:szCs w:val="16"/>
                <w:color w:val="auto"/>
              </w:rPr>
            </w:pPr>
          </w:p>
        </w:tc>
        <w:tc>
          <w:tcPr>
            <w:tcW w:w="3680" w:type="dxa"/>
            <w:vAlign w:val="bottom"/>
            <w:gridSpan w:val="3"/>
          </w:tcPr>
          <w:p>
            <w:pPr>
              <w:ind w:left="160"/>
              <w:spacing w:after="0"/>
              <w:rPr>
                <w:sz w:val="20"/>
                <w:szCs w:val="20"/>
                <w:color w:val="auto"/>
              </w:rPr>
            </w:pPr>
            <w:r>
              <w:rPr>
                <w:rFonts w:ascii="Arial" w:cs="Arial" w:eastAsia="Arial" w:hAnsi="Arial"/>
                <w:sz w:val="15"/>
                <w:szCs w:val="15"/>
                <w:color w:val="auto"/>
              </w:rPr>
              <w:t>Control) to the effectiveness of a mutual release:</w:t>
            </w:r>
          </w:p>
        </w:tc>
        <w:tc>
          <w:tcPr>
            <w:tcW w:w="13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431"/>
        </w:trPr>
        <w:tc>
          <w:tcPr>
            <w:tcW w:w="2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20" w:type="dxa"/>
            <w:vAlign w:val="bottom"/>
            <w:gridSpan w:val="2"/>
          </w:tcPr>
          <w:p>
            <w:pPr>
              <w:ind w:left="1000"/>
              <w:spacing w:after="0"/>
              <w:rPr>
                <w:sz w:val="20"/>
                <w:szCs w:val="20"/>
                <w:color w:val="auto"/>
              </w:rPr>
            </w:pPr>
            <w:r>
              <w:rPr>
                <w:rFonts w:ascii="Arial" w:cs="Arial" w:eastAsia="Arial" w:hAnsi="Arial"/>
                <w:sz w:val="12"/>
                <w:szCs w:val="12"/>
                <w:b w:val="1"/>
                <w:bCs w:val="1"/>
                <w:color w:val="325889"/>
              </w:rPr>
              <w:t>Termination without Change-in-Control</w:t>
            </w:r>
          </w:p>
        </w:tc>
        <w:tc>
          <w:tcPr>
            <w:tcW w:w="1380" w:type="dxa"/>
            <w:vAlign w:val="bottom"/>
          </w:tcPr>
          <w:p>
            <w:pPr>
              <w:spacing w:after="0"/>
              <w:rPr>
                <w:sz w:val="24"/>
                <w:szCs w:val="24"/>
                <w:color w:val="auto"/>
              </w:rPr>
            </w:pPr>
          </w:p>
        </w:tc>
        <w:tc>
          <w:tcPr>
            <w:tcW w:w="4080" w:type="dxa"/>
            <w:vAlign w:val="bottom"/>
            <w:gridSpan w:val="2"/>
          </w:tcPr>
          <w:p>
            <w:pPr>
              <w:ind w:left="280"/>
              <w:spacing w:after="0"/>
              <w:rPr>
                <w:sz w:val="20"/>
                <w:szCs w:val="20"/>
                <w:color w:val="auto"/>
              </w:rPr>
            </w:pPr>
            <w:r>
              <w:rPr>
                <w:rFonts w:ascii="Arial" w:cs="Arial" w:eastAsia="Arial" w:hAnsi="Arial"/>
                <w:sz w:val="12"/>
                <w:szCs w:val="12"/>
                <w:b w:val="1"/>
                <w:bCs w:val="1"/>
                <w:color w:val="325889"/>
              </w:rPr>
              <w:t>Termination with Change-in-Control</w:t>
            </w:r>
            <w:r>
              <w:rPr>
                <w:rFonts w:ascii="Arial" w:cs="Arial" w:eastAsia="Arial" w:hAnsi="Arial"/>
                <w:sz w:val="19"/>
                <w:szCs w:val="19"/>
                <w:b w:val="1"/>
                <w:bCs w:val="1"/>
                <w:color w:val="325889"/>
                <w:vertAlign w:val="superscript"/>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-16510</wp:posOffset>
            </wp:positionV>
            <wp:extent cx="4791710" cy="152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791710" cy="15240"/>
                    </a:xfrm>
                    <a:prstGeom prst="rect">
                      <a:avLst/>
                    </a:prstGeom>
                    <a:noFill/>
                  </pic:spPr>
                </pic:pic>
              </a:graphicData>
            </a:graphic>
          </wp:anchor>
        </w:drawing>
      </w:r>
    </w:p>
    <w:p>
      <w:pPr>
        <w:sectPr>
          <w:pgSz w:w="11900" w:h="16838" w:orient="portrait"/>
          <w:cols w:equalWidth="0" w:num="1">
            <w:col w:w="11445"/>
          </w:cols>
          <w:pgMar w:left="235" w:top="528" w:right="219" w:bottom="1440" w:gutter="0" w:footer="0" w:header="0"/>
        </w:sectPr>
      </w:pPr>
    </w:p>
    <w:p>
      <w:pPr>
        <w:ind w:left="3365" w:right="453" w:hanging="237"/>
        <w:spacing w:after="0" w:line="288" w:lineRule="auto"/>
        <w:tabs>
          <w:tab w:leader="none" w:pos="3345" w:val="left"/>
        </w:tabs>
        <w:numPr>
          <w:ilvl w:val="0"/>
          <w:numId w:val="62"/>
        </w:numPr>
        <w:rPr>
          <w:rFonts w:ascii="Arial" w:cs="Arial" w:eastAsia="Arial" w:hAnsi="Arial"/>
          <w:sz w:val="15"/>
          <w:szCs w:val="15"/>
          <w:color w:val="325889"/>
        </w:rPr>
      </w:pPr>
      <w:r>
        <w:rPr>
          <w:rFonts w:ascii="Arial" w:cs="Arial" w:eastAsia="Arial" w:hAnsi="Arial"/>
          <w:sz w:val="15"/>
          <w:szCs w:val="15"/>
          <w:color w:val="auto"/>
        </w:rPr>
        <w:t>1x average annual base salary, deferred compensation, if any, and bonus</w:t>
      </w:r>
      <w:r>
        <w:rPr>
          <w:rFonts w:ascii="Arial" w:cs="Arial" w:eastAsia="Arial" w:hAnsi="Arial"/>
          <w:sz w:val="25"/>
          <w:szCs w:val="25"/>
          <w:color w:val="auto"/>
          <w:vertAlign w:val="superscript"/>
        </w:rPr>
        <w:t>(5)</w:t>
      </w:r>
    </w:p>
    <w:p>
      <w:pPr>
        <w:spacing w:after="0" w:line="40" w:lineRule="exact"/>
        <w:rPr>
          <w:rFonts w:ascii="Arial" w:cs="Arial" w:eastAsia="Arial" w:hAnsi="Arial"/>
          <w:sz w:val="15"/>
          <w:szCs w:val="15"/>
          <w:color w:val="325889"/>
        </w:rPr>
      </w:pPr>
    </w:p>
    <w:p>
      <w:pPr>
        <w:ind w:left="3345" w:hanging="217"/>
        <w:spacing w:after="0"/>
        <w:tabs>
          <w:tab w:leader="none" w:pos="3345" w:val="left"/>
        </w:tabs>
        <w:numPr>
          <w:ilvl w:val="0"/>
          <w:numId w:val="62"/>
        </w:numPr>
        <w:rPr>
          <w:rFonts w:ascii="Arial" w:cs="Arial" w:eastAsia="Arial" w:hAnsi="Arial"/>
          <w:sz w:val="15"/>
          <w:szCs w:val="15"/>
          <w:color w:val="325889"/>
        </w:rPr>
      </w:pPr>
      <w:r>
        <w:rPr>
          <w:rFonts w:ascii="Arial" w:cs="Arial" w:eastAsia="Arial" w:hAnsi="Arial"/>
          <w:sz w:val="15"/>
          <w:szCs w:val="15"/>
          <w:color w:val="auto"/>
        </w:rPr>
        <w:t>Pro-rata bonus for partial year</w:t>
      </w:r>
      <w:r>
        <w:rPr>
          <w:rFonts w:ascii="Arial" w:cs="Arial" w:eastAsia="Arial" w:hAnsi="Arial"/>
          <w:sz w:val="25"/>
          <w:szCs w:val="25"/>
          <w:color w:val="auto"/>
          <w:vertAlign w:val="superscript"/>
        </w:rPr>
        <w:t>(6)</w:t>
      </w:r>
    </w:p>
    <w:p>
      <w:pPr>
        <w:spacing w:after="0" w:line="20" w:lineRule="exact"/>
        <w:rPr>
          <w:sz w:val="20"/>
          <w:szCs w:val="20"/>
          <w:color w:val="auto"/>
        </w:rPr>
      </w:pPr>
      <w:r>
        <w:rPr>
          <w:sz w:val="20"/>
          <w:szCs w:val="20"/>
          <w:color w:val="auto"/>
        </w:rPr>
        <w:br w:type="column"/>
      </w:r>
    </w:p>
    <w:p>
      <w:pPr>
        <w:jc w:val="both"/>
        <w:ind w:left="227" w:right="1600" w:hanging="227"/>
        <w:spacing w:after="0" w:line="273" w:lineRule="auto"/>
        <w:tabs>
          <w:tab w:leader="none" w:pos="207" w:val="left"/>
        </w:tabs>
        <w:numPr>
          <w:ilvl w:val="0"/>
          <w:numId w:val="63"/>
        </w:numPr>
        <w:rPr>
          <w:rFonts w:ascii="Arial" w:cs="Arial" w:eastAsia="Arial" w:hAnsi="Arial"/>
          <w:sz w:val="15"/>
          <w:szCs w:val="15"/>
          <w:color w:val="325889"/>
        </w:rPr>
      </w:pPr>
      <w:r>
        <w:rPr>
          <w:rFonts w:ascii="Arial" w:cs="Arial" w:eastAsia="Arial" w:hAnsi="Arial"/>
          <w:sz w:val="15"/>
          <w:szCs w:val="15"/>
          <w:color w:val="auto"/>
        </w:rPr>
        <w:t>2x-3x average annual base salary, deferred compensation, if any, and bonus</w:t>
      </w:r>
      <w:r>
        <w:rPr>
          <w:rFonts w:ascii="Arial" w:cs="Arial" w:eastAsia="Arial" w:hAnsi="Arial"/>
          <w:sz w:val="25"/>
          <w:szCs w:val="25"/>
          <w:color w:val="auto"/>
          <w:vertAlign w:val="superscript"/>
        </w:rPr>
        <w:t>(5)</w:t>
      </w:r>
    </w:p>
    <w:p>
      <w:pPr>
        <w:spacing w:after="0" w:line="1" w:lineRule="exact"/>
        <w:rPr>
          <w:rFonts w:ascii="Arial" w:cs="Arial" w:eastAsia="Arial" w:hAnsi="Arial"/>
          <w:sz w:val="15"/>
          <w:szCs w:val="15"/>
          <w:color w:val="325889"/>
        </w:rPr>
      </w:pPr>
    </w:p>
    <w:p>
      <w:pPr>
        <w:ind w:left="207" w:hanging="207"/>
        <w:spacing w:after="0"/>
        <w:tabs>
          <w:tab w:leader="none" w:pos="207" w:val="left"/>
        </w:tabs>
        <w:numPr>
          <w:ilvl w:val="0"/>
          <w:numId w:val="63"/>
        </w:numPr>
        <w:rPr>
          <w:rFonts w:ascii="Arial" w:cs="Arial" w:eastAsia="Arial" w:hAnsi="Arial"/>
          <w:sz w:val="15"/>
          <w:szCs w:val="15"/>
          <w:color w:val="325889"/>
        </w:rPr>
      </w:pPr>
      <w:r>
        <w:rPr>
          <w:rFonts w:ascii="Arial" w:cs="Arial" w:eastAsia="Arial" w:hAnsi="Arial"/>
          <w:sz w:val="15"/>
          <w:szCs w:val="15"/>
          <w:color w:val="auto"/>
        </w:rPr>
        <w:t>Pro-rata bonus for partial year</w:t>
      </w:r>
      <w:r>
        <w:rPr>
          <w:rFonts w:ascii="Arial" w:cs="Arial" w:eastAsia="Arial" w:hAnsi="Arial"/>
          <w:sz w:val="25"/>
          <w:szCs w:val="25"/>
          <w:color w:val="auto"/>
          <w:vertAlign w:val="superscript"/>
        </w:rPr>
        <w:t>(6)</w:t>
      </w:r>
    </w:p>
    <w:p>
      <w:pPr>
        <w:spacing w:after="0" w:line="1" w:lineRule="exact"/>
        <w:rPr>
          <w:sz w:val="20"/>
          <w:szCs w:val="20"/>
          <w:color w:val="auto"/>
        </w:rPr>
      </w:pPr>
    </w:p>
    <w:p>
      <w:pPr>
        <w:sectPr>
          <w:pgSz w:w="11900" w:h="16838" w:orient="portrait"/>
          <w:cols w:equalWidth="0" w:num="2">
            <w:col w:w="6538" w:space="720"/>
            <w:col w:w="4187"/>
          </w:cols>
          <w:pgMar w:left="235" w:top="528" w:right="219" w:bottom="1440" w:gutter="0" w:footer="0" w:header="0"/>
          <w:type w:val="continuous"/>
        </w:sectPr>
      </w:pPr>
    </w:p>
    <w:tbl>
      <w:tblPr>
        <w:tblLayout w:type="fixed"/>
        <w:tblInd w:w="5" w:type="dxa"/>
        <w:tblCellMar>
          <w:top w:w="0" w:type="dxa"/>
          <w:left w:w="0" w:type="dxa"/>
          <w:bottom w:w="0" w:type="dxa"/>
          <w:right w:w="0" w:type="dxa"/>
        </w:tblCellMar>
      </w:tblPr>
      <w:tr>
        <w:trPr>
          <w:trHeight w:val="190"/>
        </w:trPr>
        <w:tc>
          <w:tcPr>
            <w:tcW w:w="2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120" w:type="dxa"/>
            <w:vAlign w:val="bottom"/>
            <w:gridSpan w:val="2"/>
          </w:tcPr>
          <w:p>
            <w:pPr>
              <w:ind w:left="240"/>
              <w:spacing w:after="0"/>
              <w:rPr>
                <w:sz w:val="20"/>
                <w:szCs w:val="20"/>
                <w:color w:val="auto"/>
              </w:rPr>
            </w:pPr>
            <w:r>
              <w:rPr>
                <w:rFonts w:ascii="Arial" w:cs="Arial" w:eastAsia="Arial" w:hAnsi="Arial"/>
                <w:sz w:val="15"/>
                <w:szCs w:val="15"/>
                <w:color w:val="325889"/>
              </w:rPr>
              <w:t xml:space="preserve">●  </w:t>
            </w:r>
            <w:r>
              <w:rPr>
                <w:rFonts w:ascii="Arial" w:cs="Arial" w:eastAsia="Arial" w:hAnsi="Arial"/>
                <w:sz w:val="15"/>
                <w:szCs w:val="15"/>
                <w:color w:val="000000"/>
              </w:rPr>
              <w:t>Acceleration of all unvested equity awards</w:t>
            </w:r>
          </w:p>
        </w:tc>
        <w:tc>
          <w:tcPr>
            <w:tcW w:w="400" w:type="dxa"/>
            <w:vAlign w:val="bottom"/>
            <w:vMerge w:val="restart"/>
          </w:tcPr>
          <w:p>
            <w:pPr>
              <w:ind w:left="260"/>
              <w:spacing w:after="0"/>
              <w:rPr>
                <w:sz w:val="20"/>
                <w:szCs w:val="20"/>
                <w:color w:val="auto"/>
              </w:rPr>
            </w:pPr>
            <w:r>
              <w:rPr>
                <w:rFonts w:ascii="Arial" w:cs="Arial" w:eastAsia="Arial" w:hAnsi="Arial"/>
                <w:sz w:val="15"/>
                <w:szCs w:val="15"/>
                <w:color w:val="325889"/>
              </w:rPr>
              <w:t>●</w:t>
            </w:r>
          </w:p>
        </w:tc>
        <w:tc>
          <w:tcPr>
            <w:tcW w:w="4040" w:type="dxa"/>
            <w:vAlign w:val="bottom"/>
            <w:gridSpan w:val="2"/>
            <w:vMerge w:val="restart"/>
          </w:tcPr>
          <w:p>
            <w:pPr>
              <w:ind w:left="60"/>
              <w:spacing w:after="0"/>
              <w:rPr>
                <w:sz w:val="20"/>
                <w:szCs w:val="20"/>
                <w:color w:val="auto"/>
              </w:rPr>
            </w:pPr>
            <w:r>
              <w:rPr>
                <w:rFonts w:ascii="Arial" w:cs="Arial" w:eastAsia="Arial" w:hAnsi="Arial"/>
                <w:sz w:val="15"/>
                <w:szCs w:val="15"/>
                <w:color w:val="auto"/>
              </w:rPr>
              <w:t>Acceleration of all unvested equity awards</w:t>
            </w:r>
          </w:p>
        </w:tc>
        <w:tc>
          <w:tcPr>
            <w:tcW w:w="0" w:type="dxa"/>
            <w:vAlign w:val="bottom"/>
          </w:tcPr>
          <w:p>
            <w:pPr>
              <w:spacing w:after="0"/>
              <w:rPr>
                <w:sz w:val="1"/>
                <w:szCs w:val="1"/>
                <w:color w:val="auto"/>
              </w:rPr>
            </w:pPr>
          </w:p>
        </w:tc>
      </w:tr>
      <w:tr>
        <w:trPr>
          <w:trHeight w:val="154"/>
        </w:trPr>
        <w:tc>
          <w:tcPr>
            <w:tcW w:w="2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120" w:type="dxa"/>
            <w:vAlign w:val="bottom"/>
            <w:gridSpan w:val="2"/>
          </w:tcPr>
          <w:p>
            <w:pPr>
              <w:ind w:left="480"/>
              <w:spacing w:after="0" w:line="154" w:lineRule="exact"/>
              <w:rPr>
                <w:sz w:val="20"/>
                <w:szCs w:val="20"/>
                <w:color w:val="auto"/>
              </w:rPr>
            </w:pPr>
            <w:r>
              <w:rPr>
                <w:rFonts w:ascii="Arial" w:cs="Arial" w:eastAsia="Arial" w:hAnsi="Arial"/>
                <w:sz w:val="15"/>
                <w:szCs w:val="15"/>
                <w:color w:val="auto"/>
              </w:rPr>
              <w:t>(other than OPP awards) and deferred</w:t>
            </w:r>
          </w:p>
        </w:tc>
        <w:tc>
          <w:tcPr>
            <w:tcW w:w="400" w:type="dxa"/>
            <w:vAlign w:val="bottom"/>
            <w:vMerge w:val="continue"/>
          </w:tcPr>
          <w:p>
            <w:pPr>
              <w:spacing w:after="0"/>
              <w:rPr>
                <w:sz w:val="13"/>
                <w:szCs w:val="13"/>
                <w:color w:val="auto"/>
              </w:rPr>
            </w:pPr>
          </w:p>
        </w:tc>
        <w:tc>
          <w:tcPr>
            <w:tcW w:w="40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120" w:type="dxa"/>
            <w:vAlign w:val="bottom"/>
            <w:gridSpan w:val="2"/>
          </w:tcPr>
          <w:p>
            <w:pPr>
              <w:ind w:left="480"/>
              <w:spacing w:after="0"/>
              <w:rPr>
                <w:sz w:val="20"/>
                <w:szCs w:val="20"/>
                <w:color w:val="auto"/>
              </w:rPr>
            </w:pPr>
            <w:r>
              <w:rPr>
                <w:rFonts w:ascii="Arial" w:cs="Arial" w:eastAsia="Arial" w:hAnsi="Arial"/>
                <w:sz w:val="15"/>
                <w:szCs w:val="15"/>
                <w:color w:val="auto"/>
              </w:rPr>
              <w:t>compensation, if any</w:t>
            </w:r>
          </w:p>
        </w:tc>
        <w:tc>
          <w:tcPr>
            <w:tcW w:w="400" w:type="dxa"/>
            <w:vAlign w:val="bottom"/>
          </w:tcPr>
          <w:p>
            <w:pPr>
              <w:spacing w:after="0"/>
              <w:rPr>
                <w:sz w:val="15"/>
                <w:szCs w:val="15"/>
                <w:color w:val="auto"/>
              </w:rPr>
            </w:pPr>
          </w:p>
        </w:tc>
        <w:tc>
          <w:tcPr>
            <w:tcW w:w="4040" w:type="dxa"/>
            <w:vAlign w:val="bottom"/>
            <w:gridSpan w:val="2"/>
          </w:tcPr>
          <w:p>
            <w:pPr>
              <w:ind w:left="80"/>
              <w:spacing w:after="0"/>
              <w:rPr>
                <w:sz w:val="20"/>
                <w:szCs w:val="20"/>
                <w:color w:val="auto"/>
              </w:rPr>
            </w:pPr>
            <w:r>
              <w:rPr>
                <w:rFonts w:ascii="Arial" w:cs="Arial" w:eastAsia="Arial" w:hAnsi="Arial"/>
                <w:sz w:val="15"/>
                <w:szCs w:val="15"/>
                <w:color w:val="auto"/>
              </w:rPr>
              <w:t>(other than OPP awards) and deferred</w:t>
            </w:r>
          </w:p>
        </w:tc>
        <w:tc>
          <w:tcPr>
            <w:tcW w:w="0" w:type="dxa"/>
            <w:vAlign w:val="bottom"/>
          </w:tcPr>
          <w:p>
            <w:pPr>
              <w:spacing w:after="0"/>
              <w:rPr>
                <w:sz w:val="1"/>
                <w:szCs w:val="1"/>
                <w:color w:val="auto"/>
              </w:rPr>
            </w:pPr>
          </w:p>
        </w:tc>
      </w:tr>
      <w:tr>
        <w:trPr>
          <w:trHeight w:val="186"/>
        </w:trPr>
        <w:tc>
          <w:tcPr>
            <w:tcW w:w="2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40" w:type="dxa"/>
            <w:vAlign w:val="bottom"/>
            <w:gridSpan w:val="2"/>
          </w:tcPr>
          <w:p>
            <w:pPr>
              <w:ind w:left="80"/>
              <w:spacing w:after="0"/>
              <w:rPr>
                <w:sz w:val="20"/>
                <w:szCs w:val="20"/>
                <w:color w:val="auto"/>
              </w:rPr>
            </w:pPr>
            <w:r>
              <w:rPr>
                <w:rFonts w:ascii="Arial" w:cs="Arial" w:eastAsia="Arial" w:hAnsi="Arial"/>
                <w:sz w:val="15"/>
                <w:szCs w:val="15"/>
                <w:color w:val="auto"/>
              </w:rPr>
              <w:t>compensation, if any</w:t>
            </w:r>
          </w:p>
        </w:tc>
        <w:tc>
          <w:tcPr>
            <w:tcW w:w="0" w:type="dxa"/>
            <w:vAlign w:val="bottom"/>
          </w:tcPr>
          <w:p>
            <w:pPr>
              <w:spacing w:after="0"/>
              <w:rPr>
                <w:sz w:val="1"/>
                <w:szCs w:val="1"/>
                <w:color w:val="auto"/>
              </w:rPr>
            </w:pPr>
          </w:p>
        </w:tc>
      </w:tr>
      <w:tr>
        <w:trPr>
          <w:trHeight w:val="214"/>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120" w:type="dxa"/>
            <w:vAlign w:val="bottom"/>
            <w:gridSpan w:val="2"/>
          </w:tcPr>
          <w:p>
            <w:pPr>
              <w:ind w:left="240"/>
              <w:spacing w:after="0"/>
              <w:rPr>
                <w:sz w:val="20"/>
                <w:szCs w:val="20"/>
                <w:color w:val="auto"/>
              </w:rPr>
            </w:pPr>
            <w:r>
              <w:rPr>
                <w:rFonts w:ascii="Arial" w:cs="Arial" w:eastAsia="Arial" w:hAnsi="Arial"/>
                <w:sz w:val="15"/>
                <w:szCs w:val="15"/>
                <w:color w:val="325889"/>
              </w:rPr>
              <w:t xml:space="preserve">●  </w:t>
            </w:r>
            <w:r>
              <w:rPr>
                <w:rFonts w:ascii="Arial" w:cs="Arial" w:eastAsia="Arial" w:hAnsi="Arial"/>
                <w:sz w:val="15"/>
                <w:szCs w:val="15"/>
                <w:color w:val="000000"/>
              </w:rPr>
              <w:t>Grant of certain employment agreement</w:t>
            </w:r>
          </w:p>
        </w:tc>
        <w:tc>
          <w:tcPr>
            <w:tcW w:w="400" w:type="dxa"/>
            <w:vAlign w:val="bottom"/>
            <w:vMerge w:val="restart"/>
          </w:tcPr>
          <w:p>
            <w:pPr>
              <w:ind w:left="260"/>
              <w:spacing w:after="0"/>
              <w:rPr>
                <w:sz w:val="20"/>
                <w:szCs w:val="20"/>
                <w:color w:val="auto"/>
              </w:rPr>
            </w:pPr>
            <w:r>
              <w:rPr>
                <w:rFonts w:ascii="Arial" w:cs="Arial" w:eastAsia="Arial" w:hAnsi="Arial"/>
                <w:sz w:val="15"/>
                <w:szCs w:val="15"/>
                <w:color w:val="325889"/>
              </w:rPr>
              <w:t>●</w:t>
            </w:r>
          </w:p>
        </w:tc>
        <w:tc>
          <w:tcPr>
            <w:tcW w:w="4040" w:type="dxa"/>
            <w:vAlign w:val="bottom"/>
            <w:gridSpan w:val="2"/>
            <w:vMerge w:val="restart"/>
          </w:tcPr>
          <w:p>
            <w:pPr>
              <w:ind w:left="60"/>
              <w:spacing w:after="0"/>
              <w:rPr>
                <w:sz w:val="20"/>
                <w:szCs w:val="20"/>
                <w:color w:val="auto"/>
              </w:rPr>
            </w:pPr>
            <w:r>
              <w:rPr>
                <w:rFonts w:ascii="Arial" w:cs="Arial" w:eastAsia="Arial" w:hAnsi="Arial"/>
                <w:sz w:val="15"/>
                <w:szCs w:val="15"/>
                <w:color w:val="auto"/>
              </w:rPr>
              <w:t>Grant of employment agreement awards</w:t>
            </w:r>
          </w:p>
        </w:tc>
        <w:tc>
          <w:tcPr>
            <w:tcW w:w="0" w:type="dxa"/>
            <w:vAlign w:val="bottom"/>
          </w:tcPr>
          <w:p>
            <w:pPr>
              <w:spacing w:after="0"/>
              <w:rPr>
                <w:sz w:val="1"/>
                <w:szCs w:val="1"/>
                <w:color w:val="auto"/>
              </w:rPr>
            </w:pPr>
          </w:p>
        </w:tc>
      </w:tr>
      <w:tr>
        <w:trPr>
          <w:trHeight w:val="179"/>
        </w:trPr>
        <w:tc>
          <w:tcPr>
            <w:tcW w:w="2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120" w:type="dxa"/>
            <w:vAlign w:val="bottom"/>
            <w:gridSpan w:val="2"/>
          </w:tcPr>
          <w:p>
            <w:pPr>
              <w:ind w:left="480"/>
              <w:spacing w:after="0" w:line="180" w:lineRule="exact"/>
              <w:rPr>
                <w:sz w:val="20"/>
                <w:szCs w:val="20"/>
                <w:color w:val="auto"/>
              </w:rPr>
            </w:pPr>
            <w:r>
              <w:rPr>
                <w:rFonts w:ascii="Arial" w:cs="Arial" w:eastAsia="Arial" w:hAnsi="Arial"/>
                <w:sz w:val="13"/>
                <w:szCs w:val="13"/>
                <w:color w:val="auto"/>
              </w:rPr>
              <w:t>equity awards not previously granted</w:t>
            </w:r>
            <w:r>
              <w:rPr>
                <w:rFonts w:ascii="Arial" w:cs="Arial" w:eastAsia="Arial" w:hAnsi="Arial"/>
                <w:sz w:val="20"/>
                <w:szCs w:val="20"/>
                <w:color w:val="auto"/>
                <w:vertAlign w:val="superscript"/>
              </w:rPr>
              <w:t>(7)</w:t>
            </w:r>
          </w:p>
        </w:tc>
        <w:tc>
          <w:tcPr>
            <w:tcW w:w="400" w:type="dxa"/>
            <w:vAlign w:val="bottom"/>
            <w:vMerge w:val="continue"/>
          </w:tcPr>
          <w:p>
            <w:pPr>
              <w:spacing w:after="0"/>
              <w:rPr>
                <w:sz w:val="15"/>
                <w:szCs w:val="15"/>
                <w:color w:val="auto"/>
              </w:rPr>
            </w:pPr>
          </w:p>
        </w:tc>
        <w:tc>
          <w:tcPr>
            <w:tcW w:w="4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40" w:type="dxa"/>
            <w:vAlign w:val="bottom"/>
            <w:gridSpan w:val="2"/>
          </w:tcPr>
          <w:p>
            <w:pPr>
              <w:ind w:left="80"/>
              <w:spacing w:after="0" w:line="222" w:lineRule="exact"/>
              <w:rPr>
                <w:sz w:val="20"/>
                <w:szCs w:val="20"/>
                <w:color w:val="auto"/>
              </w:rPr>
            </w:pPr>
            <w:r>
              <w:rPr>
                <w:rFonts w:ascii="Arial" w:cs="Arial" w:eastAsia="Arial" w:hAnsi="Arial"/>
                <w:sz w:val="15"/>
                <w:szCs w:val="15"/>
                <w:color w:val="auto"/>
              </w:rPr>
              <w:t>not previously granted</w:t>
            </w:r>
            <w:r>
              <w:rPr>
                <w:rFonts w:ascii="Arial" w:cs="Arial" w:eastAsia="Arial" w:hAnsi="Arial"/>
                <w:sz w:val="25"/>
                <w:szCs w:val="25"/>
                <w:color w:val="auto"/>
                <w:vertAlign w:val="superscript"/>
              </w:rPr>
              <w:t>(7)</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120" w:type="dxa"/>
            <w:vAlign w:val="bottom"/>
            <w:gridSpan w:val="2"/>
          </w:tcPr>
          <w:p>
            <w:pPr>
              <w:ind w:left="240"/>
              <w:spacing w:after="0"/>
              <w:rPr>
                <w:sz w:val="20"/>
                <w:szCs w:val="20"/>
                <w:color w:val="auto"/>
              </w:rPr>
            </w:pPr>
            <w:r>
              <w:rPr>
                <w:rFonts w:ascii="Arial" w:cs="Arial" w:eastAsia="Arial" w:hAnsi="Arial"/>
                <w:sz w:val="15"/>
                <w:szCs w:val="15"/>
                <w:color w:val="325889"/>
              </w:rPr>
              <w:t xml:space="preserve">●  </w:t>
            </w:r>
            <w:r>
              <w:rPr>
                <w:rFonts w:ascii="Arial" w:cs="Arial" w:eastAsia="Arial" w:hAnsi="Arial"/>
                <w:sz w:val="15"/>
                <w:szCs w:val="15"/>
                <w:color w:val="000000"/>
              </w:rPr>
              <w:t>Option exercise period extended to</w:t>
            </w:r>
          </w:p>
        </w:tc>
        <w:tc>
          <w:tcPr>
            <w:tcW w:w="400" w:type="dxa"/>
            <w:vAlign w:val="bottom"/>
            <w:vMerge w:val="restart"/>
          </w:tcPr>
          <w:p>
            <w:pPr>
              <w:ind w:left="260"/>
              <w:spacing w:after="0"/>
              <w:rPr>
                <w:sz w:val="20"/>
                <w:szCs w:val="20"/>
                <w:color w:val="auto"/>
              </w:rPr>
            </w:pPr>
            <w:r>
              <w:rPr>
                <w:rFonts w:ascii="Arial" w:cs="Arial" w:eastAsia="Arial" w:hAnsi="Arial"/>
                <w:sz w:val="15"/>
                <w:szCs w:val="15"/>
                <w:color w:val="325889"/>
              </w:rPr>
              <w:t>●</w:t>
            </w:r>
          </w:p>
        </w:tc>
        <w:tc>
          <w:tcPr>
            <w:tcW w:w="4040" w:type="dxa"/>
            <w:vAlign w:val="bottom"/>
            <w:gridSpan w:val="2"/>
            <w:vMerge w:val="restart"/>
          </w:tcPr>
          <w:p>
            <w:pPr>
              <w:ind w:left="60"/>
              <w:spacing w:after="0"/>
              <w:rPr>
                <w:sz w:val="20"/>
                <w:szCs w:val="20"/>
                <w:color w:val="auto"/>
              </w:rPr>
            </w:pPr>
            <w:r>
              <w:rPr>
                <w:rFonts w:ascii="Arial" w:cs="Arial" w:eastAsia="Arial" w:hAnsi="Arial"/>
                <w:sz w:val="15"/>
                <w:szCs w:val="15"/>
                <w:color w:val="auto"/>
              </w:rPr>
              <w:t>Option exercise period extended to second</w:t>
            </w:r>
          </w:p>
        </w:tc>
        <w:tc>
          <w:tcPr>
            <w:tcW w:w="0" w:type="dxa"/>
            <w:vAlign w:val="bottom"/>
          </w:tcPr>
          <w:p>
            <w:pPr>
              <w:spacing w:after="0"/>
              <w:rPr>
                <w:sz w:val="1"/>
                <w:szCs w:val="1"/>
                <w:color w:val="auto"/>
              </w:rPr>
            </w:pPr>
          </w:p>
        </w:tc>
      </w:tr>
      <w:tr>
        <w:trPr>
          <w:trHeight w:val="131"/>
        </w:trPr>
        <w:tc>
          <w:tcPr>
            <w:tcW w:w="2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120" w:type="dxa"/>
            <w:vAlign w:val="bottom"/>
            <w:gridSpan w:val="2"/>
            <w:vMerge w:val="restart"/>
          </w:tcPr>
          <w:p>
            <w:pPr>
              <w:ind w:left="480"/>
              <w:spacing w:after="0"/>
              <w:rPr>
                <w:sz w:val="20"/>
                <w:szCs w:val="20"/>
                <w:color w:val="auto"/>
              </w:rPr>
            </w:pPr>
            <w:r>
              <w:rPr>
                <w:rFonts w:ascii="Arial" w:cs="Arial" w:eastAsia="Arial" w:hAnsi="Arial"/>
                <w:sz w:val="15"/>
                <w:szCs w:val="15"/>
                <w:color w:val="auto"/>
              </w:rPr>
              <w:t>second January 1</w:t>
            </w:r>
            <w:r>
              <w:rPr>
                <w:rFonts w:ascii="Arial" w:cs="Arial" w:eastAsia="Arial" w:hAnsi="Arial"/>
                <w:sz w:val="25"/>
                <w:szCs w:val="25"/>
                <w:color w:val="auto"/>
                <w:vertAlign w:val="superscript"/>
              </w:rPr>
              <w:t>st</w:t>
            </w:r>
            <w:r>
              <w:rPr>
                <w:rFonts w:ascii="Arial" w:cs="Arial" w:eastAsia="Arial" w:hAnsi="Arial"/>
                <w:sz w:val="15"/>
                <w:szCs w:val="15"/>
                <w:color w:val="auto"/>
              </w:rPr>
              <w:t xml:space="preserve"> following termination</w:t>
            </w:r>
          </w:p>
        </w:tc>
        <w:tc>
          <w:tcPr>
            <w:tcW w:w="400" w:type="dxa"/>
            <w:vAlign w:val="bottom"/>
            <w:vMerge w:val="continue"/>
          </w:tcPr>
          <w:p>
            <w:pPr>
              <w:spacing w:after="0"/>
              <w:rPr>
                <w:sz w:val="11"/>
                <w:szCs w:val="11"/>
                <w:color w:val="auto"/>
              </w:rPr>
            </w:pPr>
          </w:p>
        </w:tc>
        <w:tc>
          <w:tcPr>
            <w:tcW w:w="4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12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4040" w:type="dxa"/>
            <w:vAlign w:val="bottom"/>
            <w:gridSpan w:val="2"/>
            <w:vMerge w:val="restart"/>
          </w:tcPr>
          <w:p>
            <w:pPr>
              <w:ind w:left="80"/>
              <w:spacing w:after="0" w:line="259" w:lineRule="exact"/>
              <w:rPr>
                <w:sz w:val="20"/>
                <w:szCs w:val="20"/>
                <w:color w:val="auto"/>
              </w:rPr>
            </w:pPr>
            <w:r>
              <w:rPr>
                <w:rFonts w:ascii="Arial" w:cs="Arial" w:eastAsia="Arial" w:hAnsi="Arial"/>
                <w:sz w:val="15"/>
                <w:szCs w:val="15"/>
                <w:color w:val="auto"/>
              </w:rPr>
              <w:t>January 1</w:t>
            </w:r>
            <w:r>
              <w:rPr>
                <w:rFonts w:ascii="Arial" w:cs="Arial" w:eastAsia="Arial" w:hAnsi="Arial"/>
                <w:sz w:val="25"/>
                <w:szCs w:val="25"/>
                <w:color w:val="auto"/>
                <w:vertAlign w:val="superscript"/>
              </w:rPr>
              <w:t>st</w:t>
            </w:r>
            <w:r>
              <w:rPr>
                <w:rFonts w:ascii="Arial" w:cs="Arial" w:eastAsia="Arial" w:hAnsi="Arial"/>
                <w:sz w:val="15"/>
                <w:szCs w:val="15"/>
                <w:color w:val="auto"/>
              </w:rPr>
              <w:t xml:space="preserve"> following termination</w:t>
            </w:r>
          </w:p>
        </w:tc>
        <w:tc>
          <w:tcPr>
            <w:tcW w:w="0" w:type="dxa"/>
            <w:vAlign w:val="bottom"/>
          </w:tcPr>
          <w:p>
            <w:pPr>
              <w:spacing w:after="0"/>
              <w:rPr>
                <w:sz w:val="1"/>
                <w:szCs w:val="1"/>
                <w:color w:val="auto"/>
              </w:rPr>
            </w:pPr>
          </w:p>
        </w:tc>
      </w:tr>
      <w:tr>
        <w:trPr>
          <w:trHeight w:val="80"/>
        </w:trPr>
        <w:tc>
          <w:tcPr>
            <w:tcW w:w="2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120" w:type="dxa"/>
            <w:vAlign w:val="bottom"/>
            <w:gridSpan w:val="2"/>
          </w:tcPr>
          <w:p>
            <w:pPr>
              <w:ind w:left="240"/>
              <w:spacing w:after="0"/>
              <w:rPr>
                <w:sz w:val="20"/>
                <w:szCs w:val="20"/>
                <w:color w:val="auto"/>
              </w:rPr>
            </w:pPr>
            <w:r>
              <w:rPr>
                <w:rFonts w:ascii="Arial" w:cs="Arial" w:eastAsia="Arial" w:hAnsi="Arial"/>
                <w:sz w:val="15"/>
                <w:szCs w:val="15"/>
                <w:color w:val="325889"/>
              </w:rPr>
              <w:t xml:space="preserve">●  </w:t>
            </w:r>
            <w:r>
              <w:rPr>
                <w:rFonts w:ascii="Arial" w:cs="Arial" w:eastAsia="Arial" w:hAnsi="Arial"/>
                <w:sz w:val="15"/>
                <w:szCs w:val="15"/>
                <w:color w:val="000000"/>
              </w:rPr>
              <w:t>12 months of benefit</w:t>
            </w:r>
          </w:p>
        </w:tc>
        <w:tc>
          <w:tcPr>
            <w:tcW w:w="4440" w:type="dxa"/>
            <w:vAlign w:val="bottom"/>
            <w:gridSpan w:val="3"/>
            <w:vMerge w:val="restart"/>
          </w:tcPr>
          <w:p>
            <w:pPr>
              <w:ind w:left="260"/>
              <w:spacing w:after="0"/>
              <w:rPr>
                <w:sz w:val="20"/>
                <w:szCs w:val="20"/>
                <w:color w:val="auto"/>
              </w:rPr>
            </w:pPr>
            <w:r>
              <w:rPr>
                <w:rFonts w:ascii="Arial" w:cs="Arial" w:eastAsia="Arial" w:hAnsi="Arial"/>
                <w:sz w:val="15"/>
                <w:szCs w:val="15"/>
                <w:color w:val="325889"/>
              </w:rPr>
              <w:t xml:space="preserve">●  </w:t>
            </w:r>
            <w:r>
              <w:rPr>
                <w:rFonts w:ascii="Arial" w:cs="Arial" w:eastAsia="Arial" w:hAnsi="Arial"/>
                <w:sz w:val="15"/>
                <w:szCs w:val="15"/>
                <w:color w:val="000000"/>
              </w:rPr>
              <w:t>24 months of benefit</w:t>
            </w: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120" w:type="dxa"/>
            <w:vAlign w:val="bottom"/>
            <w:gridSpan w:val="2"/>
            <w:vMerge w:val="restart"/>
          </w:tcPr>
          <w:p>
            <w:pPr>
              <w:ind w:left="480"/>
              <w:spacing w:after="0"/>
              <w:rPr>
                <w:sz w:val="20"/>
                <w:szCs w:val="20"/>
                <w:color w:val="auto"/>
              </w:rPr>
            </w:pPr>
            <w:r>
              <w:rPr>
                <w:rFonts w:ascii="Arial" w:cs="Arial" w:eastAsia="Arial" w:hAnsi="Arial"/>
                <w:sz w:val="15"/>
                <w:szCs w:val="15"/>
                <w:color w:val="auto"/>
              </w:rPr>
              <w:t>continuation/payments</w:t>
            </w:r>
          </w:p>
        </w:tc>
        <w:tc>
          <w:tcPr>
            <w:tcW w:w="44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12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4040" w:type="dxa"/>
            <w:vAlign w:val="bottom"/>
            <w:gridSpan w:val="2"/>
            <w:vMerge w:val="restart"/>
          </w:tcPr>
          <w:p>
            <w:pPr>
              <w:ind w:left="80"/>
              <w:spacing w:after="0"/>
              <w:rPr>
                <w:sz w:val="20"/>
                <w:szCs w:val="20"/>
                <w:color w:val="auto"/>
              </w:rPr>
            </w:pPr>
            <w:r>
              <w:rPr>
                <w:rFonts w:ascii="Arial" w:cs="Arial" w:eastAsia="Arial" w:hAnsi="Arial"/>
                <w:sz w:val="15"/>
                <w:szCs w:val="15"/>
                <w:color w:val="auto"/>
              </w:rPr>
              <w:t>continuation/payments</w:t>
            </w: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99"/>
        </w:trPr>
        <w:tc>
          <w:tcPr>
            <w:tcW w:w="2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40" w:type="dxa"/>
            <w:vAlign w:val="bottom"/>
            <w:gridSpan w:val="3"/>
          </w:tcPr>
          <w:p>
            <w:pPr>
              <w:ind w:left="260"/>
              <w:spacing w:after="0"/>
              <w:rPr>
                <w:sz w:val="20"/>
                <w:szCs w:val="20"/>
                <w:color w:val="auto"/>
              </w:rPr>
            </w:pPr>
            <w:r>
              <w:rPr>
                <w:rFonts w:ascii="Arial" w:cs="Arial" w:eastAsia="Arial" w:hAnsi="Arial"/>
                <w:sz w:val="15"/>
                <w:szCs w:val="15"/>
                <w:color w:val="325889"/>
              </w:rPr>
              <w:t xml:space="preserve">●  </w:t>
            </w:r>
            <w:r>
              <w:rPr>
                <w:rFonts w:ascii="Arial" w:cs="Arial" w:eastAsia="Arial" w:hAnsi="Arial"/>
                <w:sz w:val="15"/>
                <w:szCs w:val="15"/>
                <w:color w:val="000000"/>
              </w:rPr>
              <w:t>Section 280G modified cut-back</w:t>
            </w:r>
            <w:r>
              <w:rPr>
                <w:rFonts w:ascii="Arial" w:cs="Arial" w:eastAsia="Arial" w:hAnsi="Arial"/>
                <w:sz w:val="25"/>
                <w:szCs w:val="25"/>
                <w:color w:val="000000"/>
                <w:vertAlign w:val="superscript"/>
              </w:rPr>
              <w:t>(8)</w:t>
            </w:r>
          </w:p>
        </w:tc>
        <w:tc>
          <w:tcPr>
            <w:tcW w:w="0" w:type="dxa"/>
            <w:vAlign w:val="bottom"/>
          </w:tcPr>
          <w:p>
            <w:pPr>
              <w:spacing w:after="0"/>
              <w:rPr>
                <w:sz w:val="1"/>
                <w:szCs w:val="1"/>
                <w:color w:val="auto"/>
              </w:rPr>
            </w:pPr>
          </w:p>
        </w:tc>
      </w:tr>
      <w:tr>
        <w:trPr>
          <w:trHeight w:val="108"/>
        </w:trPr>
        <w:tc>
          <w:tcPr>
            <w:tcW w:w="2300" w:type="dxa"/>
            <w:vAlign w:val="bottom"/>
            <w:tcBorders>
              <w:bottom w:val="single" w:sz="8" w:color="98A3B8"/>
            </w:tcBorders>
          </w:tcPr>
          <w:p>
            <w:pPr>
              <w:spacing w:after="0"/>
              <w:rPr>
                <w:sz w:val="9"/>
                <w:szCs w:val="9"/>
                <w:color w:val="auto"/>
              </w:rPr>
            </w:pPr>
          </w:p>
        </w:tc>
        <w:tc>
          <w:tcPr>
            <w:tcW w:w="160" w:type="dxa"/>
            <w:vAlign w:val="bottom"/>
          </w:tcPr>
          <w:p>
            <w:pPr>
              <w:spacing w:after="0"/>
              <w:rPr>
                <w:sz w:val="9"/>
                <w:szCs w:val="9"/>
                <w:color w:val="auto"/>
              </w:rPr>
            </w:pPr>
          </w:p>
        </w:tc>
        <w:tc>
          <w:tcPr>
            <w:tcW w:w="8980" w:type="dxa"/>
            <w:vAlign w:val="bottom"/>
            <w:tcBorders>
              <w:bottom w:val="single" w:sz="8" w:color="98A3B8"/>
            </w:tcBorders>
            <w:gridSpan w:val="6"/>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300" w:type="dxa"/>
            <w:vAlign w:val="bottom"/>
          </w:tcPr>
          <w:p>
            <w:pPr>
              <w:spacing w:after="0"/>
              <w:rPr>
                <w:sz w:val="20"/>
                <w:szCs w:val="20"/>
                <w:color w:val="auto"/>
              </w:rPr>
            </w:pPr>
            <w:r>
              <w:rPr>
                <w:rFonts w:ascii="Arial" w:cs="Arial" w:eastAsia="Arial" w:hAnsi="Arial"/>
                <w:sz w:val="15"/>
                <w:szCs w:val="15"/>
                <w:b w:val="1"/>
                <w:bCs w:val="1"/>
                <w:color w:val="auto"/>
              </w:rPr>
              <w:t>Death/Disability</w:t>
            </w:r>
          </w:p>
        </w:tc>
        <w:tc>
          <w:tcPr>
            <w:tcW w:w="9140" w:type="dxa"/>
            <w:vAlign w:val="bottom"/>
            <w:gridSpan w:val="7"/>
          </w:tcPr>
          <w:p>
            <w:pPr>
              <w:ind w:left="160"/>
              <w:spacing w:after="0"/>
              <w:rPr>
                <w:sz w:val="20"/>
                <w:szCs w:val="20"/>
                <w:color w:val="auto"/>
              </w:rPr>
            </w:pPr>
            <w:r>
              <w:rPr>
                <w:rFonts w:ascii="Arial" w:cs="Arial" w:eastAsia="Arial" w:hAnsi="Arial"/>
                <w:sz w:val="15"/>
                <w:szCs w:val="15"/>
                <w:color w:val="auto"/>
              </w:rPr>
              <w:t>If the executive’s employment is terminated by us upon death or disability during the term, the executive will be entitled to the</w:t>
            </w:r>
          </w:p>
        </w:tc>
        <w:tc>
          <w:tcPr>
            <w:tcW w:w="0" w:type="dxa"/>
            <w:vAlign w:val="bottom"/>
          </w:tcPr>
          <w:p>
            <w:pPr>
              <w:spacing w:after="0"/>
              <w:rPr>
                <w:sz w:val="1"/>
                <w:szCs w:val="1"/>
                <w:color w:val="auto"/>
              </w:rPr>
            </w:pPr>
          </w:p>
        </w:tc>
      </w:tr>
      <w:tr>
        <w:trPr>
          <w:trHeight w:val="186"/>
        </w:trPr>
        <w:tc>
          <w:tcPr>
            <w:tcW w:w="2300" w:type="dxa"/>
            <w:vAlign w:val="bottom"/>
          </w:tcPr>
          <w:p>
            <w:pPr>
              <w:spacing w:after="0"/>
              <w:rPr>
                <w:sz w:val="16"/>
                <w:szCs w:val="16"/>
                <w:color w:val="auto"/>
              </w:rPr>
            </w:pPr>
          </w:p>
        </w:tc>
        <w:tc>
          <w:tcPr>
            <w:tcW w:w="9140" w:type="dxa"/>
            <w:vAlign w:val="bottom"/>
            <w:gridSpan w:val="7"/>
          </w:tcPr>
          <w:p>
            <w:pPr>
              <w:ind w:left="160"/>
              <w:spacing w:after="0"/>
              <w:rPr>
                <w:sz w:val="20"/>
                <w:szCs w:val="20"/>
                <w:color w:val="auto"/>
              </w:rPr>
            </w:pPr>
            <w:r>
              <w:rPr>
                <w:rFonts w:ascii="Arial" w:cs="Arial" w:eastAsia="Arial" w:hAnsi="Arial"/>
                <w:sz w:val="15"/>
                <w:szCs w:val="15"/>
                <w:color w:val="auto"/>
              </w:rPr>
              <w:t>following payments or benefits subject (in the case of disability) to the effectiveness of a mutual release:</w:t>
            </w:r>
          </w:p>
        </w:tc>
        <w:tc>
          <w:tcPr>
            <w:tcW w:w="0" w:type="dxa"/>
            <w:vAlign w:val="bottom"/>
          </w:tcPr>
          <w:p>
            <w:pPr>
              <w:spacing w:after="0"/>
              <w:rPr>
                <w:sz w:val="1"/>
                <w:szCs w:val="1"/>
                <w:color w:val="auto"/>
              </w:rPr>
            </w:pPr>
          </w:p>
        </w:tc>
      </w:tr>
      <w:tr>
        <w:trPr>
          <w:trHeight w:val="337"/>
        </w:trPr>
        <w:tc>
          <w:tcPr>
            <w:tcW w:w="2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40" w:type="dxa"/>
            <w:vAlign w:val="bottom"/>
            <w:tcBorders>
              <w:bottom w:val="single" w:sz="8" w:color="325889"/>
            </w:tcBorders>
          </w:tcPr>
          <w:p>
            <w:pPr>
              <w:ind w:left="1500"/>
              <w:spacing w:after="0"/>
              <w:rPr>
                <w:sz w:val="20"/>
                <w:szCs w:val="20"/>
                <w:color w:val="auto"/>
              </w:rPr>
            </w:pPr>
            <w:r>
              <w:rPr>
                <w:rFonts w:ascii="Arial" w:cs="Arial" w:eastAsia="Arial" w:hAnsi="Arial"/>
                <w:sz w:val="12"/>
                <w:szCs w:val="12"/>
                <w:b w:val="1"/>
                <w:bCs w:val="1"/>
                <w:color w:val="325889"/>
              </w:rPr>
              <w:t>Death</w:t>
            </w:r>
          </w:p>
        </w:tc>
        <w:tc>
          <w:tcPr>
            <w:tcW w:w="780" w:type="dxa"/>
            <w:vAlign w:val="bottom"/>
          </w:tcPr>
          <w:p>
            <w:pPr>
              <w:spacing w:after="0"/>
              <w:rPr>
                <w:sz w:val="24"/>
                <w:szCs w:val="24"/>
                <w:color w:val="auto"/>
              </w:rPr>
            </w:pPr>
          </w:p>
        </w:tc>
        <w:tc>
          <w:tcPr>
            <w:tcW w:w="400" w:type="dxa"/>
            <w:vAlign w:val="bottom"/>
            <w:tcBorders>
              <w:bottom w:val="single" w:sz="8" w:color="325889"/>
            </w:tcBorders>
          </w:tcPr>
          <w:p>
            <w:pPr>
              <w:spacing w:after="0"/>
              <w:rPr>
                <w:sz w:val="24"/>
                <w:szCs w:val="24"/>
                <w:color w:val="auto"/>
              </w:rPr>
            </w:pPr>
          </w:p>
        </w:tc>
        <w:tc>
          <w:tcPr>
            <w:tcW w:w="3020" w:type="dxa"/>
            <w:vAlign w:val="bottom"/>
            <w:tcBorders>
              <w:bottom w:val="single" w:sz="8" w:color="325889"/>
            </w:tcBorders>
          </w:tcPr>
          <w:p>
            <w:pPr>
              <w:ind w:left="1060"/>
              <w:spacing w:after="0"/>
              <w:rPr>
                <w:sz w:val="20"/>
                <w:szCs w:val="20"/>
                <w:color w:val="auto"/>
              </w:rPr>
            </w:pPr>
            <w:r>
              <w:rPr>
                <w:rFonts w:ascii="Arial" w:cs="Arial" w:eastAsia="Arial" w:hAnsi="Arial"/>
                <w:sz w:val="12"/>
                <w:szCs w:val="12"/>
                <w:b w:val="1"/>
                <w:bCs w:val="1"/>
                <w:color w:val="325889"/>
              </w:rPr>
              <w:t>Disability</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sectPr>
          <w:pgSz w:w="11900" w:h="16838" w:orient="portrait"/>
          <w:cols w:equalWidth="0" w:num="1">
            <w:col w:w="11445"/>
          </w:cols>
          <w:pgMar w:left="235" w:top="528" w:right="219" w:bottom="1440" w:gutter="0" w:footer="0" w:header="0"/>
          <w:type w:val="continuous"/>
        </w:sectPr>
      </w:pPr>
    </w:p>
    <w:p>
      <w:pPr>
        <w:ind w:left="3345" w:hanging="217"/>
        <w:spacing w:after="0"/>
        <w:tabs>
          <w:tab w:leader="none" w:pos="3345" w:val="left"/>
        </w:tabs>
        <w:numPr>
          <w:ilvl w:val="0"/>
          <w:numId w:val="64"/>
        </w:numPr>
        <w:rPr>
          <w:rFonts w:ascii="Arial" w:cs="Arial" w:eastAsia="Arial" w:hAnsi="Arial"/>
          <w:sz w:val="15"/>
          <w:szCs w:val="15"/>
          <w:color w:val="325889"/>
        </w:rPr>
      </w:pPr>
      <w:r>
        <w:rPr>
          <w:rFonts w:ascii="Arial" w:cs="Arial" w:eastAsia="Arial" w:hAnsi="Arial"/>
          <w:sz w:val="15"/>
          <w:szCs w:val="15"/>
          <w:color w:val="auto"/>
        </w:rPr>
        <w:t>Pro-rata bonus for partial year</w:t>
      </w:r>
      <w:r>
        <w:rPr>
          <w:rFonts w:ascii="Arial" w:cs="Arial" w:eastAsia="Arial" w:hAnsi="Arial"/>
          <w:sz w:val="25"/>
          <w:szCs w:val="25"/>
          <w:color w:val="auto"/>
          <w:vertAlign w:val="superscript"/>
        </w:rPr>
        <w:t>(6)</w:t>
      </w:r>
    </w:p>
    <w:p>
      <w:pPr>
        <w:spacing w:after="0" w:line="116" w:lineRule="exact"/>
        <w:rPr>
          <w:rFonts w:ascii="Arial" w:cs="Arial" w:eastAsia="Arial" w:hAnsi="Arial"/>
          <w:sz w:val="15"/>
          <w:szCs w:val="15"/>
          <w:color w:val="325889"/>
        </w:rPr>
      </w:pPr>
    </w:p>
    <w:p>
      <w:pPr>
        <w:jc w:val="both"/>
        <w:ind w:left="3365" w:right="593" w:hanging="237"/>
        <w:spacing w:after="0" w:line="273" w:lineRule="auto"/>
        <w:tabs>
          <w:tab w:leader="none" w:pos="3345" w:val="left"/>
        </w:tabs>
        <w:numPr>
          <w:ilvl w:val="0"/>
          <w:numId w:val="64"/>
        </w:numPr>
        <w:rPr>
          <w:rFonts w:ascii="Arial" w:cs="Arial" w:eastAsia="Arial" w:hAnsi="Arial"/>
          <w:sz w:val="15"/>
          <w:szCs w:val="15"/>
          <w:color w:val="325889"/>
        </w:rPr>
      </w:pPr>
      <w:r>
        <w:rPr>
          <w:rFonts w:ascii="Arial" w:cs="Arial" w:eastAsia="Arial" w:hAnsi="Arial"/>
          <w:sz w:val="15"/>
          <w:szCs w:val="15"/>
          <w:color w:val="auto"/>
        </w:rPr>
        <w:t>Partial acceleration of unvested equity awards (other than OPP awards) and deferred compensation, if any</w:t>
      </w:r>
      <w:r>
        <w:rPr>
          <w:rFonts w:ascii="Arial" w:cs="Arial" w:eastAsia="Arial" w:hAnsi="Arial"/>
          <w:sz w:val="25"/>
          <w:szCs w:val="25"/>
          <w:color w:val="auto"/>
          <w:vertAlign w:val="superscript"/>
        </w:rPr>
        <w:t>(9)</w:t>
      </w:r>
    </w:p>
    <w:p>
      <w:pPr>
        <w:spacing w:after="0" w:line="39" w:lineRule="exact"/>
        <w:rPr>
          <w:rFonts w:ascii="Arial" w:cs="Arial" w:eastAsia="Arial" w:hAnsi="Arial"/>
          <w:sz w:val="15"/>
          <w:szCs w:val="15"/>
          <w:color w:val="325889"/>
        </w:rPr>
      </w:pPr>
    </w:p>
    <w:p>
      <w:pPr>
        <w:jc w:val="both"/>
        <w:ind w:left="3365" w:right="473" w:hanging="237"/>
        <w:spacing w:after="0" w:line="288" w:lineRule="auto"/>
        <w:tabs>
          <w:tab w:leader="none" w:pos="3345" w:val="left"/>
        </w:tabs>
        <w:numPr>
          <w:ilvl w:val="0"/>
          <w:numId w:val="64"/>
        </w:numPr>
        <w:rPr>
          <w:rFonts w:ascii="Arial" w:cs="Arial" w:eastAsia="Arial" w:hAnsi="Arial"/>
          <w:sz w:val="15"/>
          <w:szCs w:val="15"/>
          <w:color w:val="325889"/>
        </w:rPr>
      </w:pPr>
      <w:r>
        <w:rPr>
          <w:rFonts w:ascii="Arial" w:cs="Arial" w:eastAsia="Arial" w:hAnsi="Arial"/>
          <w:sz w:val="15"/>
          <w:szCs w:val="15"/>
          <w:color w:val="auto"/>
        </w:rPr>
        <w:t>Grant of certain employment agreement equity awards not previously granted</w:t>
      </w:r>
      <w:r>
        <w:rPr>
          <w:rFonts w:ascii="Arial" w:cs="Arial" w:eastAsia="Arial" w:hAnsi="Arial"/>
          <w:sz w:val="25"/>
          <w:szCs w:val="25"/>
          <w:color w:val="auto"/>
          <w:vertAlign w:val="superscript"/>
        </w:rPr>
        <w:t>(7)</w:t>
      </w:r>
    </w:p>
    <w:p>
      <w:pPr>
        <w:spacing w:after="0" w:line="29" w:lineRule="exact"/>
        <w:rPr>
          <w:rFonts w:ascii="Arial" w:cs="Arial" w:eastAsia="Arial" w:hAnsi="Arial"/>
          <w:sz w:val="15"/>
          <w:szCs w:val="15"/>
          <w:color w:val="325889"/>
        </w:rPr>
      </w:pPr>
    </w:p>
    <w:p>
      <w:pPr>
        <w:ind w:left="3365" w:right="433" w:hanging="237"/>
        <w:spacing w:after="0" w:line="265" w:lineRule="auto"/>
        <w:tabs>
          <w:tab w:leader="none" w:pos="3345" w:val="left"/>
        </w:tabs>
        <w:numPr>
          <w:ilvl w:val="0"/>
          <w:numId w:val="64"/>
        </w:numPr>
        <w:rPr>
          <w:rFonts w:ascii="Arial" w:cs="Arial" w:eastAsia="Arial" w:hAnsi="Arial"/>
          <w:sz w:val="15"/>
          <w:szCs w:val="15"/>
          <w:color w:val="325889"/>
        </w:rPr>
      </w:pPr>
      <w:r>
        <w:rPr>
          <w:rFonts w:ascii="Arial" w:cs="Arial" w:eastAsia="Arial" w:hAnsi="Arial"/>
          <w:sz w:val="15"/>
          <w:szCs w:val="15"/>
          <w:color w:val="auto"/>
        </w:rPr>
        <w:t>Payments/benefits to Messrs. Holliday and Green are reduced by life insurance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374015</wp:posOffset>
            </wp:positionV>
            <wp:extent cx="146939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46939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27" w:right="1220" w:hanging="227"/>
        <w:spacing w:after="0" w:line="288" w:lineRule="auto"/>
        <w:tabs>
          <w:tab w:leader="none" w:pos="207" w:val="left"/>
        </w:tabs>
        <w:numPr>
          <w:ilvl w:val="0"/>
          <w:numId w:val="65"/>
        </w:numPr>
        <w:rPr>
          <w:rFonts w:ascii="Arial" w:cs="Arial" w:eastAsia="Arial" w:hAnsi="Arial"/>
          <w:sz w:val="15"/>
          <w:szCs w:val="15"/>
          <w:color w:val="325889"/>
        </w:rPr>
      </w:pPr>
      <w:r>
        <w:rPr>
          <w:rFonts w:ascii="Arial" w:cs="Arial" w:eastAsia="Arial" w:hAnsi="Arial"/>
          <w:sz w:val="15"/>
          <w:szCs w:val="15"/>
          <w:color w:val="auto"/>
        </w:rPr>
        <w:t>1x average annual base salary, deferred compensation, if any, and bonus</w:t>
      </w:r>
      <w:r>
        <w:rPr>
          <w:rFonts w:ascii="Arial" w:cs="Arial" w:eastAsia="Arial" w:hAnsi="Arial"/>
          <w:sz w:val="25"/>
          <w:szCs w:val="25"/>
          <w:color w:val="auto"/>
          <w:vertAlign w:val="superscript"/>
        </w:rPr>
        <w:t>(5)</w:t>
      </w:r>
    </w:p>
    <w:p>
      <w:pPr>
        <w:spacing w:after="0" w:line="29" w:lineRule="exact"/>
        <w:rPr>
          <w:rFonts w:ascii="Arial" w:cs="Arial" w:eastAsia="Arial" w:hAnsi="Arial"/>
          <w:sz w:val="15"/>
          <w:szCs w:val="15"/>
          <w:color w:val="325889"/>
        </w:rPr>
      </w:pPr>
    </w:p>
    <w:p>
      <w:pPr>
        <w:ind w:left="207" w:hanging="207"/>
        <w:spacing w:after="0"/>
        <w:tabs>
          <w:tab w:leader="none" w:pos="207" w:val="left"/>
        </w:tabs>
        <w:numPr>
          <w:ilvl w:val="0"/>
          <w:numId w:val="65"/>
        </w:numPr>
        <w:rPr>
          <w:rFonts w:ascii="Arial" w:cs="Arial" w:eastAsia="Arial" w:hAnsi="Arial"/>
          <w:sz w:val="15"/>
          <w:szCs w:val="15"/>
          <w:color w:val="325889"/>
        </w:rPr>
      </w:pPr>
      <w:r>
        <w:rPr>
          <w:rFonts w:ascii="Arial" w:cs="Arial" w:eastAsia="Arial" w:hAnsi="Arial"/>
          <w:sz w:val="15"/>
          <w:szCs w:val="15"/>
          <w:color w:val="auto"/>
        </w:rPr>
        <w:t>Pro-rata bonus for partial year</w:t>
      </w:r>
      <w:r>
        <w:rPr>
          <w:rFonts w:ascii="Arial" w:cs="Arial" w:eastAsia="Arial" w:hAnsi="Arial"/>
          <w:sz w:val="25"/>
          <w:szCs w:val="25"/>
          <w:color w:val="auto"/>
          <w:vertAlign w:val="superscript"/>
        </w:rPr>
        <w:t>(6)</w:t>
      </w:r>
    </w:p>
    <w:p>
      <w:pPr>
        <w:spacing w:after="0" w:line="116" w:lineRule="exact"/>
        <w:rPr>
          <w:rFonts w:ascii="Arial" w:cs="Arial" w:eastAsia="Arial" w:hAnsi="Arial"/>
          <w:sz w:val="15"/>
          <w:szCs w:val="15"/>
          <w:color w:val="325889"/>
        </w:rPr>
      </w:pPr>
    </w:p>
    <w:p>
      <w:pPr>
        <w:jc w:val="both"/>
        <w:ind w:left="227" w:right="1380" w:hanging="227"/>
        <w:spacing w:after="0" w:line="273" w:lineRule="auto"/>
        <w:tabs>
          <w:tab w:leader="none" w:pos="207" w:val="left"/>
        </w:tabs>
        <w:numPr>
          <w:ilvl w:val="0"/>
          <w:numId w:val="65"/>
        </w:numPr>
        <w:rPr>
          <w:rFonts w:ascii="Arial" w:cs="Arial" w:eastAsia="Arial" w:hAnsi="Arial"/>
          <w:sz w:val="15"/>
          <w:szCs w:val="15"/>
          <w:color w:val="325889"/>
        </w:rPr>
      </w:pPr>
      <w:r>
        <w:rPr>
          <w:rFonts w:ascii="Arial" w:cs="Arial" w:eastAsia="Arial" w:hAnsi="Arial"/>
          <w:sz w:val="15"/>
          <w:szCs w:val="15"/>
          <w:color w:val="auto"/>
        </w:rPr>
        <w:t>Partial acceleration of unvested equity awards (other than OPP awards) and deferred compensation, if any</w:t>
      </w:r>
      <w:r>
        <w:rPr>
          <w:rFonts w:ascii="Arial" w:cs="Arial" w:eastAsia="Arial" w:hAnsi="Arial"/>
          <w:sz w:val="25"/>
          <w:szCs w:val="25"/>
          <w:color w:val="auto"/>
          <w:vertAlign w:val="superscript"/>
        </w:rPr>
        <w:t>(9)</w:t>
      </w:r>
    </w:p>
    <w:p>
      <w:pPr>
        <w:spacing w:after="0" w:line="39" w:lineRule="exact"/>
        <w:rPr>
          <w:rFonts w:ascii="Arial" w:cs="Arial" w:eastAsia="Arial" w:hAnsi="Arial"/>
          <w:sz w:val="15"/>
          <w:szCs w:val="15"/>
          <w:color w:val="325889"/>
        </w:rPr>
      </w:pPr>
    </w:p>
    <w:p>
      <w:pPr>
        <w:jc w:val="both"/>
        <w:ind w:left="227" w:right="1260" w:hanging="227"/>
        <w:spacing w:after="0" w:line="288" w:lineRule="auto"/>
        <w:tabs>
          <w:tab w:leader="none" w:pos="207" w:val="left"/>
        </w:tabs>
        <w:numPr>
          <w:ilvl w:val="0"/>
          <w:numId w:val="65"/>
        </w:numPr>
        <w:rPr>
          <w:rFonts w:ascii="Arial" w:cs="Arial" w:eastAsia="Arial" w:hAnsi="Arial"/>
          <w:sz w:val="15"/>
          <w:szCs w:val="15"/>
          <w:color w:val="325889"/>
        </w:rPr>
      </w:pPr>
      <w:r>
        <w:rPr>
          <w:rFonts w:ascii="Arial" w:cs="Arial" w:eastAsia="Arial" w:hAnsi="Arial"/>
          <w:sz w:val="15"/>
          <w:szCs w:val="15"/>
          <w:color w:val="auto"/>
        </w:rPr>
        <w:t>Grant of certain employment agreement equity awards not previously granted</w:t>
      </w:r>
      <w:r>
        <w:rPr>
          <w:rFonts w:ascii="Arial" w:cs="Arial" w:eastAsia="Arial" w:hAnsi="Arial"/>
          <w:sz w:val="25"/>
          <w:szCs w:val="25"/>
          <w:color w:val="auto"/>
          <w:vertAlign w:val="superscript"/>
        </w:rPr>
        <w:t>(7)</w:t>
      </w:r>
    </w:p>
    <w:p>
      <w:pPr>
        <w:spacing w:after="0" w:line="29" w:lineRule="exact"/>
        <w:rPr>
          <w:rFonts w:ascii="Arial" w:cs="Arial" w:eastAsia="Arial" w:hAnsi="Arial"/>
          <w:sz w:val="15"/>
          <w:szCs w:val="15"/>
          <w:color w:val="325889"/>
        </w:rPr>
      </w:pPr>
    </w:p>
    <w:p>
      <w:pPr>
        <w:ind w:left="227" w:right="1660" w:hanging="227"/>
        <w:spacing w:after="0" w:line="282" w:lineRule="auto"/>
        <w:tabs>
          <w:tab w:leader="none" w:pos="207" w:val="left"/>
        </w:tabs>
        <w:numPr>
          <w:ilvl w:val="0"/>
          <w:numId w:val="65"/>
        </w:numPr>
        <w:rPr>
          <w:rFonts w:ascii="Arial" w:cs="Arial" w:eastAsia="Arial" w:hAnsi="Arial"/>
          <w:sz w:val="15"/>
          <w:szCs w:val="15"/>
          <w:color w:val="325889"/>
        </w:rPr>
      </w:pPr>
      <w:r>
        <w:rPr>
          <w:rFonts w:ascii="Arial" w:cs="Arial" w:eastAsia="Arial" w:hAnsi="Arial"/>
          <w:sz w:val="15"/>
          <w:szCs w:val="15"/>
          <w:color w:val="auto"/>
        </w:rPr>
        <w:t>36 months of benefit continuation/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109855</wp:posOffset>
            </wp:positionV>
            <wp:extent cx="570357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703570" cy="762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6538" w:space="720"/>
            <w:col w:w="4187"/>
          </w:cols>
          <w:pgMar w:left="235" w:top="528" w:right="219" w:bottom="1440" w:gutter="0" w:footer="0" w:header="0"/>
          <w:type w:val="continuous"/>
        </w:sectPr>
      </w:pPr>
    </w:p>
    <w:p>
      <w:pPr>
        <w:ind w:left="5"/>
        <w:spacing w:after="0"/>
        <w:rPr>
          <w:sz w:val="20"/>
          <w:szCs w:val="20"/>
          <w:color w:val="auto"/>
        </w:rPr>
      </w:pPr>
      <w:r>
        <w:rPr>
          <w:rFonts w:ascii="Arial" w:cs="Arial" w:eastAsia="Arial" w:hAnsi="Arial"/>
          <w:sz w:val="15"/>
          <w:szCs w:val="15"/>
          <w:b w:val="1"/>
          <w:bCs w:val="1"/>
          <w:color w:val="auto"/>
        </w:rPr>
        <w:t>Post-Change-in-Control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480060</wp:posOffset>
            </wp:positionV>
            <wp:extent cx="1469390"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46939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
        <w:spacing w:after="0" w:line="252" w:lineRule="auto"/>
        <w:rPr>
          <w:sz w:val="20"/>
          <w:szCs w:val="20"/>
          <w:color w:val="auto"/>
        </w:rPr>
      </w:pPr>
      <w:r>
        <w:rPr>
          <w:rFonts w:ascii="Arial" w:cs="Arial" w:eastAsia="Arial" w:hAnsi="Arial"/>
          <w:sz w:val="15"/>
          <w:szCs w:val="15"/>
          <w:color w:val="auto"/>
        </w:rPr>
        <w:t>For periods following a Change-in-Control, in lieu of the base salary, annual bonus, deferred compensation and OPP awards described above, each executive, while employed, will be entitled to receive salary payable in cash at a per annum rate equal to the sum of his annual base salary in effect prior to the Change-in-Control plus his annual bonus and the value of his deferred compensation contributions and his equity awards (other than those granted under outperformance plans) that vested during the most recent fiscal year prior to the Change-in-Control.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5703570"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703570" cy="7620"/>
                    </a:xfrm>
                    <a:prstGeom prst="rect">
                      <a:avLst/>
                    </a:prstGeom>
                    <a:noFill/>
                  </pic:spPr>
                </pic:pic>
              </a:graphicData>
            </a:graphic>
          </wp:anchor>
        </w:drawing>
      </w:r>
    </w:p>
    <w:p>
      <w:pPr>
        <w:spacing w:after="0" w:line="26" w:lineRule="exact"/>
        <w:rPr>
          <w:sz w:val="20"/>
          <w:szCs w:val="20"/>
          <w:color w:val="auto"/>
        </w:rPr>
      </w:pPr>
    </w:p>
    <w:p>
      <w:pPr>
        <w:sectPr>
          <w:pgSz w:w="11900" w:h="16838" w:orient="portrait"/>
          <w:cols w:equalWidth="0" w:num="2">
            <w:col w:w="2245" w:space="220"/>
            <w:col w:w="8980"/>
          </w:cols>
          <w:pgMar w:left="235" w:top="528" w:right="219" w:bottom="1440" w:gutter="0" w:footer="0" w:header="0"/>
          <w:type w:val="continuous"/>
        </w:sectPr>
      </w:pPr>
    </w:p>
    <w:p>
      <w:pPr>
        <w:ind w:left="5"/>
        <w:spacing w:after="0"/>
        <w:rPr>
          <w:sz w:val="20"/>
          <w:szCs w:val="20"/>
          <w:color w:val="auto"/>
        </w:rPr>
      </w:pPr>
      <w:r>
        <w:rPr>
          <w:rFonts w:ascii="Arial" w:cs="Arial" w:eastAsia="Arial" w:hAnsi="Arial"/>
          <w:sz w:val="15"/>
          <w:szCs w:val="15"/>
          <w:b w:val="1"/>
          <w:bCs w:val="1"/>
          <w:color w:val="auto"/>
        </w:rPr>
        <w:t>Restrictive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932180</wp:posOffset>
            </wp:positionV>
            <wp:extent cx="146939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46939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0"/>
        <w:spacing w:after="0" w:line="249" w:lineRule="auto"/>
        <w:rPr>
          <w:sz w:val="20"/>
          <w:szCs w:val="20"/>
          <w:color w:val="auto"/>
        </w:rPr>
      </w:pPr>
      <w:r>
        <w:rPr>
          <w:rFonts w:ascii="Arial" w:cs="Arial" w:eastAsia="Arial" w:hAnsi="Arial"/>
          <w:sz w:val="15"/>
          <w:szCs w:val="15"/>
          <w:color w:val="auto"/>
        </w:rPr>
        <w:t>For Messrs. Holliday, Green and Mathias, noncompetition with us for 18 months following termination (12 months if employment is terminated upon or after the scheduled expiration of the term of employment or 6 months if employment is terminated in connection with or within 18 months after a Change-in-Control). Non-solicitation, non-disparagement, non-interference and litigation cooperation covenants also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395855"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39585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251" w:lineRule="auto"/>
        <w:rPr>
          <w:sz w:val="20"/>
          <w:szCs w:val="20"/>
          <w:color w:val="auto"/>
        </w:rPr>
      </w:pPr>
      <w:r>
        <w:rPr>
          <w:rFonts w:ascii="Arial" w:cs="Arial" w:eastAsia="Arial" w:hAnsi="Arial"/>
          <w:sz w:val="15"/>
          <w:szCs w:val="15"/>
          <w:color w:val="auto"/>
        </w:rPr>
        <w:t>For Messrs. DiLiberto and Levine, noncompetition with us for 12 months after termination unless employment is terminated upon non-renewal of the agreement or without Cause or for Good Reason in connection with or within 18 months after a Change-in-Control. Non-solicitation, non-disparagement, non-interference and litigation cooperation covenants also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342900</wp:posOffset>
            </wp:positionV>
            <wp:extent cx="281051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810510" cy="7620"/>
                    </a:xfrm>
                    <a:prstGeom prst="rect">
                      <a:avLst/>
                    </a:prstGeom>
                    <a:noFill/>
                  </pic:spPr>
                </pic:pic>
              </a:graphicData>
            </a:graphic>
          </wp:anchor>
        </w:drawing>
      </w:r>
    </w:p>
    <w:p>
      <w:pPr>
        <w:spacing w:after="0" w:line="611" w:lineRule="exact"/>
        <w:rPr>
          <w:sz w:val="20"/>
          <w:szCs w:val="20"/>
          <w:color w:val="auto"/>
        </w:rPr>
      </w:pPr>
    </w:p>
    <w:p>
      <w:pPr>
        <w:sectPr>
          <w:pgSz w:w="11900" w:h="16838" w:orient="portrait"/>
          <w:cols w:equalWidth="0" w:num="3">
            <w:col w:w="1745" w:space="720"/>
            <w:col w:w="3820" w:space="720"/>
            <w:col w:w="4440"/>
          </w:cols>
          <w:pgMar w:left="235" w:top="528" w:right="219" w:bottom="1440" w:gutter="0" w:footer="0" w:header="0"/>
          <w:type w:val="continuous"/>
        </w:sectPr>
      </w:pPr>
    </w:p>
    <w:p>
      <w:pPr>
        <w:ind w:left="305" w:right="240" w:hanging="305"/>
        <w:spacing w:after="0" w:line="233" w:lineRule="auto"/>
        <w:tabs>
          <w:tab w:leader="none" w:pos="305" w:val="left"/>
        </w:tabs>
        <w:numPr>
          <w:ilvl w:val="0"/>
          <w:numId w:val="66"/>
        </w:numPr>
        <w:rPr>
          <w:rFonts w:ascii="Arial" w:cs="Arial" w:eastAsia="Arial" w:hAnsi="Arial"/>
          <w:sz w:val="12"/>
          <w:szCs w:val="12"/>
          <w:color w:val="auto"/>
        </w:rPr>
      </w:pPr>
      <w:r>
        <w:rPr>
          <w:rFonts w:ascii="Arial" w:cs="Arial" w:eastAsia="Arial" w:hAnsi="Arial"/>
          <w:sz w:val="12"/>
          <w:szCs w:val="12"/>
          <w:color w:val="auto"/>
        </w:rPr>
        <w:t>The terms automatically renew for one year (for Messrs. Green and Mathias) and six months (for Messrs. DiLiberto and Levine) unless either party provide advance written notice of non-renewal. Mr. Holliday’s employment agreement does not provide for automatic renewal of the term. In the event of a Change-in-Control within 18 months of the end of the term of Mr. Holliday’s agreement, Mr. Holliday may elect to extend the term until 18 months after the Change-in-Control.</w:t>
      </w:r>
    </w:p>
    <w:p>
      <w:pPr>
        <w:sectPr>
          <w:pgSz w:w="11900" w:h="16838" w:orient="portrait"/>
          <w:cols w:equalWidth="0" w:num="1">
            <w:col w:w="11445"/>
          </w:cols>
          <w:pgMar w:left="235" w:top="528" w:right="219" w:bottom="1440" w:gutter="0" w:footer="0" w:header="0"/>
          <w:type w:val="continuous"/>
        </w:sectPr>
      </w:pPr>
    </w:p>
    <w:p>
      <w:pPr>
        <w:spacing w:after="0" w:line="183" w:lineRule="exact"/>
        <w:rPr>
          <w:sz w:val="20"/>
          <w:szCs w:val="20"/>
          <w:color w:val="auto"/>
        </w:rPr>
      </w:pPr>
    </w:p>
    <w:p>
      <w:pPr>
        <w:ind w:left="265" w:hanging="265"/>
        <w:spacing w:after="0"/>
        <w:tabs>
          <w:tab w:leader="none" w:pos="265" w:val="left"/>
        </w:tabs>
        <w:numPr>
          <w:ilvl w:val="0"/>
          <w:numId w:val="67"/>
        </w:numPr>
        <w:rPr>
          <w:rFonts w:ascii="Arial" w:cs="Arial" w:eastAsia="Arial" w:hAnsi="Arial"/>
          <w:sz w:val="15"/>
          <w:szCs w:val="15"/>
          <w:color w:val="325889"/>
        </w:rPr>
      </w:pPr>
      <w:r>
        <w:rPr>
          <w:rFonts w:ascii="Arial" w:cs="Arial" w:eastAsia="Arial" w:hAnsi="Arial"/>
          <w:sz w:val="15"/>
          <w:szCs w:val="15"/>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83450" cy="203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5"/>
          </w:cols>
          <w:pgMar w:left="235" w:top="528" w:right="219" w:bottom="1440" w:gutter="0" w:footer="0" w:header="0"/>
          <w:type w:val="continuous"/>
        </w:sectPr>
      </w:pPr>
    </w:p>
    <w:bookmarkStart w:id="48" w:name="page49"/>
    <w:bookmarkEnd w:id="48"/>
    <w:p>
      <w:pPr>
        <w:ind w:left="5"/>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325889"/>
        </w:rPr>
        <w:t>EXECUTIVE COMPENSATION</w:t>
      </w:r>
    </w:p>
    <w:p>
      <w:pPr>
        <w:spacing w:after="0" w:line="192" w:lineRule="exact"/>
        <w:rPr>
          <w:sz w:val="20"/>
          <w:szCs w:val="20"/>
          <w:color w:val="auto"/>
        </w:rPr>
      </w:pPr>
    </w:p>
    <w:p>
      <w:pPr>
        <w:ind w:left="305" w:right="140" w:hanging="305"/>
        <w:spacing w:after="0" w:line="233" w:lineRule="auto"/>
        <w:tabs>
          <w:tab w:leader="none" w:pos="305" w:val="left"/>
        </w:tabs>
        <w:numPr>
          <w:ilvl w:val="0"/>
          <w:numId w:val="68"/>
        </w:numPr>
        <w:rPr>
          <w:rFonts w:ascii="Arial" w:cs="Arial" w:eastAsia="Arial" w:hAnsi="Arial"/>
          <w:sz w:val="12"/>
          <w:szCs w:val="12"/>
          <w:color w:val="auto"/>
        </w:rPr>
      </w:pPr>
      <w:r>
        <w:rPr>
          <w:rFonts w:ascii="Arial" w:cs="Arial" w:eastAsia="Arial" w:hAnsi="Arial"/>
          <w:sz w:val="12"/>
          <w:szCs w:val="12"/>
          <w:color w:val="auto"/>
        </w:rPr>
        <w:t>Annual deferred compensation contributions are made in the form of notional stock units at the beginning of the term and on each anniversary of such date during the term, subject to vesting based on continued employment for one year from the grant date, and are payable no later than 30 days following the earliest of (i) the executive’s death, (ii) the date of the executive’s separation from service with us and (iii) the effective date of a Change-in-Control based on the value of such stock units at that time.</w:t>
      </w:r>
    </w:p>
    <w:p>
      <w:pPr>
        <w:spacing w:after="0" w:line="48" w:lineRule="exact"/>
        <w:rPr>
          <w:rFonts w:ascii="Arial" w:cs="Arial" w:eastAsia="Arial" w:hAnsi="Arial"/>
          <w:sz w:val="12"/>
          <w:szCs w:val="12"/>
          <w:color w:val="auto"/>
        </w:rPr>
      </w:pPr>
    </w:p>
    <w:p>
      <w:pPr>
        <w:ind w:left="305" w:right="20" w:hanging="305"/>
        <w:spacing w:after="0" w:line="236" w:lineRule="auto"/>
        <w:tabs>
          <w:tab w:leader="none" w:pos="305" w:val="left"/>
        </w:tabs>
        <w:numPr>
          <w:ilvl w:val="0"/>
          <w:numId w:val="68"/>
        </w:numPr>
        <w:rPr>
          <w:rFonts w:ascii="Arial" w:cs="Arial" w:eastAsia="Arial" w:hAnsi="Arial"/>
          <w:sz w:val="12"/>
          <w:szCs w:val="12"/>
          <w:color w:val="auto"/>
        </w:rPr>
      </w:pPr>
      <w:r>
        <w:rPr>
          <w:rFonts w:ascii="Arial" w:cs="Arial" w:eastAsia="Arial" w:hAnsi="Arial"/>
          <w:sz w:val="12"/>
          <w:szCs w:val="12"/>
          <w:color w:val="auto"/>
        </w:rPr>
        <w:t>Mr. Holliday is eligible to participate in an annual formulaic cash bonus program pursuant to which he will be able to earn up to three times his base salary based on the achievement of specific goals established in advance by the Committee.</w:t>
      </w:r>
    </w:p>
    <w:p>
      <w:pPr>
        <w:spacing w:after="0" w:line="48" w:lineRule="exact"/>
        <w:rPr>
          <w:rFonts w:ascii="Arial" w:cs="Arial" w:eastAsia="Arial" w:hAnsi="Arial"/>
          <w:sz w:val="12"/>
          <w:szCs w:val="12"/>
          <w:color w:val="auto"/>
        </w:rPr>
      </w:pPr>
    </w:p>
    <w:p>
      <w:pPr>
        <w:ind w:left="305" w:hanging="305"/>
        <w:spacing w:after="0"/>
        <w:tabs>
          <w:tab w:leader="none" w:pos="305" w:val="left"/>
        </w:tabs>
        <w:numPr>
          <w:ilvl w:val="0"/>
          <w:numId w:val="68"/>
        </w:numPr>
        <w:rPr>
          <w:rFonts w:ascii="Arial" w:cs="Arial" w:eastAsia="Arial" w:hAnsi="Arial"/>
          <w:sz w:val="12"/>
          <w:szCs w:val="12"/>
          <w:color w:val="auto"/>
        </w:rPr>
      </w:pPr>
      <w:r>
        <w:rPr>
          <w:rFonts w:ascii="Arial" w:cs="Arial" w:eastAsia="Arial" w:hAnsi="Arial"/>
          <w:sz w:val="12"/>
          <w:szCs w:val="12"/>
          <w:color w:val="auto"/>
        </w:rPr>
        <w:t>Severance benefits in the event of a termination by us without Cause or by the executive for Good Reason in connection with or within 18 months after a Change-in-Control.</w:t>
      </w:r>
    </w:p>
    <w:p>
      <w:pPr>
        <w:spacing w:after="0" w:line="51" w:lineRule="exact"/>
        <w:rPr>
          <w:rFonts w:ascii="Arial" w:cs="Arial" w:eastAsia="Arial" w:hAnsi="Arial"/>
          <w:sz w:val="12"/>
          <w:szCs w:val="12"/>
          <w:color w:val="auto"/>
        </w:rPr>
      </w:pPr>
    </w:p>
    <w:p>
      <w:pPr>
        <w:ind w:left="305" w:right="20" w:hanging="305"/>
        <w:spacing w:after="0" w:line="230" w:lineRule="auto"/>
        <w:tabs>
          <w:tab w:leader="none" w:pos="305" w:val="left"/>
        </w:tabs>
        <w:numPr>
          <w:ilvl w:val="0"/>
          <w:numId w:val="68"/>
        </w:numPr>
        <w:rPr>
          <w:rFonts w:ascii="Arial" w:cs="Arial" w:eastAsia="Arial" w:hAnsi="Arial"/>
          <w:sz w:val="12"/>
          <w:szCs w:val="12"/>
          <w:color w:val="auto"/>
        </w:rPr>
      </w:pPr>
      <w:r>
        <w:rPr>
          <w:rFonts w:ascii="Arial" w:cs="Arial" w:eastAsia="Arial" w:hAnsi="Arial"/>
          <w:sz w:val="12"/>
          <w:szCs w:val="12"/>
          <w:color w:val="auto"/>
        </w:rPr>
        <w:t>Calculated based on the sum of the named executive officer’s (i) average annual base salary in effect during the preceding 24 months, plus (ii) average annual cash bonuses (including any portion of the annual cash bonus paid in the form of equity awards, but excluding any annual or other equity awards made other than as payment of a cash bonus) paid for the two most recently completed fiscal years, plus (iii) average annual deferred compensation contribution, if any, during the preceding 24 months, calculated based on the cash value of the annual deferred compensation contributions as of the dates of such contributions. In connection with a Change-in-Control, Messrs. Holliday and Green are entitled to three times, Mr. Mathias is entitled to two and one-half times and Messrs. DiLiberto and Levine are entitled to two times the foregoing sum. Average deferred compensation is only applicable to Messrs. Holliday, Mathias and Green.</w:t>
      </w:r>
    </w:p>
    <w:p>
      <w:pPr>
        <w:spacing w:after="0" w:line="50" w:lineRule="exact"/>
        <w:rPr>
          <w:rFonts w:ascii="Arial" w:cs="Arial" w:eastAsia="Arial" w:hAnsi="Arial"/>
          <w:sz w:val="12"/>
          <w:szCs w:val="12"/>
          <w:color w:val="auto"/>
        </w:rPr>
      </w:pPr>
    </w:p>
    <w:p>
      <w:pPr>
        <w:ind w:left="305" w:right="460" w:hanging="305"/>
        <w:spacing w:after="0" w:line="236" w:lineRule="auto"/>
        <w:tabs>
          <w:tab w:leader="none" w:pos="305" w:val="left"/>
        </w:tabs>
        <w:numPr>
          <w:ilvl w:val="0"/>
          <w:numId w:val="68"/>
        </w:numPr>
        <w:rPr>
          <w:rFonts w:ascii="Arial" w:cs="Arial" w:eastAsia="Arial" w:hAnsi="Arial"/>
          <w:sz w:val="12"/>
          <w:szCs w:val="12"/>
          <w:color w:val="auto"/>
        </w:rPr>
      </w:pPr>
      <w:r>
        <w:rPr>
          <w:rFonts w:ascii="Arial" w:cs="Arial" w:eastAsia="Arial" w:hAnsi="Arial"/>
          <w:sz w:val="12"/>
          <w:szCs w:val="12"/>
          <w:color w:val="auto"/>
        </w:rPr>
        <w:t>Pro-rata bonus is for the year in which employment is terminated (and a bonus for the prior year if such bonus had not yet been determined) based on average annual cash bonus calculated in the manner described in footnote (5) above.</w:t>
      </w:r>
    </w:p>
    <w:p>
      <w:pPr>
        <w:spacing w:after="0" w:line="48" w:lineRule="exact"/>
        <w:rPr>
          <w:rFonts w:ascii="Arial" w:cs="Arial" w:eastAsia="Arial" w:hAnsi="Arial"/>
          <w:sz w:val="12"/>
          <w:szCs w:val="12"/>
          <w:color w:val="auto"/>
        </w:rPr>
      </w:pPr>
    </w:p>
    <w:p>
      <w:pPr>
        <w:ind w:left="305" w:right="260" w:hanging="305"/>
        <w:spacing w:after="0" w:line="233" w:lineRule="auto"/>
        <w:tabs>
          <w:tab w:leader="none" w:pos="305" w:val="left"/>
        </w:tabs>
        <w:numPr>
          <w:ilvl w:val="0"/>
          <w:numId w:val="68"/>
        </w:numPr>
        <w:rPr>
          <w:rFonts w:ascii="Arial" w:cs="Arial" w:eastAsia="Arial" w:hAnsi="Arial"/>
          <w:sz w:val="12"/>
          <w:szCs w:val="12"/>
          <w:color w:val="auto"/>
        </w:rPr>
      </w:pPr>
      <w:r>
        <w:rPr>
          <w:rFonts w:ascii="Arial" w:cs="Arial" w:eastAsia="Arial" w:hAnsi="Arial"/>
          <w:sz w:val="12"/>
          <w:szCs w:val="12"/>
          <w:color w:val="auto"/>
        </w:rPr>
        <w:t>Only applicable to Mr. Holliday. Mr. Holliday will be entitled to receive the stock options or Class O LTIP units provided for in his employment agreement, but will not be entitled to receive any other employment agreement equity awards that had not yet been granted unless his termination is in connection with or within 18 months after a Change-in-Control; provided that Mr. Holliday will not be subject to the non-competition provisions in his employment agreement if such other employment agreement equity awards are not granted.</w:t>
      </w:r>
    </w:p>
    <w:p>
      <w:pPr>
        <w:spacing w:after="0" w:line="48" w:lineRule="exact"/>
        <w:rPr>
          <w:rFonts w:ascii="Arial" w:cs="Arial" w:eastAsia="Arial" w:hAnsi="Arial"/>
          <w:sz w:val="12"/>
          <w:szCs w:val="12"/>
          <w:color w:val="auto"/>
        </w:rPr>
      </w:pPr>
    </w:p>
    <w:p>
      <w:pPr>
        <w:ind w:left="305" w:right="140" w:hanging="305"/>
        <w:spacing w:after="0" w:line="233" w:lineRule="auto"/>
        <w:tabs>
          <w:tab w:leader="none" w:pos="305" w:val="left"/>
        </w:tabs>
        <w:numPr>
          <w:ilvl w:val="0"/>
          <w:numId w:val="68"/>
        </w:numPr>
        <w:rPr>
          <w:rFonts w:ascii="Arial" w:cs="Arial" w:eastAsia="Arial" w:hAnsi="Arial"/>
          <w:sz w:val="12"/>
          <w:szCs w:val="12"/>
          <w:color w:val="auto"/>
        </w:rPr>
      </w:pPr>
      <w:r>
        <w:rPr>
          <w:rFonts w:ascii="Arial" w:cs="Arial" w:eastAsia="Arial" w:hAnsi="Arial"/>
          <w:sz w:val="12"/>
          <w:szCs w:val="12"/>
          <w:color w:val="auto"/>
        </w:rPr>
        <w:t>In the event that any payment or benefit constitutes an excess “parachute payment” under Section 280G of the IRC subject to an excise tax, the executive will not be entitled to a tax gross-up payment; however, the executive’s payments and benefits would be reduced to the extent necessary to avoid such excise taxes, but only if such a reduction of pay or benefits would result in a greater after-tax benefit to the executive.</w:t>
      </w:r>
    </w:p>
    <w:p>
      <w:pPr>
        <w:spacing w:after="0" w:line="48" w:lineRule="exact"/>
        <w:rPr>
          <w:rFonts w:ascii="Arial" w:cs="Arial" w:eastAsia="Arial" w:hAnsi="Arial"/>
          <w:sz w:val="12"/>
          <w:szCs w:val="12"/>
          <w:color w:val="auto"/>
        </w:rPr>
      </w:pPr>
    </w:p>
    <w:p>
      <w:pPr>
        <w:ind w:left="305" w:right="480" w:hanging="305"/>
        <w:spacing w:after="0" w:line="236" w:lineRule="auto"/>
        <w:tabs>
          <w:tab w:leader="none" w:pos="305" w:val="left"/>
        </w:tabs>
        <w:numPr>
          <w:ilvl w:val="0"/>
          <w:numId w:val="68"/>
        </w:numPr>
        <w:rPr>
          <w:rFonts w:ascii="Arial" w:cs="Arial" w:eastAsia="Arial" w:hAnsi="Arial"/>
          <w:sz w:val="12"/>
          <w:szCs w:val="12"/>
          <w:color w:val="auto"/>
        </w:rPr>
      </w:pPr>
      <w:r>
        <w:rPr>
          <w:rFonts w:ascii="Arial" w:cs="Arial" w:eastAsia="Arial" w:hAnsi="Arial"/>
          <w:sz w:val="12"/>
          <w:szCs w:val="12"/>
          <w:color w:val="auto"/>
        </w:rPr>
        <w:t>Full acceleration of vesting of any unvested equity awards granted in lieu of cash bonuses and deferred compensation and 24 months (Messrs. Holliday and Green), 18 months (Mr. Mathias) or 12 months (Messrs. DiLiberto and Levine) of additional vesting of other outstanding equity awards (other than OPP awards).</w:t>
      </w:r>
    </w:p>
    <w:p>
      <w:pPr>
        <w:spacing w:after="0" w:line="183" w:lineRule="exact"/>
        <w:rPr>
          <w:sz w:val="20"/>
          <w:szCs w:val="20"/>
          <w:color w:val="auto"/>
        </w:rPr>
      </w:pPr>
    </w:p>
    <w:p>
      <w:pPr>
        <w:ind w:left="5" w:right="140"/>
        <w:spacing w:after="0" w:line="256" w:lineRule="auto"/>
        <w:rPr>
          <w:sz w:val="20"/>
          <w:szCs w:val="20"/>
          <w:color w:val="auto"/>
        </w:rPr>
      </w:pPr>
      <w:r>
        <w:rPr>
          <w:rFonts w:ascii="Arial" w:cs="Arial" w:eastAsia="Arial" w:hAnsi="Arial"/>
          <w:sz w:val="15"/>
          <w:szCs w:val="15"/>
          <w:color w:val="auto"/>
        </w:rPr>
        <w:t>The terms Cause, Good Reason and Change-in-Control, as used above, are specifically defined in each executive’s employment agreement. The summary above is qualified in its entirety by reference to the copies of the employment agreements and the deferred compensation agreements with our named executive officers, which have been previously filed by us with the SEC, as referenced in our Form 10-K for the year ended December 31, 2016, and are incorporated herein by reference.</w:t>
      </w:r>
    </w:p>
    <w:p>
      <w:pPr>
        <w:spacing w:after="0" w:line="154" w:lineRule="exact"/>
        <w:rPr>
          <w:sz w:val="20"/>
          <w:szCs w:val="20"/>
          <w:color w:val="auto"/>
        </w:rPr>
      </w:pPr>
    </w:p>
    <w:p>
      <w:pPr>
        <w:ind w:left="5"/>
        <w:spacing w:after="0"/>
        <w:rPr>
          <w:sz w:val="20"/>
          <w:szCs w:val="20"/>
          <w:color w:val="auto"/>
        </w:rPr>
      </w:pPr>
      <w:r>
        <w:rPr>
          <w:rFonts w:ascii="Arial" w:cs="Arial" w:eastAsia="Arial" w:hAnsi="Arial"/>
          <w:sz w:val="12"/>
          <w:szCs w:val="12"/>
          <w:b w:val="1"/>
          <w:bCs w:val="1"/>
          <w:color w:val="325889"/>
        </w:rPr>
        <w:t>Outperformance Plan Awards</w:t>
      </w:r>
    </w:p>
    <w:p>
      <w:pPr>
        <w:spacing w:after="0" w:line="200" w:lineRule="exact"/>
        <w:rPr>
          <w:sz w:val="20"/>
          <w:szCs w:val="20"/>
          <w:color w:val="auto"/>
        </w:rPr>
      </w:pPr>
    </w:p>
    <w:p>
      <w:pPr>
        <w:ind w:left="5" w:right="220"/>
        <w:spacing w:after="0" w:line="256" w:lineRule="auto"/>
        <w:rPr>
          <w:sz w:val="20"/>
          <w:szCs w:val="20"/>
          <w:color w:val="auto"/>
        </w:rPr>
      </w:pPr>
      <w:r>
        <w:rPr>
          <w:rFonts w:ascii="Arial" w:cs="Arial" w:eastAsia="Arial" w:hAnsi="Arial"/>
          <w:sz w:val="15"/>
          <w:szCs w:val="15"/>
          <w:color w:val="auto"/>
        </w:rPr>
        <w:t>The impact of a change in control or termination of employment of our named executive officers on the awards granted under our 2014 Outperformance Plan are described above under “—Compensation Discussion and Analysis—Our Executive Compensation Programs—Long-Term Equity Incentive Awards—Outperformance Plans—2014 Outperformance Plan.”</w:t>
      </w:r>
    </w:p>
    <w:p>
      <w:pPr>
        <w:spacing w:after="0" w:line="154" w:lineRule="exact"/>
        <w:rPr>
          <w:sz w:val="20"/>
          <w:szCs w:val="20"/>
          <w:color w:val="auto"/>
        </w:rPr>
      </w:pPr>
    </w:p>
    <w:p>
      <w:pPr>
        <w:ind w:left="5"/>
        <w:spacing w:after="0"/>
        <w:rPr>
          <w:sz w:val="20"/>
          <w:szCs w:val="20"/>
          <w:color w:val="auto"/>
        </w:rPr>
      </w:pPr>
      <w:r>
        <w:rPr>
          <w:rFonts w:ascii="Arial" w:cs="Arial" w:eastAsia="Arial" w:hAnsi="Arial"/>
          <w:sz w:val="12"/>
          <w:szCs w:val="12"/>
          <w:b w:val="1"/>
          <w:bCs w:val="1"/>
          <w:color w:val="325889"/>
        </w:rPr>
        <w:t>Performance-Based Equity Awards</w:t>
      </w:r>
    </w:p>
    <w:p>
      <w:pPr>
        <w:spacing w:after="0" w:line="200" w:lineRule="exact"/>
        <w:rPr>
          <w:sz w:val="20"/>
          <w:szCs w:val="20"/>
          <w:color w:val="auto"/>
        </w:rPr>
      </w:pPr>
    </w:p>
    <w:p>
      <w:pPr>
        <w:ind w:left="5" w:right="40"/>
        <w:spacing w:after="0" w:line="249" w:lineRule="auto"/>
        <w:rPr>
          <w:sz w:val="20"/>
          <w:szCs w:val="20"/>
          <w:color w:val="auto"/>
        </w:rPr>
      </w:pPr>
      <w:r>
        <w:rPr>
          <w:rFonts w:ascii="Arial" w:cs="Arial" w:eastAsia="Arial" w:hAnsi="Arial"/>
          <w:sz w:val="15"/>
          <w:szCs w:val="15"/>
          <w:color w:val="auto"/>
        </w:rPr>
        <w:t>Upon a change in control, the performance-based vesting criteria for the performance-based LTIP unit awards that we granted to our named executive officers pursuant to their employment agreements or that we granted in 2014 in recognition of our strong stock price performance during the three-year performance period under our 2011 Outperformance Plan will be determined based on performance through the date of the change in control (except for the portion of the performance-based LTIP unit awards that were to be granted as time-based LTIP unit awards to Messrs. Holliday and Mathias prior to the amendments to their then current employment agreements in 2014, for which the performance-based vesting criteria will be deemed to have been met in the event of a change in control). Regardless of the satisfaction of the performance-based vesting criteria, these awards will remain subject to vesting based on continued employment through the originally established vesting dates. In the event of a termination by us without Cause or by an executive for Good Reason (as defined in each executive’s employment agreement) in connection with or within 18 months after a change in control, all of the performance-based LTIP units will vest. Otherwise, the vesting of these performance-based LTIP units upon a termination of employment will be treated in the same manner as other equity awards under our executive’s employment agreements.</w:t>
      </w:r>
    </w:p>
    <w:p>
      <w:pPr>
        <w:spacing w:after="0" w:line="164" w:lineRule="exact"/>
        <w:rPr>
          <w:sz w:val="20"/>
          <w:szCs w:val="20"/>
          <w:color w:val="auto"/>
        </w:rPr>
      </w:pPr>
    </w:p>
    <w:p>
      <w:pPr>
        <w:ind w:left="5"/>
        <w:spacing w:after="0"/>
        <w:rPr>
          <w:sz w:val="20"/>
          <w:szCs w:val="20"/>
          <w:color w:val="auto"/>
        </w:rPr>
      </w:pPr>
      <w:r>
        <w:rPr>
          <w:rFonts w:ascii="Arial" w:cs="Arial" w:eastAsia="Arial" w:hAnsi="Arial"/>
          <w:sz w:val="12"/>
          <w:szCs w:val="12"/>
          <w:b w:val="1"/>
          <w:bCs w:val="1"/>
          <w:color w:val="325889"/>
        </w:rPr>
        <w:t>Stock Options and Class O LTIP units</w:t>
      </w:r>
    </w:p>
    <w:p>
      <w:pPr>
        <w:spacing w:after="0" w:line="200" w:lineRule="exact"/>
        <w:rPr>
          <w:sz w:val="20"/>
          <w:szCs w:val="20"/>
          <w:color w:val="auto"/>
        </w:rPr>
      </w:pPr>
    </w:p>
    <w:p>
      <w:pPr>
        <w:ind w:left="5" w:right="80"/>
        <w:spacing w:after="0" w:line="251" w:lineRule="auto"/>
        <w:rPr>
          <w:sz w:val="20"/>
          <w:szCs w:val="20"/>
          <w:color w:val="auto"/>
        </w:rPr>
      </w:pPr>
      <w:r>
        <w:rPr>
          <w:rFonts w:ascii="Arial" w:cs="Arial" w:eastAsia="Arial" w:hAnsi="Arial"/>
          <w:sz w:val="15"/>
          <w:szCs w:val="15"/>
          <w:color w:val="auto"/>
        </w:rPr>
        <w:t>Under the general terms of the 2005 Plan, the vesting of stock options and Class O LTIP units granted thereunder, including those granted to our named executive officers, will fully accelerate in the event of a termination of the recipient’s employment upon death or disability. Vested stock options and Class O LTIP units generally may be exercised or converted until the earlier of (i) their stated expiration date or mandatory conversion date or (ii) subject to extension of the exercise period or conversion period pursuant to our named executive officers’ employment agreements, a specified period of time after termination of employment (i.e., upon termination in the event of termination for cause, one year after termination in the event of termination due to death or disability and three months after termination in all other cases).</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2017 Proxy Statement </w:t>
      </w:r>
      <w:r>
        <w:rPr>
          <w:rFonts w:ascii="Arial" w:cs="Arial" w:eastAsia="Arial" w:hAnsi="Arial"/>
          <w:sz w:val="15"/>
          <w:szCs w:val="15"/>
          <w:color w:val="325889"/>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83450" cy="203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5"/>
          </w:cols>
          <w:pgMar w:left="235" w:top="528" w:right="219" w:bottom="1440" w:gutter="0" w:footer="0" w:header="0"/>
        </w:sectPr>
      </w:pPr>
    </w:p>
    <w:bookmarkStart w:id="49" w:name="page50"/>
    <w:bookmarkEnd w:id="49"/>
    <w:p>
      <w:pPr>
        <w:ind w:left="5"/>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ind w:left="5"/>
        <w:spacing w:after="0"/>
        <w:rPr>
          <w:sz w:val="20"/>
          <w:szCs w:val="20"/>
          <w:color w:val="auto"/>
        </w:rPr>
      </w:pPr>
      <w:r>
        <w:rPr>
          <w:rFonts w:ascii="Arial" w:cs="Arial" w:eastAsia="Arial" w:hAnsi="Arial"/>
          <w:sz w:val="15"/>
          <w:szCs w:val="15"/>
          <w:u w:val="single" w:color="auto"/>
          <w:color w:val="325889"/>
        </w:rPr>
        <w:t>EXECUTIVE COMPENSATION</w:t>
      </w:r>
    </w:p>
    <w:p>
      <w:pPr>
        <w:spacing w:after="0" w:line="178" w:lineRule="exact"/>
        <w:rPr>
          <w:sz w:val="20"/>
          <w:szCs w:val="20"/>
          <w:color w:val="auto"/>
        </w:rPr>
      </w:pPr>
    </w:p>
    <w:p>
      <w:pPr>
        <w:ind w:left="5"/>
        <w:spacing w:after="0"/>
        <w:rPr>
          <w:sz w:val="20"/>
          <w:szCs w:val="20"/>
          <w:color w:val="auto"/>
        </w:rPr>
      </w:pPr>
      <w:r>
        <w:rPr>
          <w:rFonts w:ascii="Arial" w:cs="Arial" w:eastAsia="Arial" w:hAnsi="Arial"/>
          <w:sz w:val="12"/>
          <w:szCs w:val="12"/>
          <w:b w:val="1"/>
          <w:bCs w:val="1"/>
          <w:color w:val="325889"/>
        </w:rPr>
        <w:t>Hypothetical Illustration of Payments upon Termination or Change in Control</w:t>
      </w:r>
    </w:p>
    <w:p>
      <w:pPr>
        <w:spacing w:after="0" w:line="200" w:lineRule="exact"/>
        <w:rPr>
          <w:sz w:val="20"/>
          <w:szCs w:val="20"/>
          <w:color w:val="auto"/>
        </w:rPr>
      </w:pPr>
    </w:p>
    <w:p>
      <w:pPr>
        <w:ind w:left="5" w:right="60"/>
        <w:spacing w:after="0" w:line="250" w:lineRule="auto"/>
        <w:rPr>
          <w:sz w:val="20"/>
          <w:szCs w:val="20"/>
          <w:color w:val="auto"/>
        </w:rPr>
      </w:pPr>
      <w:r>
        <w:rPr>
          <w:rFonts w:ascii="Arial" w:cs="Arial" w:eastAsia="Arial" w:hAnsi="Arial"/>
          <w:sz w:val="15"/>
          <w:szCs w:val="15"/>
          <w:color w:val="auto"/>
        </w:rPr>
        <w:t>The following tables show the potential payments and estimated value of the benefits that our named executive officers would have been entitled to receive upon a termination of their employment by us without cause or by them for good reason or upon the death or disability as of December 31, 2016 based on the employment agreements and other contractual arrangements in effect as of that date. Our named executive officers would not have been entitled to any payments or benefits other than those already accrued in the event of a termination of their employment by us for cause or by them without good reason (including upon retirement) or a change in control without termination. The types of events constituting cause, good reason, disability and a change in control may differ in some respects among the different arrangements providing for benefits to the named executive officers; however, for consistency in presentation, the payments and estimated value of benefits have been grouped together based on these concepts without regard for any such differences.</w:t>
      </w:r>
    </w:p>
    <w:p>
      <w:pPr>
        <w:spacing w:after="0" w:line="156" w:lineRule="exact"/>
        <w:rPr>
          <w:sz w:val="20"/>
          <w:szCs w:val="20"/>
          <w:color w:val="auto"/>
        </w:rPr>
      </w:pPr>
    </w:p>
    <w:tbl>
      <w:tblPr>
        <w:tblLayout w:type="fixed"/>
        <w:tblInd w:w="5" w:type="dxa"/>
        <w:tblCellMar>
          <w:top w:w="0" w:type="dxa"/>
          <w:left w:w="0" w:type="dxa"/>
          <w:bottom w:w="0" w:type="dxa"/>
          <w:right w:w="0" w:type="dxa"/>
        </w:tblCellMar>
      </w:tblPr>
      <w:tr>
        <w:trPr>
          <w:trHeight w:val="138"/>
        </w:trPr>
        <w:tc>
          <w:tcPr>
            <w:tcW w:w="6460" w:type="dxa"/>
            <w:vAlign w:val="bottom"/>
            <w:gridSpan w:val="6"/>
          </w:tcPr>
          <w:p>
            <w:pPr>
              <w:spacing w:after="0"/>
              <w:rPr>
                <w:sz w:val="20"/>
                <w:szCs w:val="20"/>
                <w:color w:val="auto"/>
              </w:rPr>
            </w:pPr>
            <w:r>
              <w:rPr>
                <w:rFonts w:ascii="Arial" w:cs="Arial" w:eastAsia="Arial" w:hAnsi="Arial"/>
                <w:sz w:val="12"/>
                <w:szCs w:val="12"/>
                <w:b w:val="1"/>
                <w:bCs w:val="1"/>
                <w:color w:val="325889"/>
              </w:rPr>
              <w:t>Marc Holliday</w:t>
            </w: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760" w:type="dxa"/>
            <w:vAlign w:val="bottom"/>
            <w:tcBorders>
              <w:top w:val="single" w:sz="8" w:color="325889"/>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ind w:left="120"/>
              <w:spacing w:after="0"/>
              <w:rPr>
                <w:sz w:val="20"/>
                <w:szCs w:val="20"/>
                <w:color w:val="auto"/>
              </w:rPr>
            </w:pPr>
            <w:r>
              <w:rPr>
                <w:rFonts w:ascii="Arial" w:cs="Arial" w:eastAsia="Arial" w:hAnsi="Arial"/>
                <w:sz w:val="12"/>
                <w:szCs w:val="12"/>
                <w:b w:val="1"/>
                <w:bCs w:val="1"/>
                <w:color w:val="325889"/>
              </w:rPr>
              <w:t>Termination without</w:t>
            </w:r>
          </w:p>
        </w:tc>
        <w:tc>
          <w:tcPr>
            <w:tcW w:w="24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b w:val="1"/>
                <w:bCs w:val="1"/>
                <w:color w:val="325889"/>
              </w:rPr>
              <w:t>Termination</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b w:val="1"/>
                <w:bCs w:val="1"/>
                <w:color w:val="325889"/>
              </w:rPr>
              <w:t>Death</w:t>
            </w:r>
            <w:r>
              <w:rPr>
                <w:rFonts w:ascii="Arial" w:cs="Arial" w:eastAsia="Arial" w:hAnsi="Arial"/>
                <w:sz w:val="19"/>
                <w:szCs w:val="19"/>
                <w:b w:val="1"/>
                <w:bCs w:val="1"/>
                <w:color w:val="325889"/>
                <w:vertAlign w:val="superscript"/>
              </w:rPr>
              <w:t>(1)</w:t>
            </w:r>
          </w:p>
        </w:tc>
        <w:tc>
          <w:tcPr>
            <w:tcW w:w="0" w:type="dxa"/>
            <w:vAlign w:val="bottom"/>
          </w:tcPr>
          <w:p>
            <w:pPr>
              <w:spacing w:after="0"/>
              <w:rPr>
                <w:sz w:val="1"/>
                <w:szCs w:val="1"/>
                <w:color w:val="auto"/>
              </w:rPr>
            </w:pPr>
          </w:p>
        </w:tc>
      </w:tr>
      <w:tr>
        <w:trPr>
          <w:trHeight w:val="169"/>
        </w:trPr>
        <w:tc>
          <w:tcPr>
            <w:tcW w:w="6320" w:type="dxa"/>
            <w:vAlign w:val="bottom"/>
            <w:gridSpan w:val="5"/>
          </w:tcPr>
          <w:p>
            <w:pPr>
              <w:spacing w:after="0"/>
              <w:rPr>
                <w:sz w:val="20"/>
                <w:szCs w:val="20"/>
                <w:color w:val="auto"/>
              </w:rPr>
            </w:pPr>
            <w:r>
              <w:rPr>
                <w:rFonts w:ascii="Arial" w:cs="Arial" w:eastAsia="Arial" w:hAnsi="Arial"/>
                <w:sz w:val="12"/>
                <w:szCs w:val="12"/>
                <w:b w:val="1"/>
                <w:bCs w:val="1"/>
                <w:color w:val="auto"/>
              </w:rPr>
              <w:t>Payment/Benefit</w:t>
            </w:r>
          </w:p>
        </w:tc>
        <w:tc>
          <w:tcPr>
            <w:tcW w:w="14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2"/>
                <w:szCs w:val="12"/>
                <w:b w:val="1"/>
                <w:bCs w:val="1"/>
                <w:color w:val="325889"/>
              </w:rPr>
              <w:t>Cause or for Good Reason</w:t>
            </w:r>
          </w:p>
        </w:tc>
        <w:tc>
          <w:tcPr>
            <w:tcW w:w="1220" w:type="dxa"/>
            <w:vAlign w:val="bottom"/>
            <w:gridSpan w:val="3"/>
          </w:tcPr>
          <w:p>
            <w:pPr>
              <w:spacing w:after="0"/>
              <w:rPr>
                <w:sz w:val="20"/>
                <w:szCs w:val="20"/>
                <w:color w:val="auto"/>
              </w:rPr>
            </w:pPr>
            <w:r>
              <w:rPr>
                <w:rFonts w:ascii="Arial" w:cs="Arial" w:eastAsia="Arial" w:hAnsi="Arial"/>
                <w:sz w:val="12"/>
                <w:szCs w:val="12"/>
                <w:b w:val="1"/>
                <w:bCs w:val="1"/>
                <w:color w:val="325889"/>
              </w:rPr>
              <w:t>w/Change in Control</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325889"/>
              </w:rPr>
              <w:t>Disability</w:t>
            </w: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760" w:type="dxa"/>
            <w:vAlign w:val="bottom"/>
            <w:shd w:val="clear" w:color="auto" w:fill="325889"/>
          </w:tcPr>
          <w:p>
            <w:pPr>
              <w:spacing w:after="0"/>
              <w:rPr>
                <w:sz w:val="2"/>
                <w:szCs w:val="2"/>
                <w:color w:val="auto"/>
              </w:rPr>
            </w:pPr>
          </w:p>
        </w:tc>
        <w:tc>
          <w:tcPr>
            <w:tcW w:w="140" w:type="dxa"/>
            <w:vAlign w:val="bottom"/>
            <w:shd w:val="clear" w:color="auto" w:fill="325889"/>
          </w:tcPr>
          <w:p>
            <w:pPr>
              <w:spacing w:after="0"/>
              <w:rPr>
                <w:sz w:val="2"/>
                <w:szCs w:val="2"/>
                <w:color w:val="auto"/>
              </w:rPr>
            </w:pPr>
          </w:p>
        </w:tc>
        <w:tc>
          <w:tcPr>
            <w:tcW w:w="80" w:type="dxa"/>
            <w:vAlign w:val="bottom"/>
            <w:shd w:val="clear" w:color="auto" w:fill="325889"/>
          </w:tcPr>
          <w:p>
            <w:pPr>
              <w:spacing w:after="0"/>
              <w:rPr>
                <w:sz w:val="2"/>
                <w:szCs w:val="2"/>
                <w:color w:val="auto"/>
              </w:rPr>
            </w:pPr>
          </w:p>
        </w:tc>
        <w:tc>
          <w:tcPr>
            <w:tcW w:w="180" w:type="dxa"/>
            <w:vAlign w:val="bottom"/>
            <w:shd w:val="clear" w:color="auto" w:fill="325889"/>
          </w:tcPr>
          <w:p>
            <w:pPr>
              <w:spacing w:after="0"/>
              <w:rPr>
                <w:sz w:val="2"/>
                <w:szCs w:val="2"/>
                <w:color w:val="auto"/>
              </w:rPr>
            </w:pPr>
          </w:p>
        </w:tc>
        <w:tc>
          <w:tcPr>
            <w:tcW w:w="516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325889"/>
          </w:tcPr>
          <w:p>
            <w:pPr>
              <w:spacing w:after="0"/>
              <w:rPr>
                <w:sz w:val="2"/>
                <w:szCs w:val="2"/>
                <w:color w:val="auto"/>
              </w:rPr>
            </w:pPr>
          </w:p>
        </w:tc>
        <w:tc>
          <w:tcPr>
            <w:tcW w:w="128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325889"/>
          </w:tcPr>
          <w:p>
            <w:pPr>
              <w:spacing w:after="0"/>
              <w:rPr>
                <w:sz w:val="2"/>
                <w:szCs w:val="2"/>
                <w:color w:val="auto"/>
              </w:rPr>
            </w:pPr>
          </w:p>
        </w:tc>
        <w:tc>
          <w:tcPr>
            <w:tcW w:w="900" w:type="dxa"/>
            <w:vAlign w:val="bottom"/>
            <w:shd w:val="clear" w:color="auto" w:fill="325889"/>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325889"/>
          </w:tcPr>
          <w:p>
            <w:pPr>
              <w:spacing w:after="0"/>
              <w:rPr>
                <w:sz w:val="2"/>
                <w:szCs w:val="2"/>
                <w:color w:val="auto"/>
              </w:rPr>
            </w:pPr>
          </w:p>
        </w:tc>
        <w:tc>
          <w:tcPr>
            <w:tcW w:w="78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325889"/>
          </w:tcPr>
          <w:p>
            <w:pPr>
              <w:spacing w:after="0"/>
              <w:rPr>
                <w:sz w:val="2"/>
                <w:szCs w:val="2"/>
                <w:color w:val="auto"/>
              </w:rPr>
            </w:pPr>
          </w:p>
        </w:tc>
        <w:tc>
          <w:tcPr>
            <w:tcW w:w="780" w:type="dxa"/>
            <w:vAlign w:val="bottom"/>
            <w:shd w:val="clear" w:color="auto" w:fill="32588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6320" w:type="dxa"/>
            <w:vAlign w:val="bottom"/>
            <w:gridSpan w:val="5"/>
          </w:tcPr>
          <w:p>
            <w:pPr>
              <w:spacing w:after="0"/>
              <w:rPr>
                <w:sz w:val="20"/>
                <w:szCs w:val="20"/>
                <w:color w:val="auto"/>
              </w:rPr>
            </w:pPr>
            <w:r>
              <w:rPr>
                <w:rFonts w:ascii="Arial" w:cs="Arial" w:eastAsia="Arial" w:hAnsi="Arial"/>
                <w:sz w:val="15"/>
                <w:szCs w:val="15"/>
                <w:color w:val="auto"/>
              </w:rPr>
              <w:t>Pro-Rata Bonus</w:t>
            </w:r>
          </w:p>
        </w:tc>
        <w:tc>
          <w:tcPr>
            <w:tcW w:w="14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7,500,000</w:t>
            </w:r>
          </w:p>
        </w:tc>
        <w:tc>
          <w:tcPr>
            <w:tcW w:w="14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7,500,000</w:t>
            </w:r>
          </w:p>
        </w:tc>
        <w:tc>
          <w:tcPr>
            <w:tcW w:w="8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7,500,000</w:t>
            </w:r>
          </w:p>
        </w:tc>
        <w:tc>
          <w:tcPr>
            <w:tcW w:w="14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7,500,000</w:t>
            </w:r>
          </w:p>
        </w:tc>
        <w:tc>
          <w:tcPr>
            <w:tcW w:w="0" w:type="dxa"/>
            <w:vAlign w:val="bottom"/>
          </w:tcPr>
          <w:p>
            <w:pPr>
              <w:spacing w:after="0"/>
              <w:rPr>
                <w:sz w:val="1"/>
                <w:szCs w:val="1"/>
                <w:color w:val="auto"/>
              </w:rPr>
            </w:pPr>
          </w:p>
        </w:tc>
      </w:tr>
      <w:tr>
        <w:trPr>
          <w:trHeight w:val="20"/>
        </w:trPr>
        <w:tc>
          <w:tcPr>
            <w:tcW w:w="760" w:type="dxa"/>
            <w:vAlign w:val="bottom"/>
            <w:shd w:val="clear" w:color="auto" w:fill="98A3B8"/>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80" w:type="dxa"/>
            <w:vAlign w:val="bottom"/>
            <w:shd w:val="clear" w:color="auto" w:fill="98A3B8"/>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51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98A3B8"/>
          </w:tcPr>
          <w:p>
            <w:pPr>
              <w:spacing w:after="0" w:line="20" w:lineRule="exact"/>
              <w:rPr>
                <w:sz w:val="1"/>
                <w:szCs w:val="1"/>
                <w:color w:val="auto"/>
              </w:rPr>
            </w:pPr>
          </w:p>
        </w:tc>
        <w:tc>
          <w:tcPr>
            <w:tcW w:w="12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98A3B8"/>
          </w:tcPr>
          <w:p>
            <w:pPr>
              <w:spacing w:after="0" w:line="20" w:lineRule="exact"/>
              <w:rPr>
                <w:sz w:val="1"/>
                <w:szCs w:val="1"/>
                <w:color w:val="auto"/>
              </w:rPr>
            </w:pPr>
          </w:p>
        </w:tc>
        <w:tc>
          <w:tcPr>
            <w:tcW w:w="90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320" w:type="dxa"/>
            <w:vAlign w:val="bottom"/>
            <w:gridSpan w:val="5"/>
          </w:tcPr>
          <w:p>
            <w:pPr>
              <w:spacing w:after="0"/>
              <w:rPr>
                <w:sz w:val="20"/>
                <w:szCs w:val="20"/>
                <w:color w:val="auto"/>
              </w:rPr>
            </w:pPr>
            <w:r>
              <w:rPr>
                <w:rFonts w:ascii="Arial" w:cs="Arial" w:eastAsia="Arial" w:hAnsi="Arial"/>
                <w:sz w:val="15"/>
                <w:szCs w:val="15"/>
                <w:color w:val="auto"/>
              </w:rPr>
              <w:t>Cash Severance</w:t>
            </w:r>
          </w:p>
        </w:tc>
        <w:tc>
          <w:tcPr>
            <w:tcW w:w="14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9,375,000</w:t>
            </w:r>
          </w:p>
        </w:tc>
        <w:tc>
          <w:tcPr>
            <w:tcW w:w="14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28,125,000</w:t>
            </w:r>
          </w:p>
        </w:tc>
        <w:tc>
          <w:tcPr>
            <w:tcW w:w="8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9,375,000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60" w:type="dxa"/>
            <w:vAlign w:val="bottom"/>
            <w:shd w:val="clear" w:color="auto" w:fill="98A3B8"/>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80" w:type="dxa"/>
            <w:vAlign w:val="bottom"/>
            <w:shd w:val="clear" w:color="auto" w:fill="98A3B8"/>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51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98A3B8"/>
          </w:tcPr>
          <w:p>
            <w:pPr>
              <w:spacing w:after="0" w:line="20" w:lineRule="exact"/>
              <w:rPr>
                <w:sz w:val="1"/>
                <w:szCs w:val="1"/>
                <w:color w:val="auto"/>
              </w:rPr>
            </w:pPr>
          </w:p>
        </w:tc>
        <w:tc>
          <w:tcPr>
            <w:tcW w:w="12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98A3B8"/>
          </w:tcPr>
          <w:p>
            <w:pPr>
              <w:spacing w:after="0" w:line="20" w:lineRule="exact"/>
              <w:rPr>
                <w:sz w:val="1"/>
                <w:szCs w:val="1"/>
                <w:color w:val="auto"/>
              </w:rPr>
            </w:pPr>
          </w:p>
        </w:tc>
        <w:tc>
          <w:tcPr>
            <w:tcW w:w="90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320" w:type="dxa"/>
            <w:vAlign w:val="bottom"/>
            <w:gridSpan w:val="5"/>
          </w:tcPr>
          <w:p>
            <w:pPr>
              <w:spacing w:after="0" w:line="271" w:lineRule="exact"/>
              <w:rPr>
                <w:sz w:val="20"/>
                <w:szCs w:val="20"/>
                <w:color w:val="auto"/>
              </w:rPr>
            </w:pPr>
            <w:r>
              <w:rPr>
                <w:rFonts w:ascii="Arial" w:cs="Arial" w:eastAsia="Arial" w:hAnsi="Arial"/>
                <w:sz w:val="15"/>
                <w:szCs w:val="15"/>
                <w:color w:val="auto"/>
              </w:rPr>
              <w:t>Stock Option / Class O LTIP Unit Vesting</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220" w:type="dxa"/>
            <w:vAlign w:val="bottom"/>
          </w:tcPr>
          <w:p>
            <w:pPr>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807,450</w:t>
            </w:r>
          </w:p>
        </w:tc>
        <w:tc>
          <w:tcPr>
            <w:tcW w:w="140" w:type="dxa"/>
            <w:vAlign w:val="bottom"/>
          </w:tcPr>
          <w:p>
            <w:pPr>
              <w:spacing w:after="0"/>
              <w:rPr>
                <w:sz w:val="23"/>
                <w:szCs w:val="23"/>
                <w:color w:val="auto"/>
              </w:rPr>
            </w:pPr>
          </w:p>
        </w:tc>
        <w:tc>
          <w:tcPr>
            <w:tcW w:w="240" w:type="dxa"/>
            <w:vAlign w:val="bottom"/>
          </w:tcPr>
          <w:p>
            <w:pPr>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807,450</w:t>
            </w:r>
          </w:p>
        </w:tc>
        <w:tc>
          <w:tcPr>
            <w:tcW w:w="80" w:type="dxa"/>
            <w:vAlign w:val="bottom"/>
          </w:tcPr>
          <w:p>
            <w:pPr>
              <w:spacing w:after="0"/>
              <w:rPr>
                <w:sz w:val="23"/>
                <w:szCs w:val="2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807,450</w:t>
            </w:r>
          </w:p>
        </w:tc>
        <w:tc>
          <w:tcPr>
            <w:tcW w:w="140" w:type="dxa"/>
            <w:vAlign w:val="bottom"/>
          </w:tcPr>
          <w:p>
            <w:pPr>
              <w:spacing w:after="0"/>
              <w:rPr>
                <w:sz w:val="23"/>
                <w:szCs w:val="23"/>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807,450</w:t>
            </w:r>
          </w:p>
        </w:tc>
        <w:tc>
          <w:tcPr>
            <w:tcW w:w="0" w:type="dxa"/>
            <w:vAlign w:val="bottom"/>
          </w:tcPr>
          <w:p>
            <w:pPr>
              <w:spacing w:after="0"/>
              <w:rPr>
                <w:sz w:val="1"/>
                <w:szCs w:val="1"/>
                <w:color w:val="auto"/>
              </w:rPr>
            </w:pPr>
          </w:p>
        </w:tc>
      </w:tr>
      <w:tr>
        <w:trPr>
          <w:trHeight w:val="20"/>
        </w:trPr>
        <w:tc>
          <w:tcPr>
            <w:tcW w:w="760" w:type="dxa"/>
            <w:vAlign w:val="bottom"/>
            <w:shd w:val="clear" w:color="auto" w:fill="98A3B8"/>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80" w:type="dxa"/>
            <w:vAlign w:val="bottom"/>
            <w:shd w:val="clear" w:color="auto" w:fill="98A3B8"/>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51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98A3B8"/>
          </w:tcPr>
          <w:p>
            <w:pPr>
              <w:spacing w:after="0" w:line="20" w:lineRule="exact"/>
              <w:rPr>
                <w:sz w:val="1"/>
                <w:szCs w:val="1"/>
                <w:color w:val="auto"/>
              </w:rPr>
            </w:pPr>
          </w:p>
        </w:tc>
        <w:tc>
          <w:tcPr>
            <w:tcW w:w="12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98A3B8"/>
          </w:tcPr>
          <w:p>
            <w:pPr>
              <w:spacing w:after="0" w:line="20" w:lineRule="exact"/>
              <w:rPr>
                <w:sz w:val="1"/>
                <w:szCs w:val="1"/>
                <w:color w:val="auto"/>
              </w:rPr>
            </w:pPr>
          </w:p>
        </w:tc>
        <w:tc>
          <w:tcPr>
            <w:tcW w:w="90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6320" w:type="dxa"/>
            <w:vAlign w:val="bottom"/>
            <w:gridSpan w:val="5"/>
          </w:tcPr>
          <w:p>
            <w:pPr>
              <w:spacing w:after="0" w:line="265" w:lineRule="exact"/>
              <w:rPr>
                <w:sz w:val="20"/>
                <w:szCs w:val="20"/>
                <w:color w:val="auto"/>
              </w:rPr>
            </w:pPr>
            <w:r>
              <w:rPr>
                <w:rFonts w:ascii="Arial" w:cs="Arial" w:eastAsia="Arial" w:hAnsi="Arial"/>
                <w:sz w:val="15"/>
                <w:szCs w:val="15"/>
                <w:color w:val="auto"/>
              </w:rPr>
              <w:t>LTIP Unit/Stock Unit Vesting</w:t>
            </w:r>
            <w:r>
              <w:rPr>
                <w:rFonts w:ascii="Arial" w:cs="Arial" w:eastAsia="Arial" w:hAnsi="Arial"/>
                <w:sz w:val="25"/>
                <w:szCs w:val="25"/>
                <w:color w:val="auto"/>
                <w:vertAlign w:val="superscript"/>
              </w:rPr>
              <w:t>(3)</w:t>
            </w:r>
          </w:p>
        </w:tc>
        <w:tc>
          <w:tcPr>
            <w:tcW w:w="140" w:type="dxa"/>
            <w:vAlign w:val="bottom"/>
          </w:tcPr>
          <w:p>
            <w:pPr>
              <w:spacing w:after="0"/>
              <w:rPr>
                <w:sz w:val="23"/>
                <w:szCs w:val="23"/>
                <w:color w:val="auto"/>
              </w:rPr>
            </w:pPr>
          </w:p>
        </w:tc>
        <w:tc>
          <w:tcPr>
            <w:tcW w:w="220" w:type="dxa"/>
            <w:vAlign w:val="bottom"/>
          </w:tcPr>
          <w:p>
            <w:pPr>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1,425,360</w:t>
            </w:r>
          </w:p>
        </w:tc>
        <w:tc>
          <w:tcPr>
            <w:tcW w:w="140" w:type="dxa"/>
            <w:vAlign w:val="bottom"/>
          </w:tcPr>
          <w:p>
            <w:pPr>
              <w:spacing w:after="0"/>
              <w:rPr>
                <w:sz w:val="23"/>
                <w:szCs w:val="23"/>
                <w:color w:val="auto"/>
              </w:rPr>
            </w:pPr>
          </w:p>
        </w:tc>
        <w:tc>
          <w:tcPr>
            <w:tcW w:w="240" w:type="dxa"/>
            <w:vAlign w:val="bottom"/>
          </w:tcPr>
          <w:p>
            <w:pPr>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1,425,360</w:t>
            </w:r>
          </w:p>
        </w:tc>
        <w:tc>
          <w:tcPr>
            <w:tcW w:w="80" w:type="dxa"/>
            <w:vAlign w:val="bottom"/>
          </w:tcPr>
          <w:p>
            <w:pPr>
              <w:spacing w:after="0"/>
              <w:rPr>
                <w:sz w:val="23"/>
                <w:szCs w:val="2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1,425,360</w:t>
            </w:r>
          </w:p>
        </w:tc>
        <w:tc>
          <w:tcPr>
            <w:tcW w:w="140" w:type="dxa"/>
            <w:vAlign w:val="bottom"/>
          </w:tcPr>
          <w:p>
            <w:pPr>
              <w:spacing w:after="0"/>
              <w:rPr>
                <w:sz w:val="23"/>
                <w:szCs w:val="23"/>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1,425,360</w:t>
            </w:r>
          </w:p>
        </w:tc>
        <w:tc>
          <w:tcPr>
            <w:tcW w:w="0" w:type="dxa"/>
            <w:vAlign w:val="bottom"/>
          </w:tcPr>
          <w:p>
            <w:pPr>
              <w:spacing w:after="0"/>
              <w:rPr>
                <w:sz w:val="1"/>
                <w:szCs w:val="1"/>
                <w:color w:val="auto"/>
              </w:rPr>
            </w:pPr>
          </w:p>
        </w:tc>
      </w:tr>
      <w:tr>
        <w:trPr>
          <w:trHeight w:val="20"/>
        </w:trPr>
        <w:tc>
          <w:tcPr>
            <w:tcW w:w="760" w:type="dxa"/>
            <w:vAlign w:val="bottom"/>
            <w:shd w:val="clear" w:color="auto" w:fill="98A3B8"/>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80" w:type="dxa"/>
            <w:vAlign w:val="bottom"/>
            <w:shd w:val="clear" w:color="auto" w:fill="98A3B8"/>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51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98A3B8"/>
          </w:tcPr>
          <w:p>
            <w:pPr>
              <w:spacing w:after="0" w:line="20" w:lineRule="exact"/>
              <w:rPr>
                <w:sz w:val="1"/>
                <w:szCs w:val="1"/>
                <w:color w:val="auto"/>
              </w:rPr>
            </w:pPr>
          </w:p>
        </w:tc>
        <w:tc>
          <w:tcPr>
            <w:tcW w:w="12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98A3B8"/>
          </w:tcPr>
          <w:p>
            <w:pPr>
              <w:spacing w:after="0" w:line="20" w:lineRule="exact"/>
              <w:rPr>
                <w:sz w:val="1"/>
                <w:szCs w:val="1"/>
                <w:color w:val="auto"/>
              </w:rPr>
            </w:pPr>
          </w:p>
        </w:tc>
        <w:tc>
          <w:tcPr>
            <w:tcW w:w="90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6320" w:type="dxa"/>
            <w:vAlign w:val="bottom"/>
            <w:gridSpan w:val="5"/>
          </w:tcPr>
          <w:p>
            <w:pPr>
              <w:spacing w:after="0" w:line="265" w:lineRule="exact"/>
              <w:rPr>
                <w:sz w:val="20"/>
                <w:szCs w:val="20"/>
                <w:color w:val="auto"/>
              </w:rPr>
            </w:pPr>
            <w:r>
              <w:rPr>
                <w:rFonts w:ascii="Arial" w:cs="Arial" w:eastAsia="Arial" w:hAnsi="Arial"/>
                <w:sz w:val="15"/>
                <w:szCs w:val="15"/>
                <w:color w:val="auto"/>
              </w:rPr>
              <w:t>2014 OPP</w:t>
            </w:r>
            <w:r>
              <w:rPr>
                <w:rFonts w:ascii="Arial" w:cs="Arial" w:eastAsia="Arial" w:hAnsi="Arial"/>
                <w:sz w:val="25"/>
                <w:szCs w:val="25"/>
                <w:color w:val="auto"/>
                <w:vertAlign w:val="superscript"/>
              </w:rPr>
              <w:t>(4)</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60" w:type="dxa"/>
            <w:vAlign w:val="bottom"/>
            <w:shd w:val="clear" w:color="auto" w:fill="98A3B8"/>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80" w:type="dxa"/>
            <w:vAlign w:val="bottom"/>
            <w:shd w:val="clear" w:color="auto" w:fill="98A3B8"/>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51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98A3B8"/>
          </w:tcPr>
          <w:p>
            <w:pPr>
              <w:spacing w:after="0" w:line="20" w:lineRule="exact"/>
              <w:rPr>
                <w:sz w:val="1"/>
                <w:szCs w:val="1"/>
                <w:color w:val="auto"/>
              </w:rPr>
            </w:pPr>
          </w:p>
        </w:tc>
        <w:tc>
          <w:tcPr>
            <w:tcW w:w="12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98A3B8"/>
          </w:tcPr>
          <w:p>
            <w:pPr>
              <w:spacing w:after="0" w:line="20" w:lineRule="exact"/>
              <w:rPr>
                <w:sz w:val="1"/>
                <w:szCs w:val="1"/>
                <w:color w:val="auto"/>
              </w:rPr>
            </w:pPr>
          </w:p>
        </w:tc>
        <w:tc>
          <w:tcPr>
            <w:tcW w:w="90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6320" w:type="dxa"/>
            <w:vAlign w:val="bottom"/>
            <w:gridSpan w:val="5"/>
          </w:tcPr>
          <w:p>
            <w:pPr>
              <w:spacing w:after="0" w:line="265" w:lineRule="exact"/>
              <w:rPr>
                <w:sz w:val="20"/>
                <w:szCs w:val="20"/>
                <w:color w:val="auto"/>
              </w:rPr>
            </w:pPr>
            <w:r>
              <w:rPr>
                <w:rFonts w:ascii="Arial" w:cs="Arial" w:eastAsia="Arial" w:hAnsi="Arial"/>
                <w:sz w:val="15"/>
                <w:szCs w:val="15"/>
                <w:color w:val="auto"/>
              </w:rPr>
              <w:t>Benefits Continuation</w:t>
            </w:r>
            <w:r>
              <w:rPr>
                <w:rFonts w:ascii="Arial" w:cs="Arial" w:eastAsia="Arial" w:hAnsi="Arial"/>
                <w:sz w:val="25"/>
                <w:szCs w:val="25"/>
                <w:color w:val="auto"/>
                <w:vertAlign w:val="superscript"/>
              </w:rPr>
              <w:t>(5)</w:t>
            </w:r>
          </w:p>
        </w:tc>
        <w:tc>
          <w:tcPr>
            <w:tcW w:w="140" w:type="dxa"/>
            <w:vAlign w:val="bottom"/>
          </w:tcPr>
          <w:p>
            <w:pPr>
              <w:spacing w:after="0"/>
              <w:rPr>
                <w:sz w:val="23"/>
                <w:szCs w:val="23"/>
                <w:color w:val="auto"/>
              </w:rPr>
            </w:pPr>
          </w:p>
        </w:tc>
        <w:tc>
          <w:tcPr>
            <w:tcW w:w="220" w:type="dxa"/>
            <w:vAlign w:val="bottom"/>
          </w:tcPr>
          <w:p>
            <w:pPr>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44,014</w:t>
            </w:r>
          </w:p>
        </w:tc>
        <w:tc>
          <w:tcPr>
            <w:tcW w:w="140" w:type="dxa"/>
            <w:vAlign w:val="bottom"/>
          </w:tcPr>
          <w:p>
            <w:pPr>
              <w:spacing w:after="0"/>
              <w:rPr>
                <w:sz w:val="23"/>
                <w:szCs w:val="23"/>
                <w:color w:val="auto"/>
              </w:rPr>
            </w:pPr>
          </w:p>
        </w:tc>
        <w:tc>
          <w:tcPr>
            <w:tcW w:w="240" w:type="dxa"/>
            <w:vAlign w:val="bottom"/>
          </w:tcPr>
          <w:p>
            <w:pPr>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88,027</w:t>
            </w:r>
          </w:p>
        </w:tc>
        <w:tc>
          <w:tcPr>
            <w:tcW w:w="80" w:type="dxa"/>
            <w:vAlign w:val="bottom"/>
          </w:tcPr>
          <w:p>
            <w:pPr>
              <w:spacing w:after="0"/>
              <w:rPr>
                <w:sz w:val="23"/>
                <w:szCs w:val="2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132,041</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68"/>
        </w:trPr>
        <w:tc>
          <w:tcPr>
            <w:tcW w:w="6320" w:type="dxa"/>
            <w:vAlign w:val="bottom"/>
            <w:tcBorders>
              <w:top w:val="single" w:sz="8" w:color="325889"/>
            </w:tcBorders>
            <w:gridSpan w:val="5"/>
          </w:tcPr>
          <w:p>
            <w:pPr>
              <w:spacing w:after="0"/>
              <w:rPr>
                <w:sz w:val="20"/>
                <w:szCs w:val="20"/>
                <w:color w:val="auto"/>
              </w:rPr>
            </w:pPr>
            <w:r>
              <w:rPr>
                <w:rFonts w:ascii="Arial" w:cs="Arial" w:eastAsia="Arial" w:hAnsi="Arial"/>
                <w:sz w:val="12"/>
                <w:szCs w:val="12"/>
                <w:b w:val="1"/>
                <w:bCs w:val="1"/>
                <w:color w:val="325889"/>
              </w:rPr>
              <w:t>Stephen L. Green</w:t>
            </w:r>
          </w:p>
        </w:tc>
        <w:tc>
          <w:tcPr>
            <w:tcW w:w="140" w:type="dxa"/>
            <w:vAlign w:val="bottom"/>
          </w:tcPr>
          <w:p>
            <w:pPr>
              <w:spacing w:after="0"/>
              <w:rPr>
                <w:sz w:val="24"/>
                <w:szCs w:val="24"/>
                <w:color w:val="auto"/>
              </w:rPr>
            </w:pPr>
          </w:p>
        </w:tc>
        <w:tc>
          <w:tcPr>
            <w:tcW w:w="220" w:type="dxa"/>
            <w:vAlign w:val="bottom"/>
            <w:tcBorders>
              <w:top w:val="single" w:sz="8" w:color="325889"/>
            </w:tcBorders>
          </w:tcPr>
          <w:p>
            <w:pPr>
              <w:spacing w:after="0"/>
              <w:rPr>
                <w:sz w:val="24"/>
                <w:szCs w:val="24"/>
                <w:color w:val="auto"/>
              </w:rPr>
            </w:pPr>
          </w:p>
        </w:tc>
        <w:tc>
          <w:tcPr>
            <w:tcW w:w="1280" w:type="dxa"/>
            <w:vAlign w:val="bottom"/>
            <w:tcBorders>
              <w:top w:val="single" w:sz="8" w:color="325889"/>
            </w:tcBorders>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top w:val="single" w:sz="8" w:color="325889"/>
            </w:tcBorders>
          </w:tcPr>
          <w:p>
            <w:pPr>
              <w:spacing w:after="0"/>
              <w:rPr>
                <w:sz w:val="24"/>
                <w:szCs w:val="24"/>
                <w:color w:val="auto"/>
              </w:rPr>
            </w:pPr>
          </w:p>
        </w:tc>
        <w:tc>
          <w:tcPr>
            <w:tcW w:w="900" w:type="dxa"/>
            <w:vAlign w:val="bottom"/>
            <w:tcBorders>
              <w:top w:val="single" w:sz="8" w:color="325889"/>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325889"/>
            </w:tcBorders>
          </w:tcPr>
          <w:p>
            <w:pPr>
              <w:spacing w:after="0"/>
              <w:rPr>
                <w:sz w:val="24"/>
                <w:szCs w:val="24"/>
                <w:color w:val="auto"/>
              </w:rPr>
            </w:pPr>
          </w:p>
        </w:tc>
        <w:tc>
          <w:tcPr>
            <w:tcW w:w="780" w:type="dxa"/>
            <w:vAlign w:val="bottom"/>
            <w:tcBorders>
              <w:top w:val="single" w:sz="8" w:color="325889"/>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top w:val="single" w:sz="8" w:color="325889"/>
            </w:tcBorders>
          </w:tcPr>
          <w:p>
            <w:pPr>
              <w:spacing w:after="0"/>
              <w:rPr>
                <w:sz w:val="24"/>
                <w:szCs w:val="24"/>
                <w:color w:val="auto"/>
              </w:rPr>
            </w:pPr>
          </w:p>
        </w:tc>
        <w:tc>
          <w:tcPr>
            <w:tcW w:w="780" w:type="dxa"/>
            <w:vAlign w:val="bottom"/>
            <w:tcBorders>
              <w:top w:val="single" w:sz="8" w:color="325889"/>
            </w:tcBorders>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60" w:type="dxa"/>
            <w:vAlign w:val="bottom"/>
            <w:tcBorders>
              <w:top w:val="single" w:sz="8" w:color="325889"/>
            </w:tcBorders>
          </w:tcPr>
          <w:p>
            <w:pPr>
              <w:spacing w:after="0"/>
              <w:rPr>
                <w:sz w:val="24"/>
                <w:szCs w:val="24"/>
                <w:color w:val="auto"/>
              </w:rPr>
            </w:pPr>
          </w:p>
        </w:tc>
        <w:tc>
          <w:tcPr>
            <w:tcW w:w="140" w:type="dxa"/>
            <w:vAlign w:val="bottom"/>
            <w:tcBorders>
              <w:top w:val="single" w:sz="8" w:color="325889"/>
            </w:tcBorders>
          </w:tcPr>
          <w:p>
            <w:pPr>
              <w:spacing w:after="0"/>
              <w:rPr>
                <w:sz w:val="24"/>
                <w:szCs w:val="24"/>
                <w:color w:val="auto"/>
              </w:rPr>
            </w:pPr>
          </w:p>
        </w:tc>
        <w:tc>
          <w:tcPr>
            <w:tcW w:w="80" w:type="dxa"/>
            <w:vAlign w:val="bottom"/>
            <w:tcBorders>
              <w:top w:val="single" w:sz="8" w:color="325889"/>
            </w:tcBorders>
          </w:tcPr>
          <w:p>
            <w:pPr>
              <w:spacing w:after="0"/>
              <w:rPr>
                <w:sz w:val="24"/>
                <w:szCs w:val="24"/>
                <w:color w:val="auto"/>
              </w:rPr>
            </w:pPr>
          </w:p>
        </w:tc>
        <w:tc>
          <w:tcPr>
            <w:tcW w:w="1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325889"/>
              </w:rPr>
              <w:t>Termination without</w:t>
            </w:r>
          </w:p>
        </w:tc>
        <w:tc>
          <w:tcPr>
            <w:tcW w:w="24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b w:val="1"/>
                <w:bCs w:val="1"/>
                <w:color w:val="325889"/>
              </w:rPr>
              <w:t>Termination</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2"/>
          </w:tcPr>
          <w:p>
            <w:pPr>
              <w:jc w:val="right"/>
              <w:ind w:right="140"/>
              <w:spacing w:after="0" w:line="131" w:lineRule="exact"/>
              <w:rPr>
                <w:sz w:val="20"/>
                <w:szCs w:val="20"/>
                <w:color w:val="auto"/>
              </w:rPr>
            </w:pPr>
            <w:r>
              <w:rPr>
                <w:rFonts w:ascii="Arial" w:cs="Arial" w:eastAsia="Arial" w:hAnsi="Arial"/>
                <w:sz w:val="12"/>
                <w:szCs w:val="12"/>
                <w:b w:val="1"/>
                <w:bCs w:val="1"/>
                <w:color w:val="325889"/>
              </w:rPr>
              <w:t>Cause or for Good</w:t>
            </w:r>
          </w:p>
        </w:tc>
        <w:tc>
          <w:tcPr>
            <w:tcW w:w="240" w:type="dxa"/>
            <w:vAlign w:val="bottom"/>
          </w:tcPr>
          <w:p>
            <w:pPr>
              <w:spacing w:after="0"/>
              <w:rPr>
                <w:sz w:val="11"/>
                <w:szCs w:val="11"/>
                <w:color w:val="auto"/>
              </w:rPr>
            </w:pPr>
          </w:p>
        </w:tc>
        <w:tc>
          <w:tcPr>
            <w:tcW w:w="980" w:type="dxa"/>
            <w:vAlign w:val="bottom"/>
            <w:gridSpan w:val="2"/>
          </w:tcPr>
          <w:p>
            <w:pPr>
              <w:jc w:val="right"/>
              <w:ind w:right="60"/>
              <w:spacing w:after="0" w:line="131" w:lineRule="exact"/>
              <w:rPr>
                <w:sz w:val="20"/>
                <w:szCs w:val="20"/>
                <w:color w:val="auto"/>
              </w:rPr>
            </w:pPr>
            <w:r>
              <w:rPr>
                <w:rFonts w:ascii="Arial" w:cs="Arial" w:eastAsia="Arial" w:hAnsi="Arial"/>
                <w:sz w:val="12"/>
                <w:szCs w:val="12"/>
                <w:b w:val="1"/>
                <w:bCs w:val="1"/>
                <w:color w:val="325889"/>
              </w:rPr>
              <w:t>w/Change in</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b w:val="1"/>
                <w:bCs w:val="1"/>
                <w:color w:val="325889"/>
              </w:rPr>
              <w:t>Death</w:t>
            </w:r>
            <w:r>
              <w:rPr>
                <w:rFonts w:ascii="Arial" w:cs="Arial" w:eastAsia="Arial" w:hAnsi="Arial"/>
                <w:sz w:val="19"/>
                <w:szCs w:val="19"/>
                <w:b w:val="1"/>
                <w:bCs w:val="1"/>
                <w:color w:val="325889"/>
                <w:vertAlign w:val="superscript"/>
              </w:rPr>
              <w:t>(1)</w:t>
            </w:r>
          </w:p>
        </w:tc>
        <w:tc>
          <w:tcPr>
            <w:tcW w:w="0" w:type="dxa"/>
            <w:vAlign w:val="bottom"/>
          </w:tcPr>
          <w:p>
            <w:pPr>
              <w:spacing w:after="0"/>
              <w:rPr>
                <w:sz w:val="1"/>
                <w:szCs w:val="1"/>
                <w:color w:val="auto"/>
              </w:rPr>
            </w:pPr>
          </w:p>
        </w:tc>
      </w:tr>
      <w:tr>
        <w:trPr>
          <w:trHeight w:val="169"/>
        </w:trPr>
        <w:tc>
          <w:tcPr>
            <w:tcW w:w="6320" w:type="dxa"/>
            <w:vAlign w:val="bottom"/>
            <w:gridSpan w:val="5"/>
          </w:tcPr>
          <w:p>
            <w:pPr>
              <w:spacing w:after="0"/>
              <w:rPr>
                <w:sz w:val="20"/>
                <w:szCs w:val="20"/>
                <w:color w:val="auto"/>
              </w:rPr>
            </w:pPr>
            <w:r>
              <w:rPr>
                <w:rFonts w:ascii="Arial" w:cs="Arial" w:eastAsia="Arial" w:hAnsi="Arial"/>
                <w:sz w:val="12"/>
                <w:szCs w:val="12"/>
                <w:b w:val="1"/>
                <w:bCs w:val="1"/>
                <w:color w:val="auto"/>
              </w:rPr>
              <w:t>Payment/Benefit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b w:val="1"/>
                <w:bCs w:val="1"/>
                <w:color w:val="325889"/>
              </w:rPr>
              <w:t>Reason</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b w:val="1"/>
                <w:bCs w:val="1"/>
                <w:color w:val="325889"/>
              </w:rPr>
              <w:t>Control</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325889"/>
              </w:rPr>
              <w:t>Disability</w:t>
            </w: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760" w:type="dxa"/>
            <w:vAlign w:val="bottom"/>
            <w:shd w:val="clear" w:color="auto" w:fill="325889"/>
          </w:tcPr>
          <w:p>
            <w:pPr>
              <w:spacing w:after="0"/>
              <w:rPr>
                <w:sz w:val="2"/>
                <w:szCs w:val="2"/>
                <w:color w:val="auto"/>
              </w:rPr>
            </w:pPr>
          </w:p>
        </w:tc>
        <w:tc>
          <w:tcPr>
            <w:tcW w:w="140" w:type="dxa"/>
            <w:vAlign w:val="bottom"/>
            <w:shd w:val="clear" w:color="auto" w:fill="325889"/>
          </w:tcPr>
          <w:p>
            <w:pPr>
              <w:spacing w:after="0"/>
              <w:rPr>
                <w:sz w:val="2"/>
                <w:szCs w:val="2"/>
                <w:color w:val="auto"/>
              </w:rPr>
            </w:pPr>
          </w:p>
        </w:tc>
        <w:tc>
          <w:tcPr>
            <w:tcW w:w="80" w:type="dxa"/>
            <w:vAlign w:val="bottom"/>
            <w:shd w:val="clear" w:color="auto" w:fill="325889"/>
          </w:tcPr>
          <w:p>
            <w:pPr>
              <w:spacing w:after="0"/>
              <w:rPr>
                <w:sz w:val="2"/>
                <w:szCs w:val="2"/>
                <w:color w:val="auto"/>
              </w:rPr>
            </w:pPr>
          </w:p>
        </w:tc>
        <w:tc>
          <w:tcPr>
            <w:tcW w:w="180" w:type="dxa"/>
            <w:vAlign w:val="bottom"/>
            <w:shd w:val="clear" w:color="auto" w:fill="325889"/>
          </w:tcPr>
          <w:p>
            <w:pPr>
              <w:spacing w:after="0"/>
              <w:rPr>
                <w:sz w:val="2"/>
                <w:szCs w:val="2"/>
                <w:color w:val="auto"/>
              </w:rPr>
            </w:pPr>
          </w:p>
        </w:tc>
        <w:tc>
          <w:tcPr>
            <w:tcW w:w="516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325889"/>
          </w:tcPr>
          <w:p>
            <w:pPr>
              <w:spacing w:after="0"/>
              <w:rPr>
                <w:sz w:val="2"/>
                <w:szCs w:val="2"/>
                <w:color w:val="auto"/>
              </w:rPr>
            </w:pPr>
          </w:p>
        </w:tc>
        <w:tc>
          <w:tcPr>
            <w:tcW w:w="128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325889"/>
          </w:tcPr>
          <w:p>
            <w:pPr>
              <w:spacing w:after="0"/>
              <w:rPr>
                <w:sz w:val="2"/>
                <w:szCs w:val="2"/>
                <w:color w:val="auto"/>
              </w:rPr>
            </w:pPr>
          </w:p>
        </w:tc>
        <w:tc>
          <w:tcPr>
            <w:tcW w:w="900" w:type="dxa"/>
            <w:vAlign w:val="bottom"/>
            <w:shd w:val="clear" w:color="auto" w:fill="325889"/>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325889"/>
          </w:tcPr>
          <w:p>
            <w:pPr>
              <w:spacing w:after="0"/>
              <w:rPr>
                <w:sz w:val="2"/>
                <w:szCs w:val="2"/>
                <w:color w:val="auto"/>
              </w:rPr>
            </w:pPr>
          </w:p>
        </w:tc>
        <w:tc>
          <w:tcPr>
            <w:tcW w:w="78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325889"/>
          </w:tcPr>
          <w:p>
            <w:pPr>
              <w:spacing w:after="0"/>
              <w:rPr>
                <w:sz w:val="2"/>
                <w:szCs w:val="2"/>
                <w:color w:val="auto"/>
              </w:rPr>
            </w:pPr>
          </w:p>
        </w:tc>
        <w:tc>
          <w:tcPr>
            <w:tcW w:w="780" w:type="dxa"/>
            <w:vAlign w:val="bottom"/>
            <w:shd w:val="clear" w:color="auto" w:fill="32588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6320" w:type="dxa"/>
            <w:vAlign w:val="bottom"/>
            <w:gridSpan w:val="5"/>
          </w:tcPr>
          <w:p>
            <w:pPr>
              <w:spacing w:after="0"/>
              <w:rPr>
                <w:sz w:val="20"/>
                <w:szCs w:val="20"/>
                <w:color w:val="auto"/>
              </w:rPr>
            </w:pPr>
            <w:r>
              <w:rPr>
                <w:rFonts w:ascii="Arial" w:cs="Arial" w:eastAsia="Arial" w:hAnsi="Arial"/>
                <w:sz w:val="15"/>
                <w:szCs w:val="15"/>
                <w:color w:val="auto"/>
              </w:rPr>
              <w:t>Pro-Rata Bonus</w:t>
            </w:r>
          </w:p>
        </w:tc>
        <w:tc>
          <w:tcPr>
            <w:tcW w:w="14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4,200,000</w:t>
            </w:r>
          </w:p>
        </w:tc>
        <w:tc>
          <w:tcPr>
            <w:tcW w:w="14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4,200,000</w:t>
            </w:r>
          </w:p>
        </w:tc>
        <w:tc>
          <w:tcPr>
            <w:tcW w:w="8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4,200,000</w:t>
            </w:r>
          </w:p>
        </w:tc>
        <w:tc>
          <w:tcPr>
            <w:tcW w:w="14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4,200,000</w:t>
            </w:r>
          </w:p>
        </w:tc>
        <w:tc>
          <w:tcPr>
            <w:tcW w:w="0" w:type="dxa"/>
            <w:vAlign w:val="bottom"/>
          </w:tcPr>
          <w:p>
            <w:pPr>
              <w:spacing w:after="0"/>
              <w:rPr>
                <w:sz w:val="1"/>
                <w:szCs w:val="1"/>
                <w:color w:val="auto"/>
              </w:rPr>
            </w:pPr>
          </w:p>
        </w:tc>
      </w:tr>
      <w:tr>
        <w:trPr>
          <w:trHeight w:val="20"/>
        </w:trPr>
        <w:tc>
          <w:tcPr>
            <w:tcW w:w="760" w:type="dxa"/>
            <w:vAlign w:val="bottom"/>
            <w:shd w:val="clear" w:color="auto" w:fill="98A3B8"/>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80" w:type="dxa"/>
            <w:vAlign w:val="bottom"/>
            <w:shd w:val="clear" w:color="auto" w:fill="98A3B8"/>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51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98A3B8"/>
          </w:tcPr>
          <w:p>
            <w:pPr>
              <w:spacing w:after="0" w:line="20" w:lineRule="exact"/>
              <w:rPr>
                <w:sz w:val="1"/>
                <w:szCs w:val="1"/>
                <w:color w:val="auto"/>
              </w:rPr>
            </w:pPr>
          </w:p>
        </w:tc>
        <w:tc>
          <w:tcPr>
            <w:tcW w:w="12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98A3B8"/>
          </w:tcPr>
          <w:p>
            <w:pPr>
              <w:spacing w:after="0" w:line="20" w:lineRule="exact"/>
              <w:rPr>
                <w:sz w:val="1"/>
                <w:szCs w:val="1"/>
                <w:color w:val="auto"/>
              </w:rPr>
            </w:pPr>
          </w:p>
        </w:tc>
        <w:tc>
          <w:tcPr>
            <w:tcW w:w="90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320" w:type="dxa"/>
            <w:vAlign w:val="bottom"/>
            <w:gridSpan w:val="5"/>
          </w:tcPr>
          <w:p>
            <w:pPr>
              <w:spacing w:after="0"/>
              <w:rPr>
                <w:sz w:val="20"/>
                <w:szCs w:val="20"/>
                <w:color w:val="auto"/>
              </w:rPr>
            </w:pPr>
            <w:r>
              <w:rPr>
                <w:rFonts w:ascii="Arial" w:cs="Arial" w:eastAsia="Arial" w:hAnsi="Arial"/>
                <w:sz w:val="15"/>
                <w:szCs w:val="15"/>
                <w:color w:val="auto"/>
              </w:rPr>
              <w:t>Cash Severance</w:t>
            </w:r>
          </w:p>
        </w:tc>
        <w:tc>
          <w:tcPr>
            <w:tcW w:w="14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5,100,000</w:t>
            </w:r>
          </w:p>
        </w:tc>
        <w:tc>
          <w:tcPr>
            <w:tcW w:w="14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15,300,000</w:t>
            </w:r>
          </w:p>
        </w:tc>
        <w:tc>
          <w:tcPr>
            <w:tcW w:w="8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5,100,000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60" w:type="dxa"/>
            <w:vAlign w:val="bottom"/>
            <w:shd w:val="clear" w:color="auto" w:fill="98A3B8"/>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80" w:type="dxa"/>
            <w:vAlign w:val="bottom"/>
            <w:shd w:val="clear" w:color="auto" w:fill="98A3B8"/>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51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98A3B8"/>
          </w:tcPr>
          <w:p>
            <w:pPr>
              <w:spacing w:after="0" w:line="20" w:lineRule="exact"/>
              <w:rPr>
                <w:sz w:val="1"/>
                <w:szCs w:val="1"/>
                <w:color w:val="auto"/>
              </w:rPr>
            </w:pPr>
          </w:p>
        </w:tc>
        <w:tc>
          <w:tcPr>
            <w:tcW w:w="12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98A3B8"/>
          </w:tcPr>
          <w:p>
            <w:pPr>
              <w:spacing w:after="0" w:line="20" w:lineRule="exact"/>
              <w:rPr>
                <w:sz w:val="1"/>
                <w:szCs w:val="1"/>
                <w:color w:val="auto"/>
              </w:rPr>
            </w:pPr>
          </w:p>
        </w:tc>
        <w:tc>
          <w:tcPr>
            <w:tcW w:w="90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320" w:type="dxa"/>
            <w:vAlign w:val="bottom"/>
            <w:gridSpan w:val="5"/>
          </w:tcPr>
          <w:p>
            <w:pPr>
              <w:spacing w:after="0" w:line="271" w:lineRule="exact"/>
              <w:rPr>
                <w:sz w:val="20"/>
                <w:szCs w:val="20"/>
                <w:color w:val="auto"/>
              </w:rPr>
            </w:pPr>
            <w:r>
              <w:rPr>
                <w:rFonts w:ascii="Arial" w:cs="Arial" w:eastAsia="Arial" w:hAnsi="Arial"/>
                <w:sz w:val="15"/>
                <w:szCs w:val="15"/>
                <w:color w:val="auto"/>
              </w:rPr>
              <w:t>Stock Option / Class O LTIP Unit Vesting</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60" w:type="dxa"/>
            <w:vAlign w:val="bottom"/>
            <w:shd w:val="clear" w:color="auto" w:fill="98A3B8"/>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80" w:type="dxa"/>
            <w:vAlign w:val="bottom"/>
            <w:shd w:val="clear" w:color="auto" w:fill="98A3B8"/>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51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98A3B8"/>
          </w:tcPr>
          <w:p>
            <w:pPr>
              <w:spacing w:after="0" w:line="20" w:lineRule="exact"/>
              <w:rPr>
                <w:sz w:val="1"/>
                <w:szCs w:val="1"/>
                <w:color w:val="auto"/>
              </w:rPr>
            </w:pPr>
          </w:p>
        </w:tc>
        <w:tc>
          <w:tcPr>
            <w:tcW w:w="12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98A3B8"/>
          </w:tcPr>
          <w:p>
            <w:pPr>
              <w:spacing w:after="0" w:line="20" w:lineRule="exact"/>
              <w:rPr>
                <w:sz w:val="1"/>
                <w:szCs w:val="1"/>
                <w:color w:val="auto"/>
              </w:rPr>
            </w:pPr>
          </w:p>
        </w:tc>
        <w:tc>
          <w:tcPr>
            <w:tcW w:w="90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6320" w:type="dxa"/>
            <w:vAlign w:val="bottom"/>
            <w:gridSpan w:val="5"/>
          </w:tcPr>
          <w:p>
            <w:pPr>
              <w:spacing w:after="0" w:line="265" w:lineRule="exact"/>
              <w:rPr>
                <w:sz w:val="20"/>
                <w:szCs w:val="20"/>
                <w:color w:val="auto"/>
              </w:rPr>
            </w:pPr>
            <w:r>
              <w:rPr>
                <w:rFonts w:ascii="Arial" w:cs="Arial" w:eastAsia="Arial" w:hAnsi="Arial"/>
                <w:sz w:val="15"/>
                <w:szCs w:val="15"/>
                <w:color w:val="auto"/>
              </w:rPr>
              <w:t>LTIP Unit/Stock Unit Vesting</w:t>
            </w:r>
            <w:r>
              <w:rPr>
                <w:rFonts w:ascii="Arial" w:cs="Arial" w:eastAsia="Arial" w:hAnsi="Arial"/>
                <w:sz w:val="25"/>
                <w:szCs w:val="25"/>
                <w:color w:val="auto"/>
                <w:vertAlign w:val="superscript"/>
              </w:rPr>
              <w:t>(3)</w:t>
            </w:r>
          </w:p>
        </w:tc>
        <w:tc>
          <w:tcPr>
            <w:tcW w:w="140" w:type="dxa"/>
            <w:vAlign w:val="bottom"/>
          </w:tcPr>
          <w:p>
            <w:pPr>
              <w:spacing w:after="0"/>
              <w:rPr>
                <w:sz w:val="23"/>
                <w:szCs w:val="23"/>
                <w:color w:val="auto"/>
              </w:rPr>
            </w:pPr>
          </w:p>
        </w:tc>
        <w:tc>
          <w:tcPr>
            <w:tcW w:w="220" w:type="dxa"/>
            <w:vAlign w:val="bottom"/>
          </w:tcPr>
          <w:p>
            <w:pPr>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236,718</w:t>
            </w:r>
          </w:p>
        </w:tc>
        <w:tc>
          <w:tcPr>
            <w:tcW w:w="140" w:type="dxa"/>
            <w:vAlign w:val="bottom"/>
          </w:tcPr>
          <w:p>
            <w:pPr>
              <w:spacing w:after="0"/>
              <w:rPr>
                <w:sz w:val="23"/>
                <w:szCs w:val="23"/>
                <w:color w:val="auto"/>
              </w:rPr>
            </w:pPr>
          </w:p>
        </w:tc>
        <w:tc>
          <w:tcPr>
            <w:tcW w:w="240" w:type="dxa"/>
            <w:vAlign w:val="bottom"/>
          </w:tcPr>
          <w:p>
            <w:pPr>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236,718</w:t>
            </w:r>
          </w:p>
        </w:tc>
        <w:tc>
          <w:tcPr>
            <w:tcW w:w="80" w:type="dxa"/>
            <w:vAlign w:val="bottom"/>
          </w:tcPr>
          <w:p>
            <w:pPr>
              <w:spacing w:after="0"/>
              <w:rPr>
                <w:sz w:val="23"/>
                <w:szCs w:val="2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236,718</w:t>
            </w:r>
          </w:p>
        </w:tc>
        <w:tc>
          <w:tcPr>
            <w:tcW w:w="140" w:type="dxa"/>
            <w:vAlign w:val="bottom"/>
          </w:tcPr>
          <w:p>
            <w:pPr>
              <w:spacing w:after="0"/>
              <w:rPr>
                <w:sz w:val="23"/>
                <w:szCs w:val="23"/>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236,718</w:t>
            </w:r>
          </w:p>
        </w:tc>
        <w:tc>
          <w:tcPr>
            <w:tcW w:w="0" w:type="dxa"/>
            <w:vAlign w:val="bottom"/>
          </w:tcPr>
          <w:p>
            <w:pPr>
              <w:spacing w:after="0"/>
              <w:rPr>
                <w:sz w:val="1"/>
                <w:szCs w:val="1"/>
                <w:color w:val="auto"/>
              </w:rPr>
            </w:pPr>
          </w:p>
        </w:tc>
      </w:tr>
      <w:tr>
        <w:trPr>
          <w:trHeight w:val="20"/>
        </w:trPr>
        <w:tc>
          <w:tcPr>
            <w:tcW w:w="760" w:type="dxa"/>
            <w:vAlign w:val="bottom"/>
            <w:shd w:val="clear" w:color="auto" w:fill="98A3B8"/>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80" w:type="dxa"/>
            <w:vAlign w:val="bottom"/>
            <w:shd w:val="clear" w:color="auto" w:fill="98A3B8"/>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51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98A3B8"/>
          </w:tcPr>
          <w:p>
            <w:pPr>
              <w:spacing w:after="0" w:line="20" w:lineRule="exact"/>
              <w:rPr>
                <w:sz w:val="1"/>
                <w:szCs w:val="1"/>
                <w:color w:val="auto"/>
              </w:rPr>
            </w:pPr>
          </w:p>
        </w:tc>
        <w:tc>
          <w:tcPr>
            <w:tcW w:w="12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98A3B8"/>
          </w:tcPr>
          <w:p>
            <w:pPr>
              <w:spacing w:after="0" w:line="20" w:lineRule="exact"/>
              <w:rPr>
                <w:sz w:val="1"/>
                <w:szCs w:val="1"/>
                <w:color w:val="auto"/>
              </w:rPr>
            </w:pPr>
          </w:p>
        </w:tc>
        <w:tc>
          <w:tcPr>
            <w:tcW w:w="90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6320" w:type="dxa"/>
            <w:vAlign w:val="bottom"/>
            <w:gridSpan w:val="5"/>
          </w:tcPr>
          <w:p>
            <w:pPr>
              <w:spacing w:after="0" w:line="265" w:lineRule="exact"/>
              <w:rPr>
                <w:sz w:val="20"/>
                <w:szCs w:val="20"/>
                <w:color w:val="auto"/>
              </w:rPr>
            </w:pPr>
            <w:r>
              <w:rPr>
                <w:rFonts w:ascii="Arial" w:cs="Arial" w:eastAsia="Arial" w:hAnsi="Arial"/>
                <w:sz w:val="15"/>
                <w:szCs w:val="15"/>
                <w:color w:val="auto"/>
              </w:rPr>
              <w:t>2014 OPP</w:t>
            </w:r>
            <w:r>
              <w:rPr>
                <w:rFonts w:ascii="Arial" w:cs="Arial" w:eastAsia="Arial" w:hAnsi="Arial"/>
                <w:sz w:val="25"/>
                <w:szCs w:val="25"/>
                <w:color w:val="auto"/>
                <w:vertAlign w:val="superscript"/>
              </w:rPr>
              <w:t>(4)</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60" w:type="dxa"/>
            <w:vAlign w:val="bottom"/>
            <w:shd w:val="clear" w:color="auto" w:fill="98A3B8"/>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80" w:type="dxa"/>
            <w:vAlign w:val="bottom"/>
            <w:shd w:val="clear" w:color="auto" w:fill="98A3B8"/>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51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98A3B8"/>
          </w:tcPr>
          <w:p>
            <w:pPr>
              <w:spacing w:after="0" w:line="20" w:lineRule="exact"/>
              <w:rPr>
                <w:sz w:val="1"/>
                <w:szCs w:val="1"/>
                <w:color w:val="auto"/>
              </w:rPr>
            </w:pPr>
          </w:p>
        </w:tc>
        <w:tc>
          <w:tcPr>
            <w:tcW w:w="12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98A3B8"/>
          </w:tcPr>
          <w:p>
            <w:pPr>
              <w:spacing w:after="0" w:line="20" w:lineRule="exact"/>
              <w:rPr>
                <w:sz w:val="1"/>
                <w:szCs w:val="1"/>
                <w:color w:val="auto"/>
              </w:rPr>
            </w:pPr>
          </w:p>
        </w:tc>
        <w:tc>
          <w:tcPr>
            <w:tcW w:w="90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6320" w:type="dxa"/>
            <w:vAlign w:val="bottom"/>
            <w:gridSpan w:val="5"/>
          </w:tcPr>
          <w:p>
            <w:pPr>
              <w:spacing w:after="0" w:line="265" w:lineRule="exact"/>
              <w:rPr>
                <w:sz w:val="20"/>
                <w:szCs w:val="20"/>
                <w:color w:val="auto"/>
              </w:rPr>
            </w:pPr>
            <w:r>
              <w:rPr>
                <w:rFonts w:ascii="Arial" w:cs="Arial" w:eastAsia="Arial" w:hAnsi="Arial"/>
                <w:sz w:val="15"/>
                <w:szCs w:val="15"/>
                <w:color w:val="auto"/>
              </w:rPr>
              <w:t>Benefits Continuation</w:t>
            </w:r>
            <w:r>
              <w:rPr>
                <w:rFonts w:ascii="Arial" w:cs="Arial" w:eastAsia="Arial" w:hAnsi="Arial"/>
                <w:sz w:val="25"/>
                <w:szCs w:val="25"/>
                <w:color w:val="auto"/>
                <w:vertAlign w:val="superscript"/>
              </w:rPr>
              <w:t>(5)</w:t>
            </w:r>
          </w:p>
        </w:tc>
        <w:tc>
          <w:tcPr>
            <w:tcW w:w="140" w:type="dxa"/>
            <w:vAlign w:val="bottom"/>
          </w:tcPr>
          <w:p>
            <w:pPr>
              <w:spacing w:after="0"/>
              <w:rPr>
                <w:sz w:val="23"/>
                <w:szCs w:val="23"/>
                <w:color w:val="auto"/>
              </w:rPr>
            </w:pPr>
          </w:p>
        </w:tc>
        <w:tc>
          <w:tcPr>
            <w:tcW w:w="220" w:type="dxa"/>
            <w:vAlign w:val="bottom"/>
          </w:tcPr>
          <w:p>
            <w:pPr>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30,941</w:t>
            </w:r>
          </w:p>
        </w:tc>
        <w:tc>
          <w:tcPr>
            <w:tcW w:w="140" w:type="dxa"/>
            <w:vAlign w:val="bottom"/>
          </w:tcPr>
          <w:p>
            <w:pPr>
              <w:spacing w:after="0"/>
              <w:rPr>
                <w:sz w:val="23"/>
                <w:szCs w:val="23"/>
                <w:color w:val="auto"/>
              </w:rPr>
            </w:pPr>
          </w:p>
        </w:tc>
        <w:tc>
          <w:tcPr>
            <w:tcW w:w="240" w:type="dxa"/>
            <w:vAlign w:val="bottom"/>
          </w:tcPr>
          <w:p>
            <w:pPr>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61,882</w:t>
            </w:r>
          </w:p>
        </w:tc>
        <w:tc>
          <w:tcPr>
            <w:tcW w:w="80" w:type="dxa"/>
            <w:vAlign w:val="bottom"/>
          </w:tcPr>
          <w:p>
            <w:pPr>
              <w:spacing w:after="0"/>
              <w:rPr>
                <w:sz w:val="23"/>
                <w:szCs w:val="2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92,822</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68"/>
        </w:trPr>
        <w:tc>
          <w:tcPr>
            <w:tcW w:w="6320" w:type="dxa"/>
            <w:vAlign w:val="bottom"/>
            <w:tcBorders>
              <w:top w:val="single" w:sz="8" w:color="325889"/>
            </w:tcBorders>
            <w:gridSpan w:val="5"/>
          </w:tcPr>
          <w:p>
            <w:pPr>
              <w:spacing w:after="0"/>
              <w:rPr>
                <w:sz w:val="20"/>
                <w:szCs w:val="20"/>
                <w:color w:val="auto"/>
              </w:rPr>
            </w:pPr>
            <w:r>
              <w:rPr>
                <w:rFonts w:ascii="Arial" w:cs="Arial" w:eastAsia="Arial" w:hAnsi="Arial"/>
                <w:sz w:val="12"/>
                <w:szCs w:val="12"/>
                <w:b w:val="1"/>
                <w:bCs w:val="1"/>
                <w:color w:val="325889"/>
              </w:rPr>
              <w:t>Andrew Mathias</w:t>
            </w:r>
          </w:p>
        </w:tc>
        <w:tc>
          <w:tcPr>
            <w:tcW w:w="140" w:type="dxa"/>
            <w:vAlign w:val="bottom"/>
          </w:tcPr>
          <w:p>
            <w:pPr>
              <w:spacing w:after="0"/>
              <w:rPr>
                <w:sz w:val="24"/>
                <w:szCs w:val="24"/>
                <w:color w:val="auto"/>
              </w:rPr>
            </w:pPr>
          </w:p>
        </w:tc>
        <w:tc>
          <w:tcPr>
            <w:tcW w:w="220" w:type="dxa"/>
            <w:vAlign w:val="bottom"/>
            <w:tcBorders>
              <w:top w:val="single" w:sz="8" w:color="325889"/>
            </w:tcBorders>
          </w:tcPr>
          <w:p>
            <w:pPr>
              <w:spacing w:after="0"/>
              <w:rPr>
                <w:sz w:val="24"/>
                <w:szCs w:val="24"/>
                <w:color w:val="auto"/>
              </w:rPr>
            </w:pPr>
          </w:p>
        </w:tc>
        <w:tc>
          <w:tcPr>
            <w:tcW w:w="1280" w:type="dxa"/>
            <w:vAlign w:val="bottom"/>
            <w:tcBorders>
              <w:top w:val="single" w:sz="8" w:color="325889"/>
            </w:tcBorders>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top w:val="single" w:sz="8" w:color="325889"/>
            </w:tcBorders>
          </w:tcPr>
          <w:p>
            <w:pPr>
              <w:spacing w:after="0"/>
              <w:rPr>
                <w:sz w:val="24"/>
                <w:szCs w:val="24"/>
                <w:color w:val="auto"/>
              </w:rPr>
            </w:pPr>
          </w:p>
        </w:tc>
        <w:tc>
          <w:tcPr>
            <w:tcW w:w="900" w:type="dxa"/>
            <w:vAlign w:val="bottom"/>
            <w:tcBorders>
              <w:top w:val="single" w:sz="8" w:color="325889"/>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325889"/>
            </w:tcBorders>
          </w:tcPr>
          <w:p>
            <w:pPr>
              <w:spacing w:after="0"/>
              <w:rPr>
                <w:sz w:val="24"/>
                <w:szCs w:val="24"/>
                <w:color w:val="auto"/>
              </w:rPr>
            </w:pPr>
          </w:p>
        </w:tc>
        <w:tc>
          <w:tcPr>
            <w:tcW w:w="780" w:type="dxa"/>
            <w:vAlign w:val="bottom"/>
            <w:tcBorders>
              <w:top w:val="single" w:sz="8" w:color="325889"/>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top w:val="single" w:sz="8" w:color="325889"/>
            </w:tcBorders>
          </w:tcPr>
          <w:p>
            <w:pPr>
              <w:spacing w:after="0"/>
              <w:rPr>
                <w:sz w:val="24"/>
                <w:szCs w:val="24"/>
                <w:color w:val="auto"/>
              </w:rPr>
            </w:pPr>
          </w:p>
        </w:tc>
        <w:tc>
          <w:tcPr>
            <w:tcW w:w="780" w:type="dxa"/>
            <w:vAlign w:val="bottom"/>
            <w:tcBorders>
              <w:top w:val="single" w:sz="8" w:color="325889"/>
            </w:tcBorders>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60" w:type="dxa"/>
            <w:vAlign w:val="bottom"/>
            <w:tcBorders>
              <w:top w:val="single" w:sz="8" w:color="325889"/>
            </w:tcBorders>
          </w:tcPr>
          <w:p>
            <w:pPr>
              <w:spacing w:after="0"/>
              <w:rPr>
                <w:sz w:val="24"/>
                <w:szCs w:val="24"/>
                <w:color w:val="auto"/>
              </w:rPr>
            </w:pPr>
          </w:p>
        </w:tc>
        <w:tc>
          <w:tcPr>
            <w:tcW w:w="140" w:type="dxa"/>
            <w:vAlign w:val="bottom"/>
            <w:tcBorders>
              <w:top w:val="single" w:sz="8" w:color="325889"/>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325889"/>
              </w:rPr>
              <w:t>Termination without</w:t>
            </w:r>
          </w:p>
        </w:tc>
        <w:tc>
          <w:tcPr>
            <w:tcW w:w="24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b w:val="1"/>
                <w:bCs w:val="1"/>
                <w:color w:val="325889"/>
              </w:rPr>
              <w:t>Termination</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2"/>
          </w:tcPr>
          <w:p>
            <w:pPr>
              <w:jc w:val="right"/>
              <w:ind w:right="140"/>
              <w:spacing w:after="0" w:line="131" w:lineRule="exact"/>
              <w:rPr>
                <w:sz w:val="20"/>
                <w:szCs w:val="20"/>
                <w:color w:val="auto"/>
              </w:rPr>
            </w:pPr>
            <w:r>
              <w:rPr>
                <w:rFonts w:ascii="Arial" w:cs="Arial" w:eastAsia="Arial" w:hAnsi="Arial"/>
                <w:sz w:val="12"/>
                <w:szCs w:val="12"/>
                <w:b w:val="1"/>
                <w:bCs w:val="1"/>
                <w:color w:val="325889"/>
              </w:rPr>
              <w:t>Cause or for Good</w:t>
            </w:r>
          </w:p>
        </w:tc>
        <w:tc>
          <w:tcPr>
            <w:tcW w:w="240" w:type="dxa"/>
            <w:vAlign w:val="bottom"/>
          </w:tcPr>
          <w:p>
            <w:pPr>
              <w:spacing w:after="0"/>
              <w:rPr>
                <w:sz w:val="11"/>
                <w:szCs w:val="11"/>
                <w:color w:val="auto"/>
              </w:rPr>
            </w:pPr>
          </w:p>
        </w:tc>
        <w:tc>
          <w:tcPr>
            <w:tcW w:w="980" w:type="dxa"/>
            <w:vAlign w:val="bottom"/>
            <w:gridSpan w:val="2"/>
          </w:tcPr>
          <w:p>
            <w:pPr>
              <w:jc w:val="right"/>
              <w:ind w:right="60"/>
              <w:spacing w:after="0" w:line="131" w:lineRule="exact"/>
              <w:rPr>
                <w:sz w:val="20"/>
                <w:szCs w:val="20"/>
                <w:color w:val="auto"/>
              </w:rPr>
            </w:pPr>
            <w:r>
              <w:rPr>
                <w:rFonts w:ascii="Arial" w:cs="Arial" w:eastAsia="Arial" w:hAnsi="Arial"/>
                <w:sz w:val="12"/>
                <w:szCs w:val="12"/>
                <w:b w:val="1"/>
                <w:bCs w:val="1"/>
                <w:color w:val="325889"/>
              </w:rPr>
              <w:t>w/Change in</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b w:val="1"/>
                <w:bCs w:val="1"/>
                <w:color w:val="325889"/>
              </w:rPr>
              <w:t>Death</w:t>
            </w:r>
            <w:r>
              <w:rPr>
                <w:rFonts w:ascii="Arial" w:cs="Arial" w:eastAsia="Arial" w:hAnsi="Arial"/>
                <w:sz w:val="19"/>
                <w:szCs w:val="19"/>
                <w:b w:val="1"/>
                <w:bCs w:val="1"/>
                <w:color w:val="325889"/>
                <w:vertAlign w:val="superscript"/>
              </w:rPr>
              <w:t>(1)</w:t>
            </w:r>
          </w:p>
        </w:tc>
        <w:tc>
          <w:tcPr>
            <w:tcW w:w="0" w:type="dxa"/>
            <w:vAlign w:val="bottom"/>
          </w:tcPr>
          <w:p>
            <w:pPr>
              <w:spacing w:after="0"/>
              <w:rPr>
                <w:sz w:val="1"/>
                <w:szCs w:val="1"/>
                <w:color w:val="auto"/>
              </w:rPr>
            </w:pPr>
          </w:p>
        </w:tc>
      </w:tr>
      <w:tr>
        <w:trPr>
          <w:trHeight w:val="169"/>
        </w:trPr>
        <w:tc>
          <w:tcPr>
            <w:tcW w:w="6320" w:type="dxa"/>
            <w:vAlign w:val="bottom"/>
            <w:gridSpan w:val="5"/>
          </w:tcPr>
          <w:p>
            <w:pPr>
              <w:spacing w:after="0"/>
              <w:rPr>
                <w:sz w:val="20"/>
                <w:szCs w:val="20"/>
                <w:color w:val="auto"/>
              </w:rPr>
            </w:pPr>
            <w:r>
              <w:rPr>
                <w:rFonts w:ascii="Arial" w:cs="Arial" w:eastAsia="Arial" w:hAnsi="Arial"/>
                <w:sz w:val="12"/>
                <w:szCs w:val="12"/>
                <w:b w:val="1"/>
                <w:bCs w:val="1"/>
                <w:color w:val="auto"/>
              </w:rPr>
              <w:t>Payment/Benefit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b w:val="1"/>
                <w:bCs w:val="1"/>
                <w:color w:val="325889"/>
              </w:rPr>
              <w:t>Reason</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b w:val="1"/>
                <w:bCs w:val="1"/>
                <w:color w:val="325889"/>
              </w:rPr>
              <w:t>Control</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325889"/>
              </w:rPr>
              <w:t>Disability</w:t>
            </w: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760" w:type="dxa"/>
            <w:vAlign w:val="bottom"/>
            <w:shd w:val="clear" w:color="auto" w:fill="325889"/>
          </w:tcPr>
          <w:p>
            <w:pPr>
              <w:spacing w:after="0"/>
              <w:rPr>
                <w:sz w:val="2"/>
                <w:szCs w:val="2"/>
                <w:color w:val="auto"/>
              </w:rPr>
            </w:pPr>
          </w:p>
        </w:tc>
        <w:tc>
          <w:tcPr>
            <w:tcW w:w="140" w:type="dxa"/>
            <w:vAlign w:val="bottom"/>
            <w:shd w:val="clear" w:color="auto" w:fill="325889"/>
          </w:tcPr>
          <w:p>
            <w:pPr>
              <w:spacing w:after="0"/>
              <w:rPr>
                <w:sz w:val="2"/>
                <w:szCs w:val="2"/>
                <w:color w:val="auto"/>
              </w:rPr>
            </w:pPr>
          </w:p>
        </w:tc>
        <w:tc>
          <w:tcPr>
            <w:tcW w:w="80" w:type="dxa"/>
            <w:vAlign w:val="bottom"/>
            <w:shd w:val="clear" w:color="auto" w:fill="325889"/>
          </w:tcPr>
          <w:p>
            <w:pPr>
              <w:spacing w:after="0"/>
              <w:rPr>
                <w:sz w:val="2"/>
                <w:szCs w:val="2"/>
                <w:color w:val="auto"/>
              </w:rPr>
            </w:pPr>
          </w:p>
        </w:tc>
        <w:tc>
          <w:tcPr>
            <w:tcW w:w="180" w:type="dxa"/>
            <w:vAlign w:val="bottom"/>
            <w:shd w:val="clear" w:color="auto" w:fill="325889"/>
          </w:tcPr>
          <w:p>
            <w:pPr>
              <w:spacing w:after="0"/>
              <w:rPr>
                <w:sz w:val="2"/>
                <w:szCs w:val="2"/>
                <w:color w:val="auto"/>
              </w:rPr>
            </w:pPr>
          </w:p>
        </w:tc>
        <w:tc>
          <w:tcPr>
            <w:tcW w:w="516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325889"/>
          </w:tcPr>
          <w:p>
            <w:pPr>
              <w:spacing w:after="0"/>
              <w:rPr>
                <w:sz w:val="2"/>
                <w:szCs w:val="2"/>
                <w:color w:val="auto"/>
              </w:rPr>
            </w:pPr>
          </w:p>
        </w:tc>
        <w:tc>
          <w:tcPr>
            <w:tcW w:w="128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325889"/>
          </w:tcPr>
          <w:p>
            <w:pPr>
              <w:spacing w:after="0"/>
              <w:rPr>
                <w:sz w:val="2"/>
                <w:szCs w:val="2"/>
                <w:color w:val="auto"/>
              </w:rPr>
            </w:pPr>
          </w:p>
        </w:tc>
        <w:tc>
          <w:tcPr>
            <w:tcW w:w="900" w:type="dxa"/>
            <w:vAlign w:val="bottom"/>
            <w:shd w:val="clear" w:color="auto" w:fill="325889"/>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325889"/>
          </w:tcPr>
          <w:p>
            <w:pPr>
              <w:spacing w:after="0"/>
              <w:rPr>
                <w:sz w:val="2"/>
                <w:szCs w:val="2"/>
                <w:color w:val="auto"/>
              </w:rPr>
            </w:pPr>
          </w:p>
        </w:tc>
        <w:tc>
          <w:tcPr>
            <w:tcW w:w="78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325889"/>
          </w:tcPr>
          <w:p>
            <w:pPr>
              <w:spacing w:after="0"/>
              <w:rPr>
                <w:sz w:val="2"/>
                <w:szCs w:val="2"/>
                <w:color w:val="auto"/>
              </w:rPr>
            </w:pPr>
          </w:p>
        </w:tc>
        <w:tc>
          <w:tcPr>
            <w:tcW w:w="780" w:type="dxa"/>
            <w:vAlign w:val="bottom"/>
            <w:shd w:val="clear" w:color="auto" w:fill="32588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6320" w:type="dxa"/>
            <w:vAlign w:val="bottom"/>
            <w:gridSpan w:val="5"/>
          </w:tcPr>
          <w:p>
            <w:pPr>
              <w:spacing w:after="0"/>
              <w:rPr>
                <w:sz w:val="20"/>
                <w:szCs w:val="20"/>
                <w:color w:val="auto"/>
              </w:rPr>
            </w:pPr>
            <w:r>
              <w:rPr>
                <w:rFonts w:ascii="Arial" w:cs="Arial" w:eastAsia="Arial" w:hAnsi="Arial"/>
                <w:sz w:val="15"/>
                <w:szCs w:val="15"/>
                <w:color w:val="auto"/>
              </w:rPr>
              <w:t>Pro-Rata Bonus</w:t>
            </w:r>
          </w:p>
        </w:tc>
        <w:tc>
          <w:tcPr>
            <w:tcW w:w="14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5,300,000</w:t>
            </w:r>
          </w:p>
        </w:tc>
        <w:tc>
          <w:tcPr>
            <w:tcW w:w="14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5,300,000</w:t>
            </w:r>
          </w:p>
        </w:tc>
        <w:tc>
          <w:tcPr>
            <w:tcW w:w="8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5,300,000</w:t>
            </w:r>
          </w:p>
        </w:tc>
        <w:tc>
          <w:tcPr>
            <w:tcW w:w="14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5,300,000</w:t>
            </w:r>
          </w:p>
        </w:tc>
        <w:tc>
          <w:tcPr>
            <w:tcW w:w="0" w:type="dxa"/>
            <w:vAlign w:val="bottom"/>
          </w:tcPr>
          <w:p>
            <w:pPr>
              <w:spacing w:after="0"/>
              <w:rPr>
                <w:sz w:val="1"/>
                <w:szCs w:val="1"/>
                <w:color w:val="auto"/>
              </w:rPr>
            </w:pPr>
          </w:p>
        </w:tc>
      </w:tr>
      <w:tr>
        <w:trPr>
          <w:trHeight w:val="20"/>
        </w:trPr>
        <w:tc>
          <w:tcPr>
            <w:tcW w:w="760" w:type="dxa"/>
            <w:vAlign w:val="bottom"/>
            <w:shd w:val="clear" w:color="auto" w:fill="98A3B8"/>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80" w:type="dxa"/>
            <w:vAlign w:val="bottom"/>
            <w:shd w:val="clear" w:color="auto" w:fill="98A3B8"/>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51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98A3B8"/>
          </w:tcPr>
          <w:p>
            <w:pPr>
              <w:spacing w:after="0" w:line="20" w:lineRule="exact"/>
              <w:rPr>
                <w:sz w:val="1"/>
                <w:szCs w:val="1"/>
                <w:color w:val="auto"/>
              </w:rPr>
            </w:pPr>
          </w:p>
        </w:tc>
        <w:tc>
          <w:tcPr>
            <w:tcW w:w="12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98A3B8"/>
          </w:tcPr>
          <w:p>
            <w:pPr>
              <w:spacing w:after="0" w:line="20" w:lineRule="exact"/>
              <w:rPr>
                <w:sz w:val="1"/>
                <w:szCs w:val="1"/>
                <w:color w:val="auto"/>
              </w:rPr>
            </w:pPr>
          </w:p>
        </w:tc>
        <w:tc>
          <w:tcPr>
            <w:tcW w:w="90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320" w:type="dxa"/>
            <w:vAlign w:val="bottom"/>
            <w:gridSpan w:val="5"/>
          </w:tcPr>
          <w:p>
            <w:pPr>
              <w:spacing w:after="0"/>
              <w:rPr>
                <w:sz w:val="20"/>
                <w:szCs w:val="20"/>
                <w:color w:val="auto"/>
              </w:rPr>
            </w:pPr>
            <w:r>
              <w:rPr>
                <w:rFonts w:ascii="Arial" w:cs="Arial" w:eastAsia="Arial" w:hAnsi="Arial"/>
                <w:sz w:val="15"/>
                <w:szCs w:val="15"/>
                <w:color w:val="auto"/>
              </w:rPr>
              <w:t>Cash Severance</w:t>
            </w:r>
          </w:p>
        </w:tc>
        <w:tc>
          <w:tcPr>
            <w:tcW w:w="14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6,625,000</w:t>
            </w:r>
          </w:p>
        </w:tc>
        <w:tc>
          <w:tcPr>
            <w:tcW w:w="14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16,562,000</w:t>
            </w:r>
          </w:p>
        </w:tc>
        <w:tc>
          <w:tcPr>
            <w:tcW w:w="8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6,625,000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60" w:type="dxa"/>
            <w:vAlign w:val="bottom"/>
            <w:shd w:val="clear" w:color="auto" w:fill="98A3B8"/>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80" w:type="dxa"/>
            <w:vAlign w:val="bottom"/>
            <w:shd w:val="clear" w:color="auto" w:fill="98A3B8"/>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51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98A3B8"/>
          </w:tcPr>
          <w:p>
            <w:pPr>
              <w:spacing w:after="0" w:line="20" w:lineRule="exact"/>
              <w:rPr>
                <w:sz w:val="1"/>
                <w:szCs w:val="1"/>
                <w:color w:val="auto"/>
              </w:rPr>
            </w:pPr>
          </w:p>
        </w:tc>
        <w:tc>
          <w:tcPr>
            <w:tcW w:w="12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98A3B8"/>
          </w:tcPr>
          <w:p>
            <w:pPr>
              <w:spacing w:after="0" w:line="20" w:lineRule="exact"/>
              <w:rPr>
                <w:sz w:val="1"/>
                <w:szCs w:val="1"/>
                <w:color w:val="auto"/>
              </w:rPr>
            </w:pPr>
          </w:p>
        </w:tc>
        <w:tc>
          <w:tcPr>
            <w:tcW w:w="90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320" w:type="dxa"/>
            <w:vAlign w:val="bottom"/>
            <w:gridSpan w:val="5"/>
          </w:tcPr>
          <w:p>
            <w:pPr>
              <w:spacing w:after="0" w:line="271" w:lineRule="exact"/>
              <w:rPr>
                <w:sz w:val="20"/>
                <w:szCs w:val="20"/>
                <w:color w:val="auto"/>
              </w:rPr>
            </w:pPr>
            <w:r>
              <w:rPr>
                <w:rFonts w:ascii="Arial" w:cs="Arial" w:eastAsia="Arial" w:hAnsi="Arial"/>
                <w:sz w:val="15"/>
                <w:szCs w:val="15"/>
                <w:color w:val="auto"/>
              </w:rPr>
              <w:t>Stock Option / Class O LTIP Unit Vesting</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60" w:type="dxa"/>
            <w:vAlign w:val="bottom"/>
            <w:shd w:val="clear" w:color="auto" w:fill="98A3B8"/>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80" w:type="dxa"/>
            <w:vAlign w:val="bottom"/>
            <w:shd w:val="clear" w:color="auto" w:fill="98A3B8"/>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51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98A3B8"/>
          </w:tcPr>
          <w:p>
            <w:pPr>
              <w:spacing w:after="0" w:line="20" w:lineRule="exact"/>
              <w:rPr>
                <w:sz w:val="1"/>
                <w:szCs w:val="1"/>
                <w:color w:val="auto"/>
              </w:rPr>
            </w:pPr>
          </w:p>
        </w:tc>
        <w:tc>
          <w:tcPr>
            <w:tcW w:w="12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98A3B8"/>
          </w:tcPr>
          <w:p>
            <w:pPr>
              <w:spacing w:after="0" w:line="20" w:lineRule="exact"/>
              <w:rPr>
                <w:sz w:val="1"/>
                <w:szCs w:val="1"/>
                <w:color w:val="auto"/>
              </w:rPr>
            </w:pPr>
          </w:p>
        </w:tc>
        <w:tc>
          <w:tcPr>
            <w:tcW w:w="90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6320" w:type="dxa"/>
            <w:vAlign w:val="bottom"/>
            <w:gridSpan w:val="5"/>
          </w:tcPr>
          <w:p>
            <w:pPr>
              <w:spacing w:after="0" w:line="265" w:lineRule="exact"/>
              <w:rPr>
                <w:sz w:val="20"/>
                <w:szCs w:val="20"/>
                <w:color w:val="auto"/>
              </w:rPr>
            </w:pPr>
            <w:r>
              <w:rPr>
                <w:rFonts w:ascii="Arial" w:cs="Arial" w:eastAsia="Arial" w:hAnsi="Arial"/>
                <w:sz w:val="15"/>
                <w:szCs w:val="15"/>
                <w:color w:val="auto"/>
              </w:rPr>
              <w:t>LTIP Unit/Stock Unit Vesting</w:t>
            </w:r>
            <w:r>
              <w:rPr>
                <w:rFonts w:ascii="Arial" w:cs="Arial" w:eastAsia="Arial" w:hAnsi="Arial"/>
                <w:sz w:val="25"/>
                <w:szCs w:val="25"/>
                <w:color w:val="auto"/>
                <w:vertAlign w:val="superscript"/>
              </w:rPr>
              <w:t>(3)</w:t>
            </w:r>
          </w:p>
        </w:tc>
        <w:tc>
          <w:tcPr>
            <w:tcW w:w="140" w:type="dxa"/>
            <w:vAlign w:val="bottom"/>
          </w:tcPr>
          <w:p>
            <w:pPr>
              <w:spacing w:after="0"/>
              <w:rPr>
                <w:sz w:val="23"/>
                <w:szCs w:val="23"/>
                <w:color w:val="auto"/>
              </w:rPr>
            </w:pPr>
          </w:p>
        </w:tc>
        <w:tc>
          <w:tcPr>
            <w:tcW w:w="220" w:type="dxa"/>
            <w:vAlign w:val="bottom"/>
          </w:tcPr>
          <w:p>
            <w:pPr>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406,647</w:t>
            </w:r>
          </w:p>
        </w:tc>
        <w:tc>
          <w:tcPr>
            <w:tcW w:w="140" w:type="dxa"/>
            <w:vAlign w:val="bottom"/>
          </w:tcPr>
          <w:p>
            <w:pPr>
              <w:spacing w:after="0"/>
              <w:rPr>
                <w:sz w:val="23"/>
                <w:szCs w:val="23"/>
                <w:color w:val="auto"/>
              </w:rPr>
            </w:pPr>
          </w:p>
        </w:tc>
        <w:tc>
          <w:tcPr>
            <w:tcW w:w="240" w:type="dxa"/>
            <w:vAlign w:val="bottom"/>
          </w:tcPr>
          <w:p>
            <w:pPr>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406,647</w:t>
            </w:r>
          </w:p>
        </w:tc>
        <w:tc>
          <w:tcPr>
            <w:tcW w:w="80" w:type="dxa"/>
            <w:vAlign w:val="bottom"/>
          </w:tcPr>
          <w:p>
            <w:pPr>
              <w:spacing w:after="0"/>
              <w:rPr>
                <w:sz w:val="23"/>
                <w:szCs w:val="2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406,647</w:t>
            </w:r>
          </w:p>
        </w:tc>
        <w:tc>
          <w:tcPr>
            <w:tcW w:w="140" w:type="dxa"/>
            <w:vAlign w:val="bottom"/>
          </w:tcPr>
          <w:p>
            <w:pPr>
              <w:spacing w:after="0"/>
              <w:rPr>
                <w:sz w:val="23"/>
                <w:szCs w:val="23"/>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406,647</w:t>
            </w:r>
          </w:p>
        </w:tc>
        <w:tc>
          <w:tcPr>
            <w:tcW w:w="0" w:type="dxa"/>
            <w:vAlign w:val="bottom"/>
          </w:tcPr>
          <w:p>
            <w:pPr>
              <w:spacing w:after="0"/>
              <w:rPr>
                <w:sz w:val="1"/>
                <w:szCs w:val="1"/>
                <w:color w:val="auto"/>
              </w:rPr>
            </w:pPr>
          </w:p>
        </w:tc>
      </w:tr>
      <w:tr>
        <w:trPr>
          <w:trHeight w:val="20"/>
        </w:trPr>
        <w:tc>
          <w:tcPr>
            <w:tcW w:w="760" w:type="dxa"/>
            <w:vAlign w:val="bottom"/>
            <w:shd w:val="clear" w:color="auto" w:fill="98A3B8"/>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80" w:type="dxa"/>
            <w:vAlign w:val="bottom"/>
            <w:shd w:val="clear" w:color="auto" w:fill="98A3B8"/>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51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98A3B8"/>
          </w:tcPr>
          <w:p>
            <w:pPr>
              <w:spacing w:after="0" w:line="20" w:lineRule="exact"/>
              <w:rPr>
                <w:sz w:val="1"/>
                <w:szCs w:val="1"/>
                <w:color w:val="auto"/>
              </w:rPr>
            </w:pPr>
          </w:p>
        </w:tc>
        <w:tc>
          <w:tcPr>
            <w:tcW w:w="12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98A3B8"/>
          </w:tcPr>
          <w:p>
            <w:pPr>
              <w:spacing w:after="0" w:line="20" w:lineRule="exact"/>
              <w:rPr>
                <w:sz w:val="1"/>
                <w:szCs w:val="1"/>
                <w:color w:val="auto"/>
              </w:rPr>
            </w:pPr>
          </w:p>
        </w:tc>
        <w:tc>
          <w:tcPr>
            <w:tcW w:w="90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6320" w:type="dxa"/>
            <w:vAlign w:val="bottom"/>
            <w:gridSpan w:val="5"/>
          </w:tcPr>
          <w:p>
            <w:pPr>
              <w:spacing w:after="0" w:line="265" w:lineRule="exact"/>
              <w:rPr>
                <w:sz w:val="20"/>
                <w:szCs w:val="20"/>
                <w:color w:val="auto"/>
              </w:rPr>
            </w:pPr>
            <w:r>
              <w:rPr>
                <w:rFonts w:ascii="Arial" w:cs="Arial" w:eastAsia="Arial" w:hAnsi="Arial"/>
                <w:sz w:val="15"/>
                <w:szCs w:val="15"/>
                <w:color w:val="auto"/>
              </w:rPr>
              <w:t>2014 OPP</w:t>
            </w:r>
            <w:r>
              <w:rPr>
                <w:rFonts w:ascii="Arial" w:cs="Arial" w:eastAsia="Arial" w:hAnsi="Arial"/>
                <w:sz w:val="25"/>
                <w:szCs w:val="25"/>
                <w:color w:val="auto"/>
                <w:vertAlign w:val="superscript"/>
              </w:rPr>
              <w:t>(4)</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8"/>
        </w:trPr>
        <w:tc>
          <w:tcPr>
            <w:tcW w:w="6320" w:type="dxa"/>
            <w:vAlign w:val="bottom"/>
            <w:tcBorders>
              <w:top w:val="single" w:sz="8" w:color="98A3B8"/>
              <w:bottom w:val="single" w:sz="8" w:color="325889"/>
            </w:tcBorders>
            <w:gridSpan w:val="5"/>
          </w:tcPr>
          <w:p>
            <w:pPr>
              <w:spacing w:after="0" w:line="265" w:lineRule="exact"/>
              <w:rPr>
                <w:sz w:val="20"/>
                <w:szCs w:val="20"/>
                <w:color w:val="auto"/>
              </w:rPr>
            </w:pPr>
            <w:r>
              <w:rPr>
                <w:rFonts w:ascii="Arial" w:cs="Arial" w:eastAsia="Arial" w:hAnsi="Arial"/>
                <w:sz w:val="15"/>
                <w:szCs w:val="15"/>
                <w:color w:val="auto"/>
              </w:rPr>
              <w:t>Benefits Continuation</w:t>
            </w:r>
            <w:r>
              <w:rPr>
                <w:rFonts w:ascii="Arial" w:cs="Arial" w:eastAsia="Arial" w:hAnsi="Arial"/>
                <w:sz w:val="25"/>
                <w:szCs w:val="25"/>
                <w:color w:val="auto"/>
                <w:vertAlign w:val="superscript"/>
              </w:rPr>
              <w:t>(5)</w:t>
            </w:r>
          </w:p>
        </w:tc>
        <w:tc>
          <w:tcPr>
            <w:tcW w:w="140" w:type="dxa"/>
            <w:vAlign w:val="bottom"/>
          </w:tcPr>
          <w:p>
            <w:pPr>
              <w:spacing w:after="0"/>
              <w:rPr>
                <w:sz w:val="23"/>
                <w:szCs w:val="23"/>
                <w:color w:val="auto"/>
              </w:rPr>
            </w:pPr>
          </w:p>
        </w:tc>
        <w:tc>
          <w:tcPr>
            <w:tcW w:w="220" w:type="dxa"/>
            <w:vAlign w:val="bottom"/>
            <w:tcBorders>
              <w:top w:val="single" w:sz="8" w:color="98A3B8"/>
              <w:bottom w:val="single" w:sz="8" w:color="325889"/>
            </w:tcBorders>
          </w:tcPr>
          <w:p>
            <w:pPr>
              <w:spacing w:after="0"/>
              <w:rPr>
                <w:sz w:val="20"/>
                <w:szCs w:val="20"/>
                <w:color w:val="auto"/>
              </w:rPr>
            </w:pPr>
            <w:r>
              <w:rPr>
                <w:rFonts w:ascii="Arial" w:cs="Arial" w:eastAsia="Arial" w:hAnsi="Arial"/>
                <w:sz w:val="15"/>
                <w:szCs w:val="15"/>
                <w:color w:val="auto"/>
              </w:rPr>
              <w:t>$</w:t>
            </w:r>
          </w:p>
        </w:tc>
        <w:tc>
          <w:tcPr>
            <w:tcW w:w="1280" w:type="dxa"/>
            <w:vAlign w:val="bottom"/>
            <w:tcBorders>
              <w:top w:val="single" w:sz="8" w:color="98A3B8"/>
              <w:bottom w:val="single" w:sz="8" w:color="325889"/>
            </w:tcBorders>
          </w:tcPr>
          <w:p>
            <w:pPr>
              <w:jc w:val="right"/>
              <w:spacing w:after="0"/>
              <w:rPr>
                <w:sz w:val="20"/>
                <w:szCs w:val="20"/>
                <w:color w:val="auto"/>
              </w:rPr>
            </w:pPr>
            <w:r>
              <w:rPr>
                <w:rFonts w:ascii="Arial" w:cs="Arial" w:eastAsia="Arial" w:hAnsi="Arial"/>
                <w:sz w:val="15"/>
                <w:szCs w:val="15"/>
                <w:color w:val="auto"/>
              </w:rPr>
              <w:t>44,014</w:t>
            </w:r>
          </w:p>
        </w:tc>
        <w:tc>
          <w:tcPr>
            <w:tcW w:w="140" w:type="dxa"/>
            <w:vAlign w:val="bottom"/>
          </w:tcPr>
          <w:p>
            <w:pPr>
              <w:spacing w:after="0"/>
              <w:rPr>
                <w:sz w:val="23"/>
                <w:szCs w:val="23"/>
                <w:color w:val="auto"/>
              </w:rPr>
            </w:pPr>
          </w:p>
        </w:tc>
        <w:tc>
          <w:tcPr>
            <w:tcW w:w="240" w:type="dxa"/>
            <w:vAlign w:val="bottom"/>
            <w:tcBorders>
              <w:top w:val="single" w:sz="8" w:color="98A3B8"/>
              <w:bottom w:val="single" w:sz="8" w:color="325889"/>
            </w:tcBorders>
          </w:tcPr>
          <w:p>
            <w:pPr>
              <w:spacing w:after="0"/>
              <w:rPr>
                <w:sz w:val="23"/>
                <w:szCs w:val="23"/>
                <w:color w:val="auto"/>
              </w:rPr>
            </w:pPr>
          </w:p>
        </w:tc>
        <w:tc>
          <w:tcPr>
            <w:tcW w:w="900" w:type="dxa"/>
            <w:vAlign w:val="bottom"/>
            <w:tcBorders>
              <w:top w:val="single" w:sz="8" w:color="98A3B8"/>
              <w:bottom w:val="single" w:sz="8" w:color="325889"/>
            </w:tcBorders>
          </w:tcPr>
          <w:p>
            <w:pPr>
              <w:jc w:val="right"/>
              <w:spacing w:after="0"/>
              <w:rPr>
                <w:sz w:val="20"/>
                <w:szCs w:val="20"/>
                <w:color w:val="auto"/>
              </w:rPr>
            </w:pPr>
            <w:r>
              <w:rPr>
                <w:rFonts w:ascii="Arial" w:cs="Arial" w:eastAsia="Arial" w:hAnsi="Arial"/>
                <w:sz w:val="15"/>
                <w:szCs w:val="15"/>
                <w:color w:val="auto"/>
              </w:rPr>
              <w:t>88,027</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Borders>
              <w:top w:val="single" w:sz="8" w:color="98A3B8"/>
              <w:bottom w:val="single" w:sz="8" w:color="325889"/>
            </w:tcBorders>
          </w:tcPr>
          <w:p>
            <w:pPr>
              <w:spacing w:after="0"/>
              <w:rPr>
                <w:sz w:val="23"/>
                <w:szCs w:val="23"/>
                <w:color w:val="auto"/>
              </w:rPr>
            </w:pPr>
          </w:p>
        </w:tc>
        <w:tc>
          <w:tcPr>
            <w:tcW w:w="780" w:type="dxa"/>
            <w:vAlign w:val="bottom"/>
            <w:tcBorders>
              <w:top w:val="single" w:sz="8" w:color="98A3B8"/>
              <w:bottom w:val="single" w:sz="8" w:color="325889"/>
            </w:tcBorders>
          </w:tcPr>
          <w:p>
            <w:pPr>
              <w:jc w:val="right"/>
              <w:spacing w:after="0"/>
              <w:rPr>
                <w:sz w:val="20"/>
                <w:szCs w:val="20"/>
                <w:color w:val="auto"/>
              </w:rPr>
            </w:pPr>
            <w:r>
              <w:rPr>
                <w:rFonts w:ascii="Arial" w:cs="Arial" w:eastAsia="Arial" w:hAnsi="Arial"/>
                <w:sz w:val="15"/>
                <w:szCs w:val="15"/>
                <w:color w:val="auto"/>
              </w:rPr>
              <w:t>132,041</w:t>
            </w:r>
          </w:p>
        </w:tc>
        <w:tc>
          <w:tcPr>
            <w:tcW w:w="140" w:type="dxa"/>
            <w:vAlign w:val="bottom"/>
          </w:tcPr>
          <w:p>
            <w:pPr>
              <w:spacing w:after="0"/>
              <w:rPr>
                <w:sz w:val="23"/>
                <w:szCs w:val="23"/>
                <w:color w:val="auto"/>
              </w:rPr>
            </w:pPr>
          </w:p>
        </w:tc>
        <w:tc>
          <w:tcPr>
            <w:tcW w:w="180" w:type="dxa"/>
            <w:vAlign w:val="bottom"/>
            <w:tcBorders>
              <w:top w:val="single" w:sz="8" w:color="98A3B8"/>
              <w:bottom w:val="single" w:sz="8" w:color="325889"/>
            </w:tcBorders>
          </w:tcPr>
          <w:p>
            <w:pPr>
              <w:spacing w:after="0"/>
              <w:rPr>
                <w:sz w:val="23"/>
                <w:szCs w:val="23"/>
                <w:color w:val="auto"/>
              </w:rPr>
            </w:pPr>
          </w:p>
        </w:tc>
        <w:tc>
          <w:tcPr>
            <w:tcW w:w="780" w:type="dxa"/>
            <w:vAlign w:val="bottom"/>
            <w:tcBorders>
              <w:top w:val="single" w:sz="8" w:color="98A3B8"/>
              <w:bottom w:val="single" w:sz="8" w:color="325889"/>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68"/>
        </w:trPr>
        <w:tc>
          <w:tcPr>
            <w:tcW w:w="6460" w:type="dxa"/>
            <w:vAlign w:val="bottom"/>
            <w:gridSpan w:val="6"/>
          </w:tcPr>
          <w:p>
            <w:pPr>
              <w:spacing w:after="0"/>
              <w:rPr>
                <w:sz w:val="20"/>
                <w:szCs w:val="20"/>
                <w:color w:val="auto"/>
              </w:rPr>
            </w:pPr>
            <w:r>
              <w:rPr>
                <w:rFonts w:ascii="Arial" w:cs="Arial" w:eastAsia="Arial" w:hAnsi="Arial"/>
                <w:sz w:val="12"/>
                <w:szCs w:val="12"/>
                <w:b w:val="1"/>
                <w:bCs w:val="1"/>
                <w:color w:val="325889"/>
              </w:rPr>
              <w:t>Matthew J. DiLiberto</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60" w:type="dxa"/>
            <w:vAlign w:val="bottom"/>
            <w:tcBorders>
              <w:top w:val="single" w:sz="8" w:color="325889"/>
            </w:tcBorders>
          </w:tcPr>
          <w:p>
            <w:pPr>
              <w:spacing w:after="0"/>
              <w:rPr>
                <w:sz w:val="24"/>
                <w:szCs w:val="24"/>
                <w:color w:val="auto"/>
              </w:rPr>
            </w:pPr>
          </w:p>
        </w:tc>
        <w:tc>
          <w:tcPr>
            <w:tcW w:w="140" w:type="dxa"/>
            <w:vAlign w:val="bottom"/>
            <w:tcBorders>
              <w:top w:val="single" w:sz="8" w:color="325889"/>
            </w:tcBorders>
          </w:tcPr>
          <w:p>
            <w:pPr>
              <w:spacing w:after="0"/>
              <w:rPr>
                <w:sz w:val="24"/>
                <w:szCs w:val="24"/>
                <w:color w:val="auto"/>
              </w:rPr>
            </w:pPr>
          </w:p>
        </w:tc>
        <w:tc>
          <w:tcPr>
            <w:tcW w:w="80" w:type="dxa"/>
            <w:vAlign w:val="bottom"/>
            <w:tcBorders>
              <w:top w:val="single" w:sz="8" w:color="325889"/>
            </w:tcBorders>
          </w:tcPr>
          <w:p>
            <w:pPr>
              <w:spacing w:after="0"/>
              <w:rPr>
                <w:sz w:val="24"/>
                <w:szCs w:val="24"/>
                <w:color w:val="auto"/>
              </w:rPr>
            </w:pPr>
          </w:p>
        </w:tc>
        <w:tc>
          <w:tcPr>
            <w:tcW w:w="180" w:type="dxa"/>
            <w:vAlign w:val="bottom"/>
            <w:tcBorders>
              <w:top w:val="single" w:sz="8" w:color="325889"/>
            </w:tcBorders>
          </w:tcPr>
          <w:p>
            <w:pPr>
              <w:spacing w:after="0"/>
              <w:rPr>
                <w:sz w:val="24"/>
                <w:szCs w:val="24"/>
                <w:color w:val="auto"/>
              </w:rPr>
            </w:pPr>
          </w:p>
        </w:tc>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325889"/>
              </w:rPr>
              <w:t>Termination without</w:t>
            </w:r>
          </w:p>
        </w:tc>
        <w:tc>
          <w:tcPr>
            <w:tcW w:w="24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b w:val="1"/>
                <w:bCs w:val="1"/>
                <w:color w:val="325889"/>
              </w:rPr>
              <w:t>Termination</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2"/>
          </w:tcPr>
          <w:p>
            <w:pPr>
              <w:jc w:val="right"/>
              <w:ind w:right="140"/>
              <w:spacing w:after="0" w:line="131" w:lineRule="exact"/>
              <w:rPr>
                <w:sz w:val="20"/>
                <w:szCs w:val="20"/>
                <w:color w:val="auto"/>
              </w:rPr>
            </w:pPr>
            <w:r>
              <w:rPr>
                <w:rFonts w:ascii="Arial" w:cs="Arial" w:eastAsia="Arial" w:hAnsi="Arial"/>
                <w:sz w:val="12"/>
                <w:szCs w:val="12"/>
                <w:b w:val="1"/>
                <w:bCs w:val="1"/>
                <w:color w:val="325889"/>
              </w:rPr>
              <w:t>Cause or for Good</w:t>
            </w:r>
          </w:p>
        </w:tc>
        <w:tc>
          <w:tcPr>
            <w:tcW w:w="240" w:type="dxa"/>
            <w:vAlign w:val="bottom"/>
          </w:tcPr>
          <w:p>
            <w:pPr>
              <w:spacing w:after="0"/>
              <w:rPr>
                <w:sz w:val="11"/>
                <w:szCs w:val="11"/>
                <w:color w:val="auto"/>
              </w:rPr>
            </w:pPr>
          </w:p>
        </w:tc>
        <w:tc>
          <w:tcPr>
            <w:tcW w:w="980" w:type="dxa"/>
            <w:vAlign w:val="bottom"/>
            <w:gridSpan w:val="2"/>
          </w:tcPr>
          <w:p>
            <w:pPr>
              <w:jc w:val="right"/>
              <w:ind w:right="60"/>
              <w:spacing w:after="0" w:line="131" w:lineRule="exact"/>
              <w:rPr>
                <w:sz w:val="20"/>
                <w:szCs w:val="20"/>
                <w:color w:val="auto"/>
              </w:rPr>
            </w:pPr>
            <w:r>
              <w:rPr>
                <w:rFonts w:ascii="Arial" w:cs="Arial" w:eastAsia="Arial" w:hAnsi="Arial"/>
                <w:sz w:val="12"/>
                <w:szCs w:val="12"/>
                <w:b w:val="1"/>
                <w:bCs w:val="1"/>
                <w:color w:val="325889"/>
              </w:rPr>
              <w:t>w/Change in</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b w:val="1"/>
                <w:bCs w:val="1"/>
                <w:color w:val="325889"/>
              </w:rPr>
              <w:t>Death</w:t>
            </w:r>
            <w:r>
              <w:rPr>
                <w:rFonts w:ascii="Arial" w:cs="Arial" w:eastAsia="Arial" w:hAnsi="Arial"/>
                <w:sz w:val="19"/>
                <w:szCs w:val="19"/>
                <w:b w:val="1"/>
                <w:bCs w:val="1"/>
                <w:color w:val="325889"/>
                <w:vertAlign w:val="superscript"/>
              </w:rPr>
              <w:t>(1)</w:t>
            </w:r>
          </w:p>
        </w:tc>
        <w:tc>
          <w:tcPr>
            <w:tcW w:w="0" w:type="dxa"/>
            <w:vAlign w:val="bottom"/>
          </w:tcPr>
          <w:p>
            <w:pPr>
              <w:spacing w:after="0"/>
              <w:rPr>
                <w:sz w:val="1"/>
                <w:szCs w:val="1"/>
                <w:color w:val="auto"/>
              </w:rPr>
            </w:pPr>
          </w:p>
        </w:tc>
      </w:tr>
      <w:tr>
        <w:trPr>
          <w:trHeight w:val="169"/>
        </w:trPr>
        <w:tc>
          <w:tcPr>
            <w:tcW w:w="6320" w:type="dxa"/>
            <w:vAlign w:val="bottom"/>
            <w:gridSpan w:val="5"/>
          </w:tcPr>
          <w:p>
            <w:pPr>
              <w:spacing w:after="0"/>
              <w:rPr>
                <w:sz w:val="20"/>
                <w:szCs w:val="20"/>
                <w:color w:val="auto"/>
              </w:rPr>
            </w:pPr>
            <w:r>
              <w:rPr>
                <w:rFonts w:ascii="Arial" w:cs="Arial" w:eastAsia="Arial" w:hAnsi="Arial"/>
                <w:sz w:val="12"/>
                <w:szCs w:val="12"/>
                <w:b w:val="1"/>
                <w:bCs w:val="1"/>
                <w:color w:val="auto"/>
              </w:rPr>
              <w:t>Payment/Benefit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b w:val="1"/>
                <w:bCs w:val="1"/>
                <w:color w:val="325889"/>
              </w:rPr>
              <w:t>Reason</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b w:val="1"/>
                <w:bCs w:val="1"/>
                <w:color w:val="325889"/>
              </w:rPr>
              <w:t>Control</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325889"/>
              </w:rPr>
              <w:t>Disability</w:t>
            </w: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760" w:type="dxa"/>
            <w:vAlign w:val="bottom"/>
            <w:shd w:val="clear" w:color="auto" w:fill="325889"/>
          </w:tcPr>
          <w:p>
            <w:pPr>
              <w:spacing w:after="0"/>
              <w:rPr>
                <w:sz w:val="2"/>
                <w:szCs w:val="2"/>
                <w:color w:val="auto"/>
              </w:rPr>
            </w:pPr>
          </w:p>
        </w:tc>
        <w:tc>
          <w:tcPr>
            <w:tcW w:w="140" w:type="dxa"/>
            <w:vAlign w:val="bottom"/>
            <w:shd w:val="clear" w:color="auto" w:fill="325889"/>
          </w:tcPr>
          <w:p>
            <w:pPr>
              <w:spacing w:after="0"/>
              <w:rPr>
                <w:sz w:val="2"/>
                <w:szCs w:val="2"/>
                <w:color w:val="auto"/>
              </w:rPr>
            </w:pPr>
          </w:p>
        </w:tc>
        <w:tc>
          <w:tcPr>
            <w:tcW w:w="80" w:type="dxa"/>
            <w:vAlign w:val="bottom"/>
            <w:shd w:val="clear" w:color="auto" w:fill="325889"/>
          </w:tcPr>
          <w:p>
            <w:pPr>
              <w:spacing w:after="0"/>
              <w:rPr>
                <w:sz w:val="2"/>
                <w:szCs w:val="2"/>
                <w:color w:val="auto"/>
              </w:rPr>
            </w:pPr>
          </w:p>
        </w:tc>
        <w:tc>
          <w:tcPr>
            <w:tcW w:w="180" w:type="dxa"/>
            <w:vAlign w:val="bottom"/>
            <w:shd w:val="clear" w:color="auto" w:fill="325889"/>
          </w:tcPr>
          <w:p>
            <w:pPr>
              <w:spacing w:after="0"/>
              <w:rPr>
                <w:sz w:val="2"/>
                <w:szCs w:val="2"/>
                <w:color w:val="auto"/>
              </w:rPr>
            </w:pPr>
          </w:p>
        </w:tc>
        <w:tc>
          <w:tcPr>
            <w:tcW w:w="516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325889"/>
          </w:tcPr>
          <w:p>
            <w:pPr>
              <w:spacing w:after="0"/>
              <w:rPr>
                <w:sz w:val="2"/>
                <w:szCs w:val="2"/>
                <w:color w:val="auto"/>
              </w:rPr>
            </w:pPr>
          </w:p>
        </w:tc>
        <w:tc>
          <w:tcPr>
            <w:tcW w:w="128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325889"/>
          </w:tcPr>
          <w:p>
            <w:pPr>
              <w:spacing w:after="0"/>
              <w:rPr>
                <w:sz w:val="2"/>
                <w:szCs w:val="2"/>
                <w:color w:val="auto"/>
              </w:rPr>
            </w:pPr>
          </w:p>
        </w:tc>
        <w:tc>
          <w:tcPr>
            <w:tcW w:w="900" w:type="dxa"/>
            <w:vAlign w:val="bottom"/>
            <w:shd w:val="clear" w:color="auto" w:fill="325889"/>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325889"/>
          </w:tcPr>
          <w:p>
            <w:pPr>
              <w:spacing w:after="0"/>
              <w:rPr>
                <w:sz w:val="2"/>
                <w:szCs w:val="2"/>
                <w:color w:val="auto"/>
              </w:rPr>
            </w:pPr>
          </w:p>
        </w:tc>
        <w:tc>
          <w:tcPr>
            <w:tcW w:w="78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325889"/>
          </w:tcPr>
          <w:p>
            <w:pPr>
              <w:spacing w:after="0"/>
              <w:rPr>
                <w:sz w:val="2"/>
                <w:szCs w:val="2"/>
                <w:color w:val="auto"/>
              </w:rPr>
            </w:pPr>
          </w:p>
        </w:tc>
        <w:tc>
          <w:tcPr>
            <w:tcW w:w="780" w:type="dxa"/>
            <w:vAlign w:val="bottom"/>
            <w:shd w:val="clear" w:color="auto" w:fill="32588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6320" w:type="dxa"/>
            <w:vAlign w:val="bottom"/>
            <w:gridSpan w:val="5"/>
          </w:tcPr>
          <w:p>
            <w:pPr>
              <w:spacing w:after="0"/>
              <w:rPr>
                <w:sz w:val="20"/>
                <w:szCs w:val="20"/>
                <w:color w:val="auto"/>
              </w:rPr>
            </w:pPr>
            <w:r>
              <w:rPr>
                <w:rFonts w:ascii="Arial" w:cs="Arial" w:eastAsia="Arial" w:hAnsi="Arial"/>
                <w:sz w:val="15"/>
                <w:szCs w:val="15"/>
                <w:color w:val="auto"/>
              </w:rPr>
              <w:t>Pro-Rata Bonus</w:t>
            </w:r>
          </w:p>
        </w:tc>
        <w:tc>
          <w:tcPr>
            <w:tcW w:w="14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1,400,000</w:t>
            </w:r>
          </w:p>
        </w:tc>
        <w:tc>
          <w:tcPr>
            <w:tcW w:w="14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1,400,000</w:t>
            </w:r>
          </w:p>
        </w:tc>
        <w:tc>
          <w:tcPr>
            <w:tcW w:w="8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1,400,000</w:t>
            </w:r>
          </w:p>
        </w:tc>
        <w:tc>
          <w:tcPr>
            <w:tcW w:w="14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1,400,000</w:t>
            </w:r>
          </w:p>
        </w:tc>
        <w:tc>
          <w:tcPr>
            <w:tcW w:w="0" w:type="dxa"/>
            <w:vAlign w:val="bottom"/>
          </w:tcPr>
          <w:p>
            <w:pPr>
              <w:spacing w:after="0"/>
              <w:rPr>
                <w:sz w:val="1"/>
                <w:szCs w:val="1"/>
                <w:color w:val="auto"/>
              </w:rPr>
            </w:pPr>
          </w:p>
        </w:tc>
      </w:tr>
      <w:tr>
        <w:trPr>
          <w:trHeight w:val="20"/>
        </w:trPr>
        <w:tc>
          <w:tcPr>
            <w:tcW w:w="760" w:type="dxa"/>
            <w:vAlign w:val="bottom"/>
            <w:shd w:val="clear" w:color="auto" w:fill="98A3B8"/>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80" w:type="dxa"/>
            <w:vAlign w:val="bottom"/>
            <w:shd w:val="clear" w:color="auto" w:fill="98A3B8"/>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51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98A3B8"/>
          </w:tcPr>
          <w:p>
            <w:pPr>
              <w:spacing w:after="0" w:line="20" w:lineRule="exact"/>
              <w:rPr>
                <w:sz w:val="1"/>
                <w:szCs w:val="1"/>
                <w:color w:val="auto"/>
              </w:rPr>
            </w:pPr>
          </w:p>
        </w:tc>
        <w:tc>
          <w:tcPr>
            <w:tcW w:w="12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98A3B8"/>
          </w:tcPr>
          <w:p>
            <w:pPr>
              <w:spacing w:after="0" w:line="20" w:lineRule="exact"/>
              <w:rPr>
                <w:sz w:val="1"/>
                <w:szCs w:val="1"/>
                <w:color w:val="auto"/>
              </w:rPr>
            </w:pPr>
          </w:p>
        </w:tc>
        <w:tc>
          <w:tcPr>
            <w:tcW w:w="90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320" w:type="dxa"/>
            <w:vAlign w:val="bottom"/>
            <w:gridSpan w:val="5"/>
          </w:tcPr>
          <w:p>
            <w:pPr>
              <w:spacing w:after="0"/>
              <w:rPr>
                <w:sz w:val="20"/>
                <w:szCs w:val="20"/>
                <w:color w:val="auto"/>
              </w:rPr>
            </w:pPr>
            <w:r>
              <w:rPr>
                <w:rFonts w:ascii="Arial" w:cs="Arial" w:eastAsia="Arial" w:hAnsi="Arial"/>
                <w:sz w:val="15"/>
                <w:szCs w:val="15"/>
                <w:color w:val="auto"/>
              </w:rPr>
              <w:t>Cash Severance</w:t>
            </w:r>
          </w:p>
        </w:tc>
        <w:tc>
          <w:tcPr>
            <w:tcW w:w="14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1,800,000</w:t>
            </w:r>
          </w:p>
        </w:tc>
        <w:tc>
          <w:tcPr>
            <w:tcW w:w="14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3,600,000</w:t>
            </w:r>
          </w:p>
        </w:tc>
        <w:tc>
          <w:tcPr>
            <w:tcW w:w="8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1,800,000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60" w:type="dxa"/>
            <w:vAlign w:val="bottom"/>
            <w:shd w:val="clear" w:color="auto" w:fill="98A3B8"/>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80" w:type="dxa"/>
            <w:vAlign w:val="bottom"/>
            <w:shd w:val="clear" w:color="auto" w:fill="98A3B8"/>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51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98A3B8"/>
          </w:tcPr>
          <w:p>
            <w:pPr>
              <w:spacing w:after="0" w:line="20" w:lineRule="exact"/>
              <w:rPr>
                <w:sz w:val="1"/>
                <w:szCs w:val="1"/>
                <w:color w:val="auto"/>
              </w:rPr>
            </w:pPr>
          </w:p>
        </w:tc>
        <w:tc>
          <w:tcPr>
            <w:tcW w:w="12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98A3B8"/>
          </w:tcPr>
          <w:p>
            <w:pPr>
              <w:spacing w:after="0" w:line="20" w:lineRule="exact"/>
              <w:rPr>
                <w:sz w:val="1"/>
                <w:szCs w:val="1"/>
                <w:color w:val="auto"/>
              </w:rPr>
            </w:pPr>
          </w:p>
        </w:tc>
        <w:tc>
          <w:tcPr>
            <w:tcW w:w="90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320" w:type="dxa"/>
            <w:vAlign w:val="bottom"/>
            <w:gridSpan w:val="5"/>
          </w:tcPr>
          <w:p>
            <w:pPr>
              <w:spacing w:after="0" w:line="271" w:lineRule="exact"/>
              <w:rPr>
                <w:sz w:val="20"/>
                <w:szCs w:val="20"/>
                <w:color w:val="auto"/>
              </w:rPr>
            </w:pPr>
            <w:r>
              <w:rPr>
                <w:rFonts w:ascii="Arial" w:cs="Arial" w:eastAsia="Arial" w:hAnsi="Arial"/>
                <w:sz w:val="15"/>
                <w:szCs w:val="15"/>
                <w:color w:val="auto"/>
              </w:rPr>
              <w:t>Stock Option / Class O LTIP Unit Vesting</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220" w:type="dxa"/>
            <w:vAlign w:val="bottom"/>
          </w:tcPr>
          <w:p>
            <w:pPr>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174,000</w:t>
            </w:r>
          </w:p>
        </w:tc>
        <w:tc>
          <w:tcPr>
            <w:tcW w:w="140" w:type="dxa"/>
            <w:vAlign w:val="bottom"/>
          </w:tcPr>
          <w:p>
            <w:pPr>
              <w:spacing w:after="0"/>
              <w:rPr>
                <w:sz w:val="23"/>
                <w:szCs w:val="23"/>
                <w:color w:val="auto"/>
              </w:rPr>
            </w:pPr>
          </w:p>
        </w:tc>
        <w:tc>
          <w:tcPr>
            <w:tcW w:w="240" w:type="dxa"/>
            <w:vAlign w:val="bottom"/>
          </w:tcPr>
          <w:p>
            <w:pPr>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174,000</w:t>
            </w:r>
          </w:p>
        </w:tc>
        <w:tc>
          <w:tcPr>
            <w:tcW w:w="80" w:type="dxa"/>
            <w:vAlign w:val="bottom"/>
          </w:tcPr>
          <w:p>
            <w:pPr>
              <w:spacing w:after="0"/>
              <w:rPr>
                <w:sz w:val="23"/>
                <w:szCs w:val="2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174,000</w:t>
            </w:r>
          </w:p>
        </w:tc>
        <w:tc>
          <w:tcPr>
            <w:tcW w:w="140" w:type="dxa"/>
            <w:vAlign w:val="bottom"/>
          </w:tcPr>
          <w:p>
            <w:pPr>
              <w:spacing w:after="0"/>
              <w:rPr>
                <w:sz w:val="23"/>
                <w:szCs w:val="23"/>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174,000</w:t>
            </w:r>
          </w:p>
        </w:tc>
        <w:tc>
          <w:tcPr>
            <w:tcW w:w="0" w:type="dxa"/>
            <w:vAlign w:val="bottom"/>
          </w:tcPr>
          <w:p>
            <w:pPr>
              <w:spacing w:after="0"/>
              <w:rPr>
                <w:sz w:val="1"/>
                <w:szCs w:val="1"/>
                <w:color w:val="auto"/>
              </w:rPr>
            </w:pPr>
          </w:p>
        </w:tc>
      </w:tr>
      <w:tr>
        <w:trPr>
          <w:trHeight w:val="20"/>
        </w:trPr>
        <w:tc>
          <w:tcPr>
            <w:tcW w:w="760" w:type="dxa"/>
            <w:vAlign w:val="bottom"/>
            <w:shd w:val="clear" w:color="auto" w:fill="98A3B8"/>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80" w:type="dxa"/>
            <w:vAlign w:val="bottom"/>
            <w:shd w:val="clear" w:color="auto" w:fill="98A3B8"/>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51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98A3B8"/>
          </w:tcPr>
          <w:p>
            <w:pPr>
              <w:spacing w:after="0" w:line="20" w:lineRule="exact"/>
              <w:rPr>
                <w:sz w:val="1"/>
                <w:szCs w:val="1"/>
                <w:color w:val="auto"/>
              </w:rPr>
            </w:pPr>
          </w:p>
        </w:tc>
        <w:tc>
          <w:tcPr>
            <w:tcW w:w="12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98A3B8"/>
          </w:tcPr>
          <w:p>
            <w:pPr>
              <w:spacing w:after="0" w:line="20" w:lineRule="exact"/>
              <w:rPr>
                <w:sz w:val="1"/>
                <w:szCs w:val="1"/>
                <w:color w:val="auto"/>
              </w:rPr>
            </w:pPr>
          </w:p>
        </w:tc>
        <w:tc>
          <w:tcPr>
            <w:tcW w:w="90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6320" w:type="dxa"/>
            <w:vAlign w:val="bottom"/>
            <w:gridSpan w:val="5"/>
          </w:tcPr>
          <w:p>
            <w:pPr>
              <w:spacing w:after="0" w:line="265" w:lineRule="exact"/>
              <w:rPr>
                <w:sz w:val="20"/>
                <w:szCs w:val="20"/>
                <w:color w:val="auto"/>
              </w:rPr>
            </w:pPr>
            <w:r>
              <w:rPr>
                <w:rFonts w:ascii="Arial" w:cs="Arial" w:eastAsia="Arial" w:hAnsi="Arial"/>
                <w:sz w:val="15"/>
                <w:szCs w:val="15"/>
                <w:color w:val="auto"/>
              </w:rPr>
              <w:t>LTIP Unit/Stock Unit Vesting</w:t>
            </w:r>
            <w:r>
              <w:rPr>
                <w:rFonts w:ascii="Arial" w:cs="Arial" w:eastAsia="Arial" w:hAnsi="Arial"/>
                <w:sz w:val="25"/>
                <w:szCs w:val="25"/>
                <w:color w:val="auto"/>
                <w:vertAlign w:val="superscript"/>
              </w:rPr>
              <w:t>(3)</w:t>
            </w:r>
          </w:p>
        </w:tc>
        <w:tc>
          <w:tcPr>
            <w:tcW w:w="140" w:type="dxa"/>
            <w:vAlign w:val="bottom"/>
          </w:tcPr>
          <w:p>
            <w:pPr>
              <w:spacing w:after="0"/>
              <w:rPr>
                <w:sz w:val="23"/>
                <w:szCs w:val="23"/>
                <w:color w:val="auto"/>
              </w:rPr>
            </w:pPr>
          </w:p>
        </w:tc>
        <w:tc>
          <w:tcPr>
            <w:tcW w:w="220" w:type="dxa"/>
            <w:vAlign w:val="bottom"/>
          </w:tcPr>
          <w:p>
            <w:pPr>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1,575,392</w:t>
            </w:r>
          </w:p>
        </w:tc>
        <w:tc>
          <w:tcPr>
            <w:tcW w:w="140" w:type="dxa"/>
            <w:vAlign w:val="bottom"/>
          </w:tcPr>
          <w:p>
            <w:pPr>
              <w:spacing w:after="0"/>
              <w:rPr>
                <w:sz w:val="23"/>
                <w:szCs w:val="23"/>
                <w:color w:val="auto"/>
              </w:rPr>
            </w:pPr>
          </w:p>
        </w:tc>
        <w:tc>
          <w:tcPr>
            <w:tcW w:w="240" w:type="dxa"/>
            <w:vAlign w:val="bottom"/>
          </w:tcPr>
          <w:p>
            <w:pPr>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1,575,392</w:t>
            </w:r>
          </w:p>
        </w:tc>
        <w:tc>
          <w:tcPr>
            <w:tcW w:w="80" w:type="dxa"/>
            <w:vAlign w:val="bottom"/>
          </w:tcPr>
          <w:p>
            <w:pPr>
              <w:spacing w:after="0"/>
              <w:rPr>
                <w:sz w:val="23"/>
                <w:szCs w:val="2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822,542</w:t>
            </w:r>
          </w:p>
        </w:tc>
        <w:tc>
          <w:tcPr>
            <w:tcW w:w="140" w:type="dxa"/>
            <w:vAlign w:val="bottom"/>
          </w:tcPr>
          <w:p>
            <w:pPr>
              <w:spacing w:after="0"/>
              <w:rPr>
                <w:sz w:val="23"/>
                <w:szCs w:val="23"/>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822,542</w:t>
            </w:r>
          </w:p>
        </w:tc>
        <w:tc>
          <w:tcPr>
            <w:tcW w:w="0" w:type="dxa"/>
            <w:vAlign w:val="bottom"/>
          </w:tcPr>
          <w:p>
            <w:pPr>
              <w:spacing w:after="0"/>
              <w:rPr>
                <w:sz w:val="1"/>
                <w:szCs w:val="1"/>
                <w:color w:val="auto"/>
              </w:rPr>
            </w:pPr>
          </w:p>
        </w:tc>
      </w:tr>
      <w:tr>
        <w:trPr>
          <w:trHeight w:val="20"/>
        </w:trPr>
        <w:tc>
          <w:tcPr>
            <w:tcW w:w="760" w:type="dxa"/>
            <w:vAlign w:val="bottom"/>
            <w:shd w:val="clear" w:color="auto" w:fill="98A3B8"/>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80" w:type="dxa"/>
            <w:vAlign w:val="bottom"/>
            <w:shd w:val="clear" w:color="auto" w:fill="98A3B8"/>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51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98A3B8"/>
          </w:tcPr>
          <w:p>
            <w:pPr>
              <w:spacing w:after="0" w:line="20" w:lineRule="exact"/>
              <w:rPr>
                <w:sz w:val="1"/>
                <w:szCs w:val="1"/>
                <w:color w:val="auto"/>
              </w:rPr>
            </w:pPr>
          </w:p>
        </w:tc>
        <w:tc>
          <w:tcPr>
            <w:tcW w:w="12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98A3B8"/>
          </w:tcPr>
          <w:p>
            <w:pPr>
              <w:spacing w:after="0" w:line="20" w:lineRule="exact"/>
              <w:rPr>
                <w:sz w:val="1"/>
                <w:szCs w:val="1"/>
                <w:color w:val="auto"/>
              </w:rPr>
            </w:pPr>
          </w:p>
        </w:tc>
        <w:tc>
          <w:tcPr>
            <w:tcW w:w="90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6320" w:type="dxa"/>
            <w:vAlign w:val="bottom"/>
            <w:gridSpan w:val="5"/>
          </w:tcPr>
          <w:p>
            <w:pPr>
              <w:spacing w:after="0" w:line="265" w:lineRule="exact"/>
              <w:rPr>
                <w:sz w:val="20"/>
                <w:szCs w:val="20"/>
                <w:color w:val="auto"/>
              </w:rPr>
            </w:pPr>
            <w:r>
              <w:rPr>
                <w:rFonts w:ascii="Arial" w:cs="Arial" w:eastAsia="Arial" w:hAnsi="Arial"/>
                <w:sz w:val="15"/>
                <w:szCs w:val="15"/>
                <w:color w:val="auto"/>
              </w:rPr>
              <w:t>2014 OPP</w:t>
            </w:r>
            <w:r>
              <w:rPr>
                <w:rFonts w:ascii="Arial" w:cs="Arial" w:eastAsia="Arial" w:hAnsi="Arial"/>
                <w:sz w:val="25"/>
                <w:szCs w:val="25"/>
                <w:color w:val="auto"/>
                <w:vertAlign w:val="superscript"/>
              </w:rPr>
              <w:t>(4)</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60" w:type="dxa"/>
            <w:vAlign w:val="bottom"/>
            <w:shd w:val="clear" w:color="auto" w:fill="98A3B8"/>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80" w:type="dxa"/>
            <w:vAlign w:val="bottom"/>
            <w:shd w:val="clear" w:color="auto" w:fill="98A3B8"/>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51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98A3B8"/>
          </w:tcPr>
          <w:p>
            <w:pPr>
              <w:spacing w:after="0" w:line="20" w:lineRule="exact"/>
              <w:rPr>
                <w:sz w:val="1"/>
                <w:szCs w:val="1"/>
                <w:color w:val="auto"/>
              </w:rPr>
            </w:pPr>
          </w:p>
        </w:tc>
        <w:tc>
          <w:tcPr>
            <w:tcW w:w="12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98A3B8"/>
          </w:tcPr>
          <w:p>
            <w:pPr>
              <w:spacing w:after="0" w:line="20" w:lineRule="exact"/>
              <w:rPr>
                <w:sz w:val="1"/>
                <w:szCs w:val="1"/>
                <w:color w:val="auto"/>
              </w:rPr>
            </w:pPr>
          </w:p>
        </w:tc>
        <w:tc>
          <w:tcPr>
            <w:tcW w:w="90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6320" w:type="dxa"/>
            <w:vAlign w:val="bottom"/>
            <w:gridSpan w:val="5"/>
          </w:tcPr>
          <w:p>
            <w:pPr>
              <w:spacing w:after="0" w:line="265" w:lineRule="exact"/>
              <w:rPr>
                <w:sz w:val="20"/>
                <w:szCs w:val="20"/>
                <w:color w:val="auto"/>
              </w:rPr>
            </w:pPr>
            <w:r>
              <w:rPr>
                <w:rFonts w:ascii="Arial" w:cs="Arial" w:eastAsia="Arial" w:hAnsi="Arial"/>
                <w:sz w:val="15"/>
                <w:szCs w:val="15"/>
                <w:color w:val="auto"/>
              </w:rPr>
              <w:t>Benefits Continuation</w:t>
            </w:r>
            <w:r>
              <w:rPr>
                <w:rFonts w:ascii="Arial" w:cs="Arial" w:eastAsia="Arial" w:hAnsi="Arial"/>
                <w:sz w:val="25"/>
                <w:szCs w:val="25"/>
                <w:color w:val="auto"/>
                <w:vertAlign w:val="superscript"/>
              </w:rPr>
              <w:t>(5)</w:t>
            </w:r>
          </w:p>
        </w:tc>
        <w:tc>
          <w:tcPr>
            <w:tcW w:w="140" w:type="dxa"/>
            <w:vAlign w:val="bottom"/>
          </w:tcPr>
          <w:p>
            <w:pPr>
              <w:spacing w:after="0"/>
              <w:rPr>
                <w:sz w:val="23"/>
                <w:szCs w:val="23"/>
                <w:color w:val="auto"/>
              </w:rPr>
            </w:pPr>
          </w:p>
        </w:tc>
        <w:tc>
          <w:tcPr>
            <w:tcW w:w="220" w:type="dxa"/>
            <w:vAlign w:val="bottom"/>
          </w:tcPr>
          <w:p>
            <w:pPr>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41,554</w:t>
            </w:r>
          </w:p>
        </w:tc>
        <w:tc>
          <w:tcPr>
            <w:tcW w:w="140" w:type="dxa"/>
            <w:vAlign w:val="bottom"/>
          </w:tcPr>
          <w:p>
            <w:pPr>
              <w:spacing w:after="0"/>
              <w:rPr>
                <w:sz w:val="23"/>
                <w:szCs w:val="23"/>
                <w:color w:val="auto"/>
              </w:rPr>
            </w:pPr>
          </w:p>
        </w:tc>
        <w:tc>
          <w:tcPr>
            <w:tcW w:w="240" w:type="dxa"/>
            <w:vAlign w:val="bottom"/>
          </w:tcPr>
          <w:p>
            <w:pPr>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83,107</w:t>
            </w:r>
          </w:p>
        </w:tc>
        <w:tc>
          <w:tcPr>
            <w:tcW w:w="80" w:type="dxa"/>
            <w:vAlign w:val="bottom"/>
          </w:tcPr>
          <w:p>
            <w:pPr>
              <w:spacing w:after="0"/>
              <w:rPr>
                <w:sz w:val="23"/>
                <w:szCs w:val="2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124,661</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
        </w:trPr>
        <w:tc>
          <w:tcPr>
            <w:tcW w:w="760" w:type="dxa"/>
            <w:vAlign w:val="bottom"/>
            <w:shd w:val="clear" w:color="auto" w:fill="325889"/>
          </w:tcPr>
          <w:p>
            <w:pPr>
              <w:spacing w:after="0"/>
              <w:rPr>
                <w:sz w:val="2"/>
                <w:szCs w:val="2"/>
                <w:color w:val="auto"/>
              </w:rPr>
            </w:pPr>
          </w:p>
        </w:tc>
        <w:tc>
          <w:tcPr>
            <w:tcW w:w="140" w:type="dxa"/>
            <w:vAlign w:val="bottom"/>
            <w:shd w:val="clear" w:color="auto" w:fill="325889"/>
          </w:tcPr>
          <w:p>
            <w:pPr>
              <w:spacing w:after="0"/>
              <w:rPr>
                <w:sz w:val="2"/>
                <w:szCs w:val="2"/>
                <w:color w:val="auto"/>
              </w:rPr>
            </w:pPr>
          </w:p>
        </w:tc>
        <w:tc>
          <w:tcPr>
            <w:tcW w:w="80" w:type="dxa"/>
            <w:vAlign w:val="bottom"/>
            <w:shd w:val="clear" w:color="auto" w:fill="325889"/>
          </w:tcPr>
          <w:p>
            <w:pPr>
              <w:spacing w:after="0"/>
              <w:rPr>
                <w:sz w:val="2"/>
                <w:szCs w:val="2"/>
                <w:color w:val="auto"/>
              </w:rPr>
            </w:pPr>
          </w:p>
        </w:tc>
        <w:tc>
          <w:tcPr>
            <w:tcW w:w="180" w:type="dxa"/>
            <w:vAlign w:val="bottom"/>
            <w:shd w:val="clear" w:color="auto" w:fill="325889"/>
          </w:tcPr>
          <w:p>
            <w:pPr>
              <w:spacing w:after="0"/>
              <w:rPr>
                <w:sz w:val="2"/>
                <w:szCs w:val="2"/>
                <w:color w:val="auto"/>
              </w:rPr>
            </w:pPr>
          </w:p>
        </w:tc>
        <w:tc>
          <w:tcPr>
            <w:tcW w:w="516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325889"/>
          </w:tcPr>
          <w:p>
            <w:pPr>
              <w:spacing w:after="0"/>
              <w:rPr>
                <w:sz w:val="2"/>
                <w:szCs w:val="2"/>
                <w:color w:val="auto"/>
              </w:rPr>
            </w:pPr>
          </w:p>
        </w:tc>
        <w:tc>
          <w:tcPr>
            <w:tcW w:w="128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325889"/>
          </w:tcPr>
          <w:p>
            <w:pPr>
              <w:spacing w:after="0"/>
              <w:rPr>
                <w:sz w:val="2"/>
                <w:szCs w:val="2"/>
                <w:color w:val="auto"/>
              </w:rPr>
            </w:pPr>
          </w:p>
        </w:tc>
        <w:tc>
          <w:tcPr>
            <w:tcW w:w="900" w:type="dxa"/>
            <w:vAlign w:val="bottom"/>
            <w:shd w:val="clear" w:color="auto" w:fill="325889"/>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325889"/>
          </w:tcPr>
          <w:p>
            <w:pPr>
              <w:spacing w:after="0"/>
              <w:rPr>
                <w:sz w:val="2"/>
                <w:szCs w:val="2"/>
                <w:color w:val="auto"/>
              </w:rPr>
            </w:pPr>
          </w:p>
        </w:tc>
        <w:tc>
          <w:tcPr>
            <w:tcW w:w="78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325889"/>
          </w:tcPr>
          <w:p>
            <w:pPr>
              <w:spacing w:after="0"/>
              <w:rPr>
                <w:sz w:val="2"/>
                <w:szCs w:val="2"/>
                <w:color w:val="auto"/>
              </w:rPr>
            </w:pPr>
          </w:p>
        </w:tc>
        <w:tc>
          <w:tcPr>
            <w:tcW w:w="780" w:type="dxa"/>
            <w:vAlign w:val="bottom"/>
            <w:shd w:val="clear" w:color="auto" w:fill="325889"/>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45"/>
          </w:cols>
          <w:pgMar w:left="235" w:top="528" w:right="219" w:bottom="1440" w:gutter="0" w:footer="0" w:header="0"/>
        </w:sectPr>
      </w:pPr>
    </w:p>
    <w:p>
      <w:pPr>
        <w:spacing w:after="0" w:line="206" w:lineRule="exact"/>
        <w:rPr>
          <w:sz w:val="20"/>
          <w:szCs w:val="20"/>
          <w:color w:val="auto"/>
        </w:rPr>
      </w:pPr>
    </w:p>
    <w:p>
      <w:pPr>
        <w:ind w:left="265" w:hanging="265"/>
        <w:spacing w:after="0"/>
        <w:tabs>
          <w:tab w:leader="none" w:pos="265" w:val="left"/>
        </w:tabs>
        <w:numPr>
          <w:ilvl w:val="0"/>
          <w:numId w:val="69"/>
        </w:numPr>
        <w:rPr>
          <w:rFonts w:ascii="Arial" w:cs="Arial" w:eastAsia="Arial" w:hAnsi="Arial"/>
          <w:sz w:val="15"/>
          <w:szCs w:val="15"/>
          <w:color w:val="325889"/>
        </w:rPr>
      </w:pPr>
      <w:r>
        <w:rPr>
          <w:rFonts w:ascii="Arial" w:cs="Arial" w:eastAsia="Arial" w:hAnsi="Arial"/>
          <w:sz w:val="15"/>
          <w:szCs w:val="15"/>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83450" cy="203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5"/>
          </w:cols>
          <w:pgMar w:left="235" w:top="528" w:right="219" w:bottom="1440" w:gutter="0" w:footer="0" w:header="0"/>
          <w:type w:val="continuous"/>
        </w:sectPr>
      </w:pPr>
    </w:p>
    <w:bookmarkStart w:id="50" w:name="page51"/>
    <w:bookmarkEnd w:id="50"/>
    <w:p>
      <w:pPr>
        <w:ind w:left="5"/>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325889"/>
        </w:rPr>
        <w:t>EXECUTIVE COMPENSATION</w:t>
      </w:r>
    </w:p>
    <w:p>
      <w:pPr>
        <w:spacing w:after="0" w:line="173" w:lineRule="exact"/>
        <w:rPr>
          <w:sz w:val="20"/>
          <w:szCs w:val="20"/>
          <w:color w:val="auto"/>
        </w:rPr>
      </w:pPr>
    </w:p>
    <w:tbl>
      <w:tblPr>
        <w:tblLayout w:type="fixed"/>
        <w:tblInd w:w="5" w:type="dxa"/>
        <w:tblCellMar>
          <w:top w:w="0" w:type="dxa"/>
          <w:left w:w="0" w:type="dxa"/>
          <w:bottom w:w="0" w:type="dxa"/>
          <w:right w:w="0" w:type="dxa"/>
        </w:tblCellMar>
      </w:tblPr>
      <w:tr>
        <w:trPr>
          <w:trHeight w:val="138"/>
        </w:trPr>
        <w:tc>
          <w:tcPr>
            <w:tcW w:w="6460" w:type="dxa"/>
            <w:vAlign w:val="bottom"/>
            <w:gridSpan w:val="3"/>
          </w:tcPr>
          <w:p>
            <w:pPr>
              <w:spacing w:after="0"/>
              <w:rPr>
                <w:sz w:val="20"/>
                <w:szCs w:val="20"/>
                <w:color w:val="auto"/>
              </w:rPr>
            </w:pPr>
            <w:r>
              <w:rPr>
                <w:rFonts w:ascii="Arial" w:cs="Arial" w:eastAsia="Arial" w:hAnsi="Arial"/>
                <w:sz w:val="12"/>
                <w:szCs w:val="12"/>
                <w:b w:val="1"/>
                <w:bCs w:val="1"/>
                <w:color w:val="325889"/>
              </w:rPr>
              <w:t>Andrew S. Levine</w:t>
            </w: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980" w:type="dxa"/>
            <w:vAlign w:val="bottom"/>
            <w:tcBorders>
              <w:top w:val="single" w:sz="8" w:color="325889"/>
            </w:tcBorders>
          </w:tcPr>
          <w:p>
            <w:pPr>
              <w:spacing w:after="0"/>
              <w:rPr>
                <w:sz w:val="24"/>
                <w:szCs w:val="24"/>
                <w:color w:val="auto"/>
              </w:rPr>
            </w:pPr>
          </w:p>
        </w:tc>
        <w:tc>
          <w:tcPr>
            <w:tcW w:w="5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ind w:left="160"/>
              <w:spacing w:after="0"/>
              <w:rPr>
                <w:sz w:val="20"/>
                <w:szCs w:val="20"/>
                <w:color w:val="auto"/>
              </w:rPr>
            </w:pPr>
            <w:r>
              <w:rPr>
                <w:rFonts w:ascii="Arial" w:cs="Arial" w:eastAsia="Arial" w:hAnsi="Arial"/>
                <w:sz w:val="12"/>
                <w:szCs w:val="12"/>
                <w:b w:val="1"/>
                <w:bCs w:val="1"/>
                <w:color w:val="325889"/>
              </w:rPr>
              <w:t>Termination without</w:t>
            </w:r>
          </w:p>
        </w:tc>
        <w:tc>
          <w:tcPr>
            <w:tcW w:w="280" w:type="dxa"/>
            <w:vAlign w:val="bottom"/>
          </w:tcPr>
          <w:p>
            <w:pPr>
              <w:spacing w:after="0"/>
              <w:rPr>
                <w:sz w:val="24"/>
                <w:szCs w:val="2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325889"/>
              </w:rPr>
              <w:t>Termination</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b w:val="1"/>
                <w:bCs w:val="1"/>
                <w:color w:val="325889"/>
              </w:rPr>
              <w:t>Death</w:t>
            </w:r>
            <w:r>
              <w:rPr>
                <w:rFonts w:ascii="Arial" w:cs="Arial" w:eastAsia="Arial" w:hAnsi="Arial"/>
                <w:sz w:val="19"/>
                <w:szCs w:val="19"/>
                <w:b w:val="1"/>
                <w:bCs w:val="1"/>
                <w:color w:val="325889"/>
                <w:vertAlign w:val="superscript"/>
              </w:rPr>
              <w:t>(1)</w:t>
            </w:r>
          </w:p>
        </w:tc>
        <w:tc>
          <w:tcPr>
            <w:tcW w:w="0" w:type="dxa"/>
            <w:vAlign w:val="bottom"/>
          </w:tcPr>
          <w:p>
            <w:pPr>
              <w:spacing w:after="0"/>
              <w:rPr>
                <w:sz w:val="1"/>
                <w:szCs w:val="1"/>
                <w:color w:val="auto"/>
              </w:rPr>
            </w:pPr>
          </w:p>
        </w:tc>
      </w:tr>
      <w:tr>
        <w:trPr>
          <w:trHeight w:val="169"/>
        </w:trPr>
        <w:tc>
          <w:tcPr>
            <w:tcW w:w="6320" w:type="dxa"/>
            <w:vAlign w:val="bottom"/>
            <w:gridSpan w:val="2"/>
          </w:tcPr>
          <w:p>
            <w:pPr>
              <w:spacing w:after="0"/>
              <w:rPr>
                <w:sz w:val="20"/>
                <w:szCs w:val="20"/>
                <w:color w:val="auto"/>
              </w:rPr>
            </w:pPr>
            <w:r>
              <w:rPr>
                <w:rFonts w:ascii="Arial" w:cs="Arial" w:eastAsia="Arial" w:hAnsi="Arial"/>
                <w:sz w:val="12"/>
                <w:szCs w:val="12"/>
                <w:b w:val="1"/>
                <w:bCs w:val="1"/>
                <w:color w:val="auto"/>
              </w:rPr>
              <w:t>Payment/Benefit</w:t>
            </w:r>
          </w:p>
        </w:tc>
        <w:tc>
          <w:tcPr>
            <w:tcW w:w="14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2"/>
                <w:szCs w:val="12"/>
                <w:b w:val="1"/>
                <w:bCs w:val="1"/>
                <w:color w:val="325889"/>
              </w:rPr>
              <w:t>Cause or for Good Reason</w:t>
            </w:r>
          </w:p>
        </w:tc>
        <w:tc>
          <w:tcPr>
            <w:tcW w:w="1220" w:type="dxa"/>
            <w:vAlign w:val="bottom"/>
            <w:gridSpan w:val="3"/>
          </w:tcPr>
          <w:p>
            <w:pPr>
              <w:spacing w:after="0"/>
              <w:rPr>
                <w:sz w:val="20"/>
                <w:szCs w:val="20"/>
                <w:color w:val="auto"/>
              </w:rPr>
            </w:pPr>
            <w:r>
              <w:rPr>
                <w:rFonts w:ascii="Arial" w:cs="Arial" w:eastAsia="Arial" w:hAnsi="Arial"/>
                <w:sz w:val="12"/>
                <w:szCs w:val="12"/>
                <w:b w:val="1"/>
                <w:bCs w:val="1"/>
                <w:color w:val="325889"/>
              </w:rPr>
              <w:t>w/Change in Control</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325889"/>
              </w:rPr>
              <w:t>Disability</w:t>
            </w: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980" w:type="dxa"/>
            <w:vAlign w:val="bottom"/>
            <w:shd w:val="clear" w:color="auto" w:fill="325889"/>
          </w:tcPr>
          <w:p>
            <w:pPr>
              <w:spacing w:after="0"/>
              <w:rPr>
                <w:sz w:val="2"/>
                <w:szCs w:val="2"/>
                <w:color w:val="auto"/>
              </w:rPr>
            </w:pPr>
          </w:p>
        </w:tc>
        <w:tc>
          <w:tcPr>
            <w:tcW w:w="534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325889"/>
          </w:tcPr>
          <w:p>
            <w:pPr>
              <w:spacing w:after="0"/>
              <w:rPr>
                <w:sz w:val="2"/>
                <w:szCs w:val="2"/>
                <w:color w:val="auto"/>
              </w:rPr>
            </w:pPr>
          </w:p>
        </w:tc>
        <w:tc>
          <w:tcPr>
            <w:tcW w:w="128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325889"/>
          </w:tcPr>
          <w:p>
            <w:pPr>
              <w:spacing w:after="0"/>
              <w:rPr>
                <w:sz w:val="2"/>
                <w:szCs w:val="2"/>
                <w:color w:val="auto"/>
              </w:rPr>
            </w:pPr>
          </w:p>
        </w:tc>
        <w:tc>
          <w:tcPr>
            <w:tcW w:w="860" w:type="dxa"/>
            <w:vAlign w:val="bottom"/>
            <w:shd w:val="clear" w:color="auto" w:fill="325889"/>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325889"/>
          </w:tcPr>
          <w:p>
            <w:pPr>
              <w:spacing w:after="0"/>
              <w:rPr>
                <w:sz w:val="2"/>
                <w:szCs w:val="2"/>
                <w:color w:val="auto"/>
              </w:rPr>
            </w:pPr>
          </w:p>
        </w:tc>
        <w:tc>
          <w:tcPr>
            <w:tcW w:w="78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325889"/>
          </w:tcPr>
          <w:p>
            <w:pPr>
              <w:spacing w:after="0"/>
              <w:rPr>
                <w:sz w:val="2"/>
                <w:szCs w:val="2"/>
                <w:color w:val="auto"/>
              </w:rPr>
            </w:pPr>
          </w:p>
        </w:tc>
        <w:tc>
          <w:tcPr>
            <w:tcW w:w="780" w:type="dxa"/>
            <w:vAlign w:val="bottom"/>
            <w:shd w:val="clear" w:color="auto" w:fill="32588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6320" w:type="dxa"/>
            <w:vAlign w:val="bottom"/>
            <w:gridSpan w:val="2"/>
          </w:tcPr>
          <w:p>
            <w:pPr>
              <w:spacing w:after="0"/>
              <w:rPr>
                <w:sz w:val="20"/>
                <w:szCs w:val="20"/>
                <w:color w:val="auto"/>
              </w:rPr>
            </w:pPr>
            <w:r>
              <w:rPr>
                <w:rFonts w:ascii="Arial" w:cs="Arial" w:eastAsia="Arial" w:hAnsi="Arial"/>
                <w:sz w:val="15"/>
                <w:szCs w:val="15"/>
                <w:color w:val="auto"/>
              </w:rPr>
              <w:t>Pro-Rata Bonus</w:t>
            </w:r>
          </w:p>
        </w:tc>
        <w:tc>
          <w:tcPr>
            <w:tcW w:w="14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1,150,000</w:t>
            </w:r>
          </w:p>
        </w:tc>
        <w:tc>
          <w:tcPr>
            <w:tcW w:w="14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1,150,000</w:t>
            </w:r>
          </w:p>
        </w:tc>
        <w:tc>
          <w:tcPr>
            <w:tcW w:w="8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1,150,000</w:t>
            </w:r>
          </w:p>
        </w:tc>
        <w:tc>
          <w:tcPr>
            <w:tcW w:w="14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1,150,000</w:t>
            </w:r>
          </w:p>
        </w:tc>
        <w:tc>
          <w:tcPr>
            <w:tcW w:w="0" w:type="dxa"/>
            <w:vAlign w:val="bottom"/>
          </w:tcPr>
          <w:p>
            <w:pPr>
              <w:spacing w:after="0"/>
              <w:rPr>
                <w:sz w:val="1"/>
                <w:szCs w:val="1"/>
                <w:color w:val="auto"/>
              </w:rPr>
            </w:pPr>
          </w:p>
        </w:tc>
      </w:tr>
      <w:tr>
        <w:trPr>
          <w:trHeight w:val="20"/>
        </w:trPr>
        <w:tc>
          <w:tcPr>
            <w:tcW w:w="980" w:type="dxa"/>
            <w:vAlign w:val="bottom"/>
            <w:shd w:val="clear" w:color="auto" w:fill="98A3B8"/>
          </w:tcPr>
          <w:p>
            <w:pPr>
              <w:spacing w:after="0" w:line="20" w:lineRule="exact"/>
              <w:rPr>
                <w:sz w:val="1"/>
                <w:szCs w:val="1"/>
                <w:color w:val="auto"/>
              </w:rPr>
            </w:pPr>
          </w:p>
        </w:tc>
        <w:tc>
          <w:tcPr>
            <w:tcW w:w="534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98A3B8"/>
          </w:tcPr>
          <w:p>
            <w:pPr>
              <w:spacing w:after="0" w:line="20" w:lineRule="exact"/>
              <w:rPr>
                <w:sz w:val="1"/>
                <w:szCs w:val="1"/>
                <w:color w:val="auto"/>
              </w:rPr>
            </w:pPr>
          </w:p>
        </w:tc>
        <w:tc>
          <w:tcPr>
            <w:tcW w:w="12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98A3B8"/>
          </w:tcPr>
          <w:p>
            <w:pPr>
              <w:spacing w:after="0" w:line="20" w:lineRule="exact"/>
              <w:rPr>
                <w:sz w:val="1"/>
                <w:szCs w:val="1"/>
                <w:color w:val="auto"/>
              </w:rPr>
            </w:pPr>
          </w:p>
        </w:tc>
        <w:tc>
          <w:tcPr>
            <w:tcW w:w="86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320" w:type="dxa"/>
            <w:vAlign w:val="bottom"/>
            <w:gridSpan w:val="2"/>
          </w:tcPr>
          <w:p>
            <w:pPr>
              <w:spacing w:after="0"/>
              <w:rPr>
                <w:sz w:val="20"/>
                <w:szCs w:val="20"/>
                <w:color w:val="auto"/>
              </w:rPr>
            </w:pPr>
            <w:r>
              <w:rPr>
                <w:rFonts w:ascii="Arial" w:cs="Arial" w:eastAsia="Arial" w:hAnsi="Arial"/>
                <w:sz w:val="15"/>
                <w:szCs w:val="15"/>
                <w:color w:val="auto"/>
              </w:rPr>
              <w:t>Cash Severance</w:t>
            </w:r>
          </w:p>
        </w:tc>
        <w:tc>
          <w:tcPr>
            <w:tcW w:w="14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1,675,000</w:t>
            </w:r>
          </w:p>
        </w:tc>
        <w:tc>
          <w:tcPr>
            <w:tcW w:w="14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3,350,000</w:t>
            </w:r>
          </w:p>
        </w:tc>
        <w:tc>
          <w:tcPr>
            <w:tcW w:w="8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1,675,000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980" w:type="dxa"/>
            <w:vAlign w:val="bottom"/>
            <w:shd w:val="clear" w:color="auto" w:fill="98A3B8"/>
          </w:tcPr>
          <w:p>
            <w:pPr>
              <w:spacing w:after="0" w:line="20" w:lineRule="exact"/>
              <w:rPr>
                <w:sz w:val="1"/>
                <w:szCs w:val="1"/>
                <w:color w:val="auto"/>
              </w:rPr>
            </w:pPr>
          </w:p>
        </w:tc>
        <w:tc>
          <w:tcPr>
            <w:tcW w:w="534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98A3B8"/>
          </w:tcPr>
          <w:p>
            <w:pPr>
              <w:spacing w:after="0" w:line="20" w:lineRule="exact"/>
              <w:rPr>
                <w:sz w:val="1"/>
                <w:szCs w:val="1"/>
                <w:color w:val="auto"/>
              </w:rPr>
            </w:pPr>
          </w:p>
        </w:tc>
        <w:tc>
          <w:tcPr>
            <w:tcW w:w="12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98A3B8"/>
          </w:tcPr>
          <w:p>
            <w:pPr>
              <w:spacing w:after="0" w:line="20" w:lineRule="exact"/>
              <w:rPr>
                <w:sz w:val="1"/>
                <w:szCs w:val="1"/>
                <w:color w:val="auto"/>
              </w:rPr>
            </w:pPr>
          </w:p>
        </w:tc>
        <w:tc>
          <w:tcPr>
            <w:tcW w:w="86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320" w:type="dxa"/>
            <w:vAlign w:val="bottom"/>
            <w:gridSpan w:val="2"/>
          </w:tcPr>
          <w:p>
            <w:pPr>
              <w:spacing w:after="0" w:line="271" w:lineRule="exact"/>
              <w:rPr>
                <w:sz w:val="20"/>
                <w:szCs w:val="20"/>
                <w:color w:val="auto"/>
              </w:rPr>
            </w:pPr>
            <w:r>
              <w:rPr>
                <w:rFonts w:ascii="Arial" w:cs="Arial" w:eastAsia="Arial" w:hAnsi="Arial"/>
                <w:sz w:val="15"/>
                <w:szCs w:val="15"/>
                <w:color w:val="auto"/>
              </w:rPr>
              <w:t>Stock Option / Class O LTIP Unit Vesting</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220" w:type="dxa"/>
            <w:vAlign w:val="bottom"/>
          </w:tcPr>
          <w:p>
            <w:pPr>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145,000</w:t>
            </w:r>
          </w:p>
        </w:tc>
        <w:tc>
          <w:tcPr>
            <w:tcW w:w="140" w:type="dxa"/>
            <w:vAlign w:val="bottom"/>
          </w:tcPr>
          <w:p>
            <w:pPr>
              <w:spacing w:after="0"/>
              <w:rPr>
                <w:sz w:val="23"/>
                <w:szCs w:val="23"/>
                <w:color w:val="auto"/>
              </w:rPr>
            </w:pPr>
          </w:p>
        </w:tc>
        <w:tc>
          <w:tcPr>
            <w:tcW w:w="280" w:type="dxa"/>
            <w:vAlign w:val="bottom"/>
          </w:tcPr>
          <w:p>
            <w:pPr>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145,000</w:t>
            </w:r>
          </w:p>
        </w:tc>
        <w:tc>
          <w:tcPr>
            <w:tcW w:w="80" w:type="dxa"/>
            <w:vAlign w:val="bottom"/>
          </w:tcPr>
          <w:p>
            <w:pPr>
              <w:spacing w:after="0"/>
              <w:rPr>
                <w:sz w:val="23"/>
                <w:szCs w:val="2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145,000</w:t>
            </w:r>
          </w:p>
        </w:tc>
        <w:tc>
          <w:tcPr>
            <w:tcW w:w="140" w:type="dxa"/>
            <w:vAlign w:val="bottom"/>
          </w:tcPr>
          <w:p>
            <w:pPr>
              <w:spacing w:after="0"/>
              <w:rPr>
                <w:sz w:val="23"/>
                <w:szCs w:val="23"/>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145,000</w:t>
            </w:r>
          </w:p>
        </w:tc>
        <w:tc>
          <w:tcPr>
            <w:tcW w:w="0" w:type="dxa"/>
            <w:vAlign w:val="bottom"/>
          </w:tcPr>
          <w:p>
            <w:pPr>
              <w:spacing w:after="0"/>
              <w:rPr>
                <w:sz w:val="1"/>
                <w:szCs w:val="1"/>
                <w:color w:val="auto"/>
              </w:rPr>
            </w:pPr>
          </w:p>
        </w:tc>
      </w:tr>
      <w:tr>
        <w:trPr>
          <w:trHeight w:val="20"/>
        </w:trPr>
        <w:tc>
          <w:tcPr>
            <w:tcW w:w="980" w:type="dxa"/>
            <w:vAlign w:val="bottom"/>
            <w:shd w:val="clear" w:color="auto" w:fill="98A3B8"/>
          </w:tcPr>
          <w:p>
            <w:pPr>
              <w:spacing w:after="0" w:line="20" w:lineRule="exact"/>
              <w:rPr>
                <w:sz w:val="1"/>
                <w:szCs w:val="1"/>
                <w:color w:val="auto"/>
              </w:rPr>
            </w:pPr>
          </w:p>
        </w:tc>
        <w:tc>
          <w:tcPr>
            <w:tcW w:w="534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98A3B8"/>
          </w:tcPr>
          <w:p>
            <w:pPr>
              <w:spacing w:after="0" w:line="20" w:lineRule="exact"/>
              <w:rPr>
                <w:sz w:val="1"/>
                <w:szCs w:val="1"/>
                <w:color w:val="auto"/>
              </w:rPr>
            </w:pPr>
          </w:p>
        </w:tc>
        <w:tc>
          <w:tcPr>
            <w:tcW w:w="12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98A3B8"/>
          </w:tcPr>
          <w:p>
            <w:pPr>
              <w:spacing w:after="0" w:line="20" w:lineRule="exact"/>
              <w:rPr>
                <w:sz w:val="1"/>
                <w:szCs w:val="1"/>
                <w:color w:val="auto"/>
              </w:rPr>
            </w:pPr>
          </w:p>
        </w:tc>
        <w:tc>
          <w:tcPr>
            <w:tcW w:w="86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6320" w:type="dxa"/>
            <w:vAlign w:val="bottom"/>
            <w:gridSpan w:val="2"/>
          </w:tcPr>
          <w:p>
            <w:pPr>
              <w:spacing w:after="0" w:line="265" w:lineRule="exact"/>
              <w:rPr>
                <w:sz w:val="20"/>
                <w:szCs w:val="20"/>
                <w:color w:val="auto"/>
              </w:rPr>
            </w:pPr>
            <w:r>
              <w:rPr>
                <w:rFonts w:ascii="Arial" w:cs="Arial" w:eastAsia="Arial" w:hAnsi="Arial"/>
                <w:sz w:val="15"/>
                <w:szCs w:val="15"/>
                <w:color w:val="auto"/>
              </w:rPr>
              <w:t>LTIP Unit/Stock Unit Vesting</w:t>
            </w:r>
            <w:r>
              <w:rPr>
                <w:rFonts w:ascii="Arial" w:cs="Arial" w:eastAsia="Arial" w:hAnsi="Arial"/>
                <w:sz w:val="25"/>
                <w:szCs w:val="25"/>
                <w:color w:val="auto"/>
                <w:vertAlign w:val="superscript"/>
              </w:rPr>
              <w:t>(3)</w:t>
            </w:r>
          </w:p>
        </w:tc>
        <w:tc>
          <w:tcPr>
            <w:tcW w:w="140" w:type="dxa"/>
            <w:vAlign w:val="bottom"/>
          </w:tcPr>
          <w:p>
            <w:pPr>
              <w:spacing w:after="0"/>
              <w:rPr>
                <w:sz w:val="23"/>
                <w:szCs w:val="23"/>
                <w:color w:val="auto"/>
              </w:rPr>
            </w:pPr>
          </w:p>
        </w:tc>
        <w:tc>
          <w:tcPr>
            <w:tcW w:w="220" w:type="dxa"/>
            <w:vAlign w:val="bottom"/>
          </w:tcPr>
          <w:p>
            <w:pPr>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3,971,391</w:t>
            </w:r>
          </w:p>
        </w:tc>
        <w:tc>
          <w:tcPr>
            <w:tcW w:w="140" w:type="dxa"/>
            <w:vAlign w:val="bottom"/>
          </w:tcPr>
          <w:p>
            <w:pPr>
              <w:spacing w:after="0"/>
              <w:rPr>
                <w:sz w:val="23"/>
                <w:szCs w:val="23"/>
                <w:color w:val="auto"/>
              </w:rPr>
            </w:pPr>
          </w:p>
        </w:tc>
        <w:tc>
          <w:tcPr>
            <w:tcW w:w="280" w:type="dxa"/>
            <w:vAlign w:val="bottom"/>
          </w:tcPr>
          <w:p>
            <w:pPr>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3,971,391</w:t>
            </w:r>
          </w:p>
        </w:tc>
        <w:tc>
          <w:tcPr>
            <w:tcW w:w="80" w:type="dxa"/>
            <w:vAlign w:val="bottom"/>
          </w:tcPr>
          <w:p>
            <w:pPr>
              <w:spacing w:after="0"/>
              <w:rPr>
                <w:sz w:val="23"/>
                <w:szCs w:val="2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1,390,191</w:t>
            </w:r>
          </w:p>
        </w:tc>
        <w:tc>
          <w:tcPr>
            <w:tcW w:w="140" w:type="dxa"/>
            <w:vAlign w:val="bottom"/>
          </w:tcPr>
          <w:p>
            <w:pPr>
              <w:spacing w:after="0"/>
              <w:rPr>
                <w:sz w:val="23"/>
                <w:szCs w:val="23"/>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1,390,191</w:t>
            </w:r>
          </w:p>
        </w:tc>
        <w:tc>
          <w:tcPr>
            <w:tcW w:w="0" w:type="dxa"/>
            <w:vAlign w:val="bottom"/>
          </w:tcPr>
          <w:p>
            <w:pPr>
              <w:spacing w:after="0"/>
              <w:rPr>
                <w:sz w:val="1"/>
                <w:szCs w:val="1"/>
                <w:color w:val="auto"/>
              </w:rPr>
            </w:pPr>
          </w:p>
        </w:tc>
      </w:tr>
      <w:tr>
        <w:trPr>
          <w:trHeight w:val="20"/>
        </w:trPr>
        <w:tc>
          <w:tcPr>
            <w:tcW w:w="980" w:type="dxa"/>
            <w:vAlign w:val="bottom"/>
            <w:shd w:val="clear" w:color="auto" w:fill="98A3B8"/>
          </w:tcPr>
          <w:p>
            <w:pPr>
              <w:spacing w:after="0" w:line="20" w:lineRule="exact"/>
              <w:rPr>
                <w:sz w:val="1"/>
                <w:szCs w:val="1"/>
                <w:color w:val="auto"/>
              </w:rPr>
            </w:pPr>
          </w:p>
        </w:tc>
        <w:tc>
          <w:tcPr>
            <w:tcW w:w="534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98A3B8"/>
          </w:tcPr>
          <w:p>
            <w:pPr>
              <w:spacing w:after="0" w:line="20" w:lineRule="exact"/>
              <w:rPr>
                <w:sz w:val="1"/>
                <w:szCs w:val="1"/>
                <w:color w:val="auto"/>
              </w:rPr>
            </w:pPr>
          </w:p>
        </w:tc>
        <w:tc>
          <w:tcPr>
            <w:tcW w:w="12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98A3B8"/>
          </w:tcPr>
          <w:p>
            <w:pPr>
              <w:spacing w:after="0" w:line="20" w:lineRule="exact"/>
              <w:rPr>
                <w:sz w:val="1"/>
                <w:szCs w:val="1"/>
                <w:color w:val="auto"/>
              </w:rPr>
            </w:pPr>
          </w:p>
        </w:tc>
        <w:tc>
          <w:tcPr>
            <w:tcW w:w="86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6320" w:type="dxa"/>
            <w:vAlign w:val="bottom"/>
            <w:gridSpan w:val="2"/>
          </w:tcPr>
          <w:p>
            <w:pPr>
              <w:spacing w:after="0" w:line="265" w:lineRule="exact"/>
              <w:rPr>
                <w:sz w:val="20"/>
                <w:szCs w:val="20"/>
                <w:color w:val="auto"/>
              </w:rPr>
            </w:pPr>
            <w:r>
              <w:rPr>
                <w:rFonts w:ascii="Arial" w:cs="Arial" w:eastAsia="Arial" w:hAnsi="Arial"/>
                <w:sz w:val="15"/>
                <w:szCs w:val="15"/>
                <w:color w:val="auto"/>
              </w:rPr>
              <w:t>2014 OPP</w:t>
            </w:r>
            <w:r>
              <w:rPr>
                <w:rFonts w:ascii="Arial" w:cs="Arial" w:eastAsia="Arial" w:hAnsi="Arial"/>
                <w:sz w:val="25"/>
                <w:szCs w:val="25"/>
                <w:color w:val="auto"/>
                <w:vertAlign w:val="superscript"/>
              </w:rPr>
              <w:t>(4)</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980" w:type="dxa"/>
            <w:vAlign w:val="bottom"/>
            <w:shd w:val="clear" w:color="auto" w:fill="98A3B8"/>
          </w:tcPr>
          <w:p>
            <w:pPr>
              <w:spacing w:after="0" w:line="20" w:lineRule="exact"/>
              <w:rPr>
                <w:sz w:val="1"/>
                <w:szCs w:val="1"/>
                <w:color w:val="auto"/>
              </w:rPr>
            </w:pPr>
          </w:p>
        </w:tc>
        <w:tc>
          <w:tcPr>
            <w:tcW w:w="534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98A3B8"/>
          </w:tcPr>
          <w:p>
            <w:pPr>
              <w:spacing w:after="0" w:line="20" w:lineRule="exact"/>
              <w:rPr>
                <w:sz w:val="1"/>
                <w:szCs w:val="1"/>
                <w:color w:val="auto"/>
              </w:rPr>
            </w:pPr>
          </w:p>
        </w:tc>
        <w:tc>
          <w:tcPr>
            <w:tcW w:w="12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98A3B8"/>
          </w:tcPr>
          <w:p>
            <w:pPr>
              <w:spacing w:after="0" w:line="20" w:lineRule="exact"/>
              <w:rPr>
                <w:sz w:val="1"/>
                <w:szCs w:val="1"/>
                <w:color w:val="auto"/>
              </w:rPr>
            </w:pPr>
          </w:p>
        </w:tc>
        <w:tc>
          <w:tcPr>
            <w:tcW w:w="86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98A3B8"/>
          </w:tcPr>
          <w:p>
            <w:pPr>
              <w:spacing w:after="0" w:line="20" w:lineRule="exact"/>
              <w:rPr>
                <w:sz w:val="1"/>
                <w:szCs w:val="1"/>
                <w:color w:val="auto"/>
              </w:rPr>
            </w:pPr>
          </w:p>
        </w:tc>
        <w:tc>
          <w:tcPr>
            <w:tcW w:w="780" w:type="dxa"/>
            <w:vAlign w:val="bottom"/>
            <w:shd w:val="clear" w:color="auto" w:fill="98A3B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6320" w:type="dxa"/>
            <w:vAlign w:val="bottom"/>
            <w:gridSpan w:val="2"/>
          </w:tcPr>
          <w:p>
            <w:pPr>
              <w:spacing w:after="0" w:line="265" w:lineRule="exact"/>
              <w:rPr>
                <w:sz w:val="20"/>
                <w:szCs w:val="20"/>
                <w:color w:val="auto"/>
              </w:rPr>
            </w:pPr>
            <w:r>
              <w:rPr>
                <w:rFonts w:ascii="Arial" w:cs="Arial" w:eastAsia="Arial" w:hAnsi="Arial"/>
                <w:sz w:val="15"/>
                <w:szCs w:val="15"/>
                <w:color w:val="auto"/>
              </w:rPr>
              <w:t>Benefits Continuation</w:t>
            </w:r>
            <w:r>
              <w:rPr>
                <w:rFonts w:ascii="Arial" w:cs="Arial" w:eastAsia="Arial" w:hAnsi="Arial"/>
                <w:sz w:val="25"/>
                <w:szCs w:val="25"/>
                <w:color w:val="auto"/>
                <w:vertAlign w:val="superscript"/>
              </w:rPr>
              <w:t>(5)</w:t>
            </w:r>
          </w:p>
        </w:tc>
        <w:tc>
          <w:tcPr>
            <w:tcW w:w="140" w:type="dxa"/>
            <w:vAlign w:val="bottom"/>
          </w:tcPr>
          <w:p>
            <w:pPr>
              <w:spacing w:after="0"/>
              <w:rPr>
                <w:sz w:val="23"/>
                <w:szCs w:val="23"/>
                <w:color w:val="auto"/>
              </w:rPr>
            </w:pPr>
          </w:p>
        </w:tc>
        <w:tc>
          <w:tcPr>
            <w:tcW w:w="220" w:type="dxa"/>
            <w:vAlign w:val="bottom"/>
          </w:tcPr>
          <w:p>
            <w:pPr>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44,014</w:t>
            </w:r>
          </w:p>
        </w:tc>
        <w:tc>
          <w:tcPr>
            <w:tcW w:w="140" w:type="dxa"/>
            <w:vAlign w:val="bottom"/>
          </w:tcPr>
          <w:p>
            <w:pPr>
              <w:spacing w:after="0"/>
              <w:rPr>
                <w:sz w:val="23"/>
                <w:szCs w:val="23"/>
                <w:color w:val="auto"/>
              </w:rPr>
            </w:pPr>
          </w:p>
        </w:tc>
        <w:tc>
          <w:tcPr>
            <w:tcW w:w="280" w:type="dxa"/>
            <w:vAlign w:val="bottom"/>
          </w:tcPr>
          <w:p>
            <w:pPr>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88,027</w:t>
            </w:r>
          </w:p>
        </w:tc>
        <w:tc>
          <w:tcPr>
            <w:tcW w:w="80" w:type="dxa"/>
            <w:vAlign w:val="bottom"/>
          </w:tcPr>
          <w:p>
            <w:pPr>
              <w:spacing w:after="0"/>
              <w:rPr>
                <w:sz w:val="23"/>
                <w:szCs w:val="2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132,041</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
        </w:trPr>
        <w:tc>
          <w:tcPr>
            <w:tcW w:w="980" w:type="dxa"/>
            <w:vAlign w:val="bottom"/>
            <w:shd w:val="clear" w:color="auto" w:fill="325889"/>
          </w:tcPr>
          <w:p>
            <w:pPr>
              <w:spacing w:after="0"/>
              <w:rPr>
                <w:sz w:val="2"/>
                <w:szCs w:val="2"/>
                <w:color w:val="auto"/>
              </w:rPr>
            </w:pPr>
          </w:p>
        </w:tc>
        <w:tc>
          <w:tcPr>
            <w:tcW w:w="534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325889"/>
          </w:tcPr>
          <w:p>
            <w:pPr>
              <w:spacing w:after="0"/>
              <w:rPr>
                <w:sz w:val="2"/>
                <w:szCs w:val="2"/>
                <w:color w:val="auto"/>
              </w:rPr>
            </w:pPr>
          </w:p>
        </w:tc>
        <w:tc>
          <w:tcPr>
            <w:tcW w:w="128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325889"/>
          </w:tcPr>
          <w:p>
            <w:pPr>
              <w:spacing w:after="0"/>
              <w:rPr>
                <w:sz w:val="2"/>
                <w:szCs w:val="2"/>
                <w:color w:val="auto"/>
              </w:rPr>
            </w:pPr>
          </w:p>
        </w:tc>
        <w:tc>
          <w:tcPr>
            <w:tcW w:w="860" w:type="dxa"/>
            <w:vAlign w:val="bottom"/>
            <w:shd w:val="clear" w:color="auto" w:fill="325889"/>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325889"/>
          </w:tcPr>
          <w:p>
            <w:pPr>
              <w:spacing w:after="0"/>
              <w:rPr>
                <w:sz w:val="2"/>
                <w:szCs w:val="2"/>
                <w:color w:val="auto"/>
              </w:rPr>
            </w:pPr>
          </w:p>
        </w:tc>
        <w:tc>
          <w:tcPr>
            <w:tcW w:w="78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325889"/>
          </w:tcPr>
          <w:p>
            <w:pPr>
              <w:spacing w:after="0"/>
              <w:rPr>
                <w:sz w:val="2"/>
                <w:szCs w:val="2"/>
                <w:color w:val="auto"/>
              </w:rPr>
            </w:pPr>
          </w:p>
        </w:tc>
        <w:tc>
          <w:tcPr>
            <w:tcW w:w="780" w:type="dxa"/>
            <w:vAlign w:val="bottom"/>
            <w:shd w:val="clear" w:color="auto" w:fill="325889"/>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ind w:left="305" w:right="300" w:hanging="305"/>
        <w:spacing w:after="0" w:line="236" w:lineRule="auto"/>
        <w:tabs>
          <w:tab w:leader="none" w:pos="305" w:val="left"/>
        </w:tabs>
        <w:numPr>
          <w:ilvl w:val="0"/>
          <w:numId w:val="70"/>
        </w:numPr>
        <w:rPr>
          <w:rFonts w:ascii="Arial" w:cs="Arial" w:eastAsia="Arial" w:hAnsi="Arial"/>
          <w:sz w:val="12"/>
          <w:szCs w:val="12"/>
          <w:color w:val="auto"/>
        </w:rPr>
      </w:pPr>
      <w:r>
        <w:rPr>
          <w:rFonts w:ascii="Arial" w:cs="Arial" w:eastAsia="Arial" w:hAnsi="Arial"/>
          <w:sz w:val="12"/>
          <w:szCs w:val="12"/>
          <w:color w:val="auto"/>
        </w:rPr>
        <w:t>As we maintained life insurance policies for the benefit of the beneficiaries of Messrs. Holliday and Green in the amount of $10 million and $5 million, respectively, as of December 31, 2016, the amount of the payments and benefits to be received by Messrs. Holliday and Green in the event of a termination upon death will be reduced by these amounts in accordance with their employment agreements.</w:t>
      </w:r>
    </w:p>
    <w:p>
      <w:pPr>
        <w:spacing w:after="0" w:line="48" w:lineRule="exact"/>
        <w:rPr>
          <w:rFonts w:ascii="Arial" w:cs="Arial" w:eastAsia="Arial" w:hAnsi="Arial"/>
          <w:sz w:val="12"/>
          <w:szCs w:val="12"/>
          <w:color w:val="auto"/>
        </w:rPr>
      </w:pPr>
    </w:p>
    <w:p>
      <w:pPr>
        <w:ind w:left="305" w:right="140" w:hanging="305"/>
        <w:spacing w:after="0" w:line="236" w:lineRule="auto"/>
        <w:tabs>
          <w:tab w:leader="none" w:pos="305" w:val="left"/>
        </w:tabs>
        <w:numPr>
          <w:ilvl w:val="0"/>
          <w:numId w:val="70"/>
        </w:numPr>
        <w:rPr>
          <w:rFonts w:ascii="Arial" w:cs="Arial" w:eastAsia="Arial" w:hAnsi="Arial"/>
          <w:sz w:val="12"/>
          <w:szCs w:val="12"/>
          <w:color w:val="auto"/>
        </w:rPr>
      </w:pPr>
      <w:r>
        <w:rPr>
          <w:rFonts w:ascii="Arial" w:cs="Arial" w:eastAsia="Arial" w:hAnsi="Arial"/>
          <w:sz w:val="12"/>
          <w:szCs w:val="12"/>
          <w:color w:val="auto"/>
        </w:rPr>
        <w:t>Represents the value of the stock options or Class O LTIP units that would vest. Assumes that the per share value of the stock options or Class O LTIP units that vest equals (i) $107.55 per share, which was the closing price on the NYSE of one share of our common stock on December 31, 2016, less (ii) the exercise price per share of such stock options or the conversion threshold of such Class O LTIP units.</w:t>
      </w:r>
    </w:p>
    <w:p>
      <w:pPr>
        <w:spacing w:after="0" w:line="48" w:lineRule="exact"/>
        <w:rPr>
          <w:rFonts w:ascii="Arial" w:cs="Arial" w:eastAsia="Arial" w:hAnsi="Arial"/>
          <w:sz w:val="12"/>
          <w:szCs w:val="12"/>
          <w:color w:val="auto"/>
        </w:rPr>
      </w:pPr>
    </w:p>
    <w:p>
      <w:pPr>
        <w:ind w:left="305" w:right="120" w:hanging="305"/>
        <w:spacing w:after="0" w:line="236" w:lineRule="auto"/>
        <w:tabs>
          <w:tab w:leader="none" w:pos="305" w:val="left"/>
        </w:tabs>
        <w:numPr>
          <w:ilvl w:val="0"/>
          <w:numId w:val="70"/>
        </w:numPr>
        <w:rPr>
          <w:rFonts w:ascii="Arial" w:cs="Arial" w:eastAsia="Arial" w:hAnsi="Arial"/>
          <w:sz w:val="12"/>
          <w:szCs w:val="12"/>
          <w:color w:val="auto"/>
        </w:rPr>
      </w:pPr>
      <w:r>
        <w:rPr>
          <w:rFonts w:ascii="Arial" w:cs="Arial" w:eastAsia="Arial" w:hAnsi="Arial"/>
          <w:sz w:val="12"/>
          <w:szCs w:val="12"/>
          <w:color w:val="auto"/>
        </w:rPr>
        <w:t>Represents the value of the LTIP units and notional stock units, if any, that would vest (other than pursuant to our 2014 Outperformance Plan) based on a price of $107.55 per unit, which was the closing price on the NYSE of one share of our common stock on December 31, 2016. Assumes that the value of LTIP units on a per unit basis is equal to the per share value of our common stock.</w:t>
      </w:r>
    </w:p>
    <w:p>
      <w:pPr>
        <w:spacing w:after="0" w:line="48" w:lineRule="exact"/>
        <w:rPr>
          <w:rFonts w:ascii="Arial" w:cs="Arial" w:eastAsia="Arial" w:hAnsi="Arial"/>
          <w:sz w:val="12"/>
          <w:szCs w:val="12"/>
          <w:color w:val="auto"/>
        </w:rPr>
      </w:pPr>
    </w:p>
    <w:p>
      <w:pPr>
        <w:ind w:left="305" w:right="20" w:hanging="305"/>
        <w:spacing w:after="0" w:line="230" w:lineRule="auto"/>
        <w:tabs>
          <w:tab w:leader="none" w:pos="305" w:val="left"/>
        </w:tabs>
        <w:numPr>
          <w:ilvl w:val="0"/>
          <w:numId w:val="70"/>
        </w:numPr>
        <w:rPr>
          <w:rFonts w:ascii="Arial" w:cs="Arial" w:eastAsia="Arial" w:hAnsi="Arial"/>
          <w:sz w:val="12"/>
          <w:szCs w:val="12"/>
          <w:color w:val="auto"/>
        </w:rPr>
      </w:pPr>
      <w:r>
        <w:rPr>
          <w:rFonts w:ascii="Arial" w:cs="Arial" w:eastAsia="Arial" w:hAnsi="Arial"/>
          <w:sz w:val="12"/>
          <w:szCs w:val="12"/>
          <w:color w:val="auto"/>
        </w:rPr>
        <w:t>Represents the value of the LTIP units that would vest and the distributions that would be payable pursuant to awards granted under our 2014 Outperformance Plan based on a price of $107.55 per unit, which was the closing price on the NYSE of one share of our common stock on December 31, 2016. Assumes that the value of LTIP units on a per unit basis is equal to the per share value of our common stock. Based on our TRS performance from the beginning of the performance period through December 31, 2016, all outstanding awards under our 2014 Outperformance Plan would have been forfeited in the event of a change in control or termination due to death or disability as of December 31, 2016. No amounts are included in the event of a termination without cause or for good reason, because the executive only would have been entitled to vesting to the extent that the awards were earned based on the achievement of the performance-based vesting criteria within 12 months after December 31, 2016.</w:t>
      </w:r>
    </w:p>
    <w:p>
      <w:pPr>
        <w:spacing w:after="0" w:line="50" w:lineRule="exact"/>
        <w:rPr>
          <w:rFonts w:ascii="Arial" w:cs="Arial" w:eastAsia="Arial" w:hAnsi="Arial"/>
          <w:sz w:val="12"/>
          <w:szCs w:val="12"/>
          <w:color w:val="auto"/>
        </w:rPr>
      </w:pPr>
    </w:p>
    <w:p>
      <w:pPr>
        <w:ind w:left="305" w:right="160" w:hanging="305"/>
        <w:spacing w:after="0" w:line="236" w:lineRule="auto"/>
        <w:tabs>
          <w:tab w:leader="none" w:pos="305" w:val="left"/>
        </w:tabs>
        <w:numPr>
          <w:ilvl w:val="0"/>
          <w:numId w:val="70"/>
        </w:numPr>
        <w:rPr>
          <w:rFonts w:ascii="Arial" w:cs="Arial" w:eastAsia="Arial" w:hAnsi="Arial"/>
          <w:sz w:val="12"/>
          <w:szCs w:val="12"/>
          <w:color w:val="auto"/>
        </w:rPr>
      </w:pPr>
      <w:r>
        <w:rPr>
          <w:rFonts w:ascii="Arial" w:cs="Arial" w:eastAsia="Arial" w:hAnsi="Arial"/>
          <w:sz w:val="12"/>
          <w:szCs w:val="12"/>
          <w:color w:val="auto"/>
        </w:rPr>
        <w:t>Benefits continuation amounts are based on the actual expense for financial reporting purposes for the year ended December 31, 2016 for covering an employee under each our group health plans for the entire year, assuming that the employee elected family coverage under each of these plans, less the minimum contribution required by employees participating in these plans.</w:t>
      </w:r>
    </w:p>
    <w:p>
      <w:pPr>
        <w:spacing w:after="0" w:line="183" w:lineRule="exact"/>
        <w:rPr>
          <w:sz w:val="20"/>
          <w:szCs w:val="20"/>
          <w:color w:val="auto"/>
        </w:rPr>
      </w:pPr>
    </w:p>
    <w:p>
      <w:pPr>
        <w:ind w:left="5" w:right="40"/>
        <w:spacing w:after="0" w:line="249" w:lineRule="auto"/>
        <w:rPr>
          <w:sz w:val="20"/>
          <w:szCs w:val="20"/>
          <w:color w:val="auto"/>
        </w:rPr>
      </w:pPr>
      <w:r>
        <w:rPr>
          <w:rFonts w:ascii="Arial" w:cs="Arial" w:eastAsia="Arial" w:hAnsi="Arial"/>
          <w:sz w:val="15"/>
          <w:szCs w:val="15"/>
          <w:color w:val="auto"/>
        </w:rPr>
        <w:t>The amounts described above do not include payments and benefits to the extent they have been earned prior to the termination of employment or change in control or are provided on a non-discriminatory basis to salaried employees upon termination of employment. These include: accrued salary and vacation pay; earned and accrued, but unpaid, bonuses; distribution of plan balances under our 401(k) plan; life insurance proceeds in the event of death; and disability insurance payouts in the event of disability. All of the cash severance payments described below are to be made as lump sum payments at the time of termination; provided that, to the extent necessary to avoid the imposition of an additional tax under Section 409A of the IRC, the payments are to be delayed until six months after termination, during which time the payments will accrue interest at the rate of 5% per annum. As a result of provisions in the named executive officers’ employment agreements, in the event that any payment or benefit to be paid or provided to an executive set forth above would have been subject to the excise tax under Sections 280G of the IRC, the payments and benefits to such executive would have been reduced to the extent necessary to avoid the imposition of such excise tax, but only if such reduction would result in a greater after-tax benefit to the executive. The amounts set forth in the table above have not been adjusted to reflect any such reduction that might be applicable.</w:t>
      </w:r>
    </w:p>
    <w:p>
      <w:pPr>
        <w:spacing w:after="0" w:line="153"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325889"/>
        </w:rPr>
        <w:t>Compensation Committee Interlocks and Insider Participation</w:t>
      </w:r>
    </w:p>
    <w:p>
      <w:pPr>
        <w:spacing w:after="0" w:line="212" w:lineRule="exact"/>
        <w:rPr>
          <w:sz w:val="20"/>
          <w:szCs w:val="20"/>
          <w:color w:val="auto"/>
        </w:rPr>
      </w:pPr>
    </w:p>
    <w:p>
      <w:pPr>
        <w:ind w:left="5" w:right="200"/>
        <w:spacing w:after="0" w:line="265" w:lineRule="auto"/>
        <w:rPr>
          <w:sz w:val="20"/>
          <w:szCs w:val="20"/>
          <w:color w:val="auto"/>
        </w:rPr>
      </w:pPr>
      <w:r>
        <w:rPr>
          <w:rFonts w:ascii="Arial" w:cs="Arial" w:eastAsia="Arial" w:hAnsi="Arial"/>
          <w:sz w:val="15"/>
          <w:szCs w:val="15"/>
          <w:color w:val="auto"/>
        </w:rPr>
        <w:t>Our Compensation Committee is comprised of John H. Alschuler, Edwin Thomas Burton, III and John S. Levy. There are no Compensation Committee interlocks and none of our employees is a member of our Compensation Committee.</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2017 Proxy Statement </w:t>
      </w:r>
      <w:r>
        <w:rPr>
          <w:rFonts w:ascii="Arial" w:cs="Arial" w:eastAsia="Arial" w:hAnsi="Arial"/>
          <w:sz w:val="15"/>
          <w:szCs w:val="15"/>
          <w:color w:val="325889"/>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83450" cy="203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5"/>
          </w:cols>
          <w:pgMar w:left="235" w:top="528" w:right="219" w:bottom="1440" w:gutter="0" w:footer="0" w:header="0"/>
        </w:sectPr>
      </w:pPr>
    </w:p>
    <w:bookmarkStart w:id="51" w:name="page52"/>
    <w:bookmarkEnd w:id="51"/>
    <w:p>
      <w:pPr>
        <w:ind w:left="5"/>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178" w:lineRule="exact"/>
        <w:rPr>
          <w:sz w:val="20"/>
          <w:szCs w:val="20"/>
          <w:color w:val="auto"/>
        </w:rPr>
      </w:pPr>
    </w:p>
    <w:p>
      <w:pPr>
        <w:ind w:left="5"/>
        <w:spacing w:after="0"/>
        <w:rPr>
          <w:sz w:val="20"/>
          <w:szCs w:val="20"/>
          <w:color w:val="auto"/>
        </w:rPr>
      </w:pPr>
      <w:r>
        <w:rPr>
          <w:rFonts w:ascii="Arial" w:cs="Arial" w:eastAsia="Arial" w:hAnsi="Arial"/>
          <w:sz w:val="28"/>
          <w:szCs w:val="28"/>
          <w:b w:val="1"/>
          <w:bCs w:val="1"/>
          <w:color w:val="325889"/>
        </w:rPr>
        <w:t>CHARTER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7263130" cy="49123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3130" cy="4912360"/>
                    </a:xfrm>
                    <a:prstGeom prst="rect">
                      <a:avLst/>
                    </a:prstGeom>
                    <a:noFill/>
                  </pic:spPr>
                </pic:pic>
              </a:graphicData>
            </a:graphic>
          </wp:anchor>
        </w:drawing>
      </w:r>
    </w:p>
    <w:p>
      <w:pPr>
        <w:spacing w:after="0" w:line="257" w:lineRule="exact"/>
        <w:rPr>
          <w:sz w:val="20"/>
          <w:szCs w:val="20"/>
          <w:color w:val="auto"/>
        </w:rPr>
      </w:pPr>
    </w:p>
    <w:p>
      <w:pPr>
        <w:ind w:left="85"/>
        <w:spacing w:after="0"/>
        <w:rPr>
          <w:sz w:val="20"/>
          <w:szCs w:val="20"/>
          <w:color w:val="auto"/>
        </w:rPr>
      </w:pPr>
      <w:r>
        <w:rPr>
          <w:rFonts w:ascii="Arial" w:cs="Arial" w:eastAsia="Arial" w:hAnsi="Arial"/>
          <w:sz w:val="22"/>
          <w:szCs w:val="22"/>
          <w:b w:val="1"/>
          <w:bCs w:val="1"/>
          <w:color w:val="auto"/>
        </w:rPr>
        <w:t>Proposal 3: Charter Amendment to Declassify Board of Directors</w:t>
      </w:r>
    </w:p>
    <w:p>
      <w:pPr>
        <w:spacing w:after="0" w:line="200" w:lineRule="exact"/>
        <w:rPr>
          <w:sz w:val="20"/>
          <w:szCs w:val="20"/>
          <w:color w:val="auto"/>
        </w:rPr>
      </w:pPr>
    </w:p>
    <w:p>
      <w:pPr>
        <w:spacing w:after="0" w:line="235" w:lineRule="exact"/>
        <w:rPr>
          <w:sz w:val="20"/>
          <w:szCs w:val="20"/>
          <w:color w:val="auto"/>
        </w:rPr>
      </w:pPr>
    </w:p>
    <w:p>
      <w:pPr>
        <w:ind w:left="85"/>
        <w:spacing w:after="0"/>
        <w:rPr>
          <w:sz w:val="20"/>
          <w:szCs w:val="20"/>
          <w:color w:val="auto"/>
        </w:rPr>
      </w:pPr>
      <w:r>
        <w:rPr>
          <w:rFonts w:ascii="Arial" w:cs="Arial" w:eastAsia="Arial" w:hAnsi="Arial"/>
          <w:sz w:val="12"/>
          <w:szCs w:val="12"/>
          <w:b w:val="1"/>
          <w:bCs w:val="1"/>
          <w:color w:val="325889"/>
        </w:rPr>
        <w:t>Background of the Proposal</w:t>
      </w:r>
    </w:p>
    <w:p>
      <w:pPr>
        <w:spacing w:after="0" w:line="200" w:lineRule="exact"/>
        <w:rPr>
          <w:sz w:val="20"/>
          <w:szCs w:val="20"/>
          <w:color w:val="auto"/>
        </w:rPr>
      </w:pPr>
    </w:p>
    <w:p>
      <w:pPr>
        <w:ind w:left="85" w:right="100"/>
        <w:spacing w:after="0" w:line="281" w:lineRule="auto"/>
        <w:rPr>
          <w:sz w:val="20"/>
          <w:szCs w:val="20"/>
          <w:color w:val="auto"/>
        </w:rPr>
      </w:pPr>
      <w:r>
        <w:rPr>
          <w:rFonts w:ascii="Arial" w:cs="Arial" w:eastAsia="Arial" w:hAnsi="Arial"/>
          <w:sz w:val="15"/>
          <w:szCs w:val="15"/>
          <w:color w:val="auto"/>
        </w:rPr>
        <w:t>As a result of our stockholder engagement efforts and our commitment to corporate governance, after careful consideration, our Board of Directors has proposed to amend our Articles of Restatement (the “Charter”) to phase out board classes, such that directors whose terms are expiring will be elected for one-year terms starting at the Company’s 2018 annual meeting of stockholders. By our 2020 annual meeting, our Board of Directors will be fully declassified.</w:t>
      </w:r>
    </w:p>
    <w:p>
      <w:pPr>
        <w:spacing w:after="0" w:line="136" w:lineRule="exact"/>
        <w:rPr>
          <w:sz w:val="20"/>
          <w:szCs w:val="20"/>
          <w:color w:val="auto"/>
        </w:rPr>
      </w:pPr>
    </w:p>
    <w:p>
      <w:pPr>
        <w:ind w:left="85"/>
        <w:spacing w:after="0"/>
        <w:rPr>
          <w:sz w:val="20"/>
          <w:szCs w:val="20"/>
          <w:color w:val="auto"/>
        </w:rPr>
      </w:pPr>
      <w:r>
        <w:rPr>
          <w:rFonts w:ascii="Arial" w:cs="Arial" w:eastAsia="Arial" w:hAnsi="Arial"/>
          <w:sz w:val="12"/>
          <w:szCs w:val="12"/>
          <w:b w:val="1"/>
          <w:bCs w:val="1"/>
          <w:color w:val="325889"/>
        </w:rPr>
        <w:t>Proposed Amendment to Charter</w:t>
      </w:r>
    </w:p>
    <w:p>
      <w:pPr>
        <w:spacing w:after="0" w:line="200" w:lineRule="exact"/>
        <w:rPr>
          <w:sz w:val="20"/>
          <w:szCs w:val="20"/>
          <w:color w:val="auto"/>
        </w:rPr>
      </w:pPr>
    </w:p>
    <w:p>
      <w:pPr>
        <w:ind w:left="85" w:right="340"/>
        <w:spacing w:after="0" w:line="265" w:lineRule="auto"/>
        <w:rPr>
          <w:sz w:val="20"/>
          <w:szCs w:val="20"/>
          <w:color w:val="auto"/>
        </w:rPr>
      </w:pPr>
      <w:r>
        <w:rPr>
          <w:rFonts w:ascii="Arial" w:cs="Arial" w:eastAsia="Arial" w:hAnsi="Arial"/>
          <w:sz w:val="15"/>
          <w:szCs w:val="15"/>
          <w:color w:val="auto"/>
        </w:rPr>
        <w:t>Our Charter currently divides our Board of Directors into three classes. Directors in each class serve for a term of three years and until their successors are duly elected and qualify. The term of directors of one class expires at each annual meeting of stockholders.</w:t>
      </w:r>
    </w:p>
    <w:p>
      <w:pPr>
        <w:spacing w:after="0" w:line="165" w:lineRule="exact"/>
        <w:rPr>
          <w:sz w:val="20"/>
          <w:szCs w:val="20"/>
          <w:color w:val="auto"/>
        </w:rPr>
      </w:pPr>
    </w:p>
    <w:p>
      <w:pPr>
        <w:ind w:left="85"/>
        <w:spacing w:after="0" w:line="249" w:lineRule="auto"/>
        <w:rPr>
          <w:sz w:val="20"/>
          <w:szCs w:val="20"/>
          <w:color w:val="auto"/>
        </w:rPr>
      </w:pPr>
      <w:r>
        <w:rPr>
          <w:rFonts w:ascii="Arial" w:cs="Arial" w:eastAsia="Arial" w:hAnsi="Arial"/>
          <w:sz w:val="15"/>
          <w:szCs w:val="15"/>
          <w:color w:val="auto"/>
        </w:rPr>
        <w:t xml:space="preserve">In order to phase out the present three-year staggered terms of our directors and instead provide for the annual election of directors, Section 1 of Article IV of our Charter will need to be amended. Amendments to our Charter must be declared advisable by resolution duly adopted by our Board of Directors, and approved by our stockholders at an annual or special meeting by the affirmative vote of not less than two-thirds of all of the votes entitled to be cast on the matter, and once approved by the stockholders, such amendment will become effective upon filing with, and acceptance for record by, the State Department of Assessments and Taxation of Maryland (the “SDAT”) of articles of amendment setting forth the amendment. By resolutions adopted as of April 20, 2017, the Board of Directors declared advisable the amendment to our Charter set forth on </w:t>
      </w:r>
      <w:r>
        <w:rPr>
          <w:rFonts w:ascii="Arial" w:cs="Arial" w:eastAsia="Arial" w:hAnsi="Arial"/>
          <w:sz w:val="15"/>
          <w:szCs w:val="15"/>
          <w:u w:val="single" w:color="auto"/>
          <w:color w:val="auto"/>
        </w:rPr>
        <w:t>Appendix B</w:t>
      </w:r>
      <w:r>
        <w:rPr>
          <w:rFonts w:ascii="Arial" w:cs="Arial" w:eastAsia="Arial" w:hAnsi="Arial"/>
          <w:sz w:val="15"/>
          <w:szCs w:val="15"/>
          <w:color w:val="auto"/>
        </w:rPr>
        <w:t xml:space="preserve"> attached hereto which provides that, beginning with the 2018 annual meeting of stockholders, our directors will be elected for a term ending at the next annual meeting of stockholders following their election and until their successors are duly elected and qualify, and directed that this amendment to our Charter be submitted for consideration by our stockholders at the 2017 annual meeting of stockholders. This amendment is not intended to, and will not, abrogate, shorten or otherwise affect the term of any director elected prior to the 2018 annual meeting of stockholders, including those directors who currently are candidates for election as set forth in Proposal 1.</w:t>
      </w:r>
    </w:p>
    <w:p>
      <w:pPr>
        <w:spacing w:after="0" w:line="163" w:lineRule="exact"/>
        <w:rPr>
          <w:sz w:val="20"/>
          <w:szCs w:val="20"/>
          <w:color w:val="auto"/>
        </w:rPr>
      </w:pPr>
    </w:p>
    <w:p>
      <w:pPr>
        <w:ind w:left="85"/>
        <w:spacing w:after="0"/>
        <w:rPr>
          <w:sz w:val="20"/>
          <w:szCs w:val="20"/>
          <w:color w:val="auto"/>
        </w:rPr>
      </w:pPr>
      <w:r>
        <w:rPr>
          <w:rFonts w:ascii="Arial" w:cs="Arial" w:eastAsia="Arial" w:hAnsi="Arial"/>
          <w:sz w:val="12"/>
          <w:szCs w:val="12"/>
          <w:b w:val="1"/>
          <w:bCs w:val="1"/>
          <w:color w:val="325889"/>
        </w:rPr>
        <w:t>Effective Date</w:t>
      </w:r>
    </w:p>
    <w:p>
      <w:pPr>
        <w:spacing w:after="0" w:line="200" w:lineRule="exact"/>
        <w:rPr>
          <w:sz w:val="20"/>
          <w:szCs w:val="20"/>
          <w:color w:val="auto"/>
        </w:rPr>
      </w:pPr>
    </w:p>
    <w:p>
      <w:pPr>
        <w:ind w:left="85" w:right="20"/>
        <w:spacing w:after="0" w:line="252" w:lineRule="auto"/>
        <w:rPr>
          <w:sz w:val="20"/>
          <w:szCs w:val="20"/>
          <w:color w:val="auto"/>
        </w:rPr>
      </w:pPr>
      <w:r>
        <w:rPr>
          <w:rFonts w:ascii="Arial" w:cs="Arial" w:eastAsia="Arial" w:hAnsi="Arial"/>
          <w:sz w:val="15"/>
          <w:szCs w:val="15"/>
          <w:color w:val="auto"/>
        </w:rPr>
        <w:t>If the amendment to our Charter is approved by the stockholders of the Company by the requisite vote at the annual meeting, then following the annual meeting, articles of amendment setting forth such amendment will be filed with, and will become effective upon acceptance by, the SDAT. Once the amendment to our Charter becomes effective, the directors whose terms of office expire at annual meetings of stockholders subsequent to the annual meeting, and any successors to such directors, will be elected to hold office until the next annual meeting of stockholders following their election instead of the third-succeeding annual meeting, and until their successors are duly elected and qualify.</w:t>
      </w:r>
    </w:p>
    <w:p>
      <w:pPr>
        <w:spacing w:after="0" w:line="157" w:lineRule="exact"/>
        <w:rPr>
          <w:sz w:val="20"/>
          <w:szCs w:val="20"/>
          <w:color w:val="auto"/>
        </w:rPr>
      </w:pPr>
    </w:p>
    <w:p>
      <w:pPr>
        <w:ind w:left="85"/>
        <w:spacing w:after="0"/>
        <w:rPr>
          <w:sz w:val="20"/>
          <w:szCs w:val="20"/>
          <w:color w:val="auto"/>
        </w:rPr>
      </w:pPr>
      <w:r>
        <w:rPr>
          <w:rFonts w:ascii="Arial" w:cs="Arial" w:eastAsia="Arial" w:hAnsi="Arial"/>
          <w:sz w:val="12"/>
          <w:szCs w:val="12"/>
          <w:b w:val="1"/>
          <w:bCs w:val="1"/>
          <w:color w:val="325889"/>
        </w:rPr>
        <w:t>Vote Required</w:t>
      </w:r>
    </w:p>
    <w:p>
      <w:pPr>
        <w:spacing w:after="0" w:line="200" w:lineRule="exact"/>
        <w:rPr>
          <w:sz w:val="20"/>
          <w:szCs w:val="20"/>
          <w:color w:val="auto"/>
        </w:rPr>
      </w:pPr>
    </w:p>
    <w:p>
      <w:pPr>
        <w:ind w:left="85"/>
        <w:spacing w:after="0" w:line="256" w:lineRule="auto"/>
        <w:rPr>
          <w:sz w:val="20"/>
          <w:szCs w:val="20"/>
          <w:color w:val="auto"/>
        </w:rPr>
      </w:pPr>
      <w:r>
        <w:rPr>
          <w:rFonts w:ascii="Arial" w:cs="Arial" w:eastAsia="Arial" w:hAnsi="Arial"/>
          <w:sz w:val="15"/>
          <w:szCs w:val="15"/>
          <w:color w:val="auto"/>
        </w:rPr>
        <w:t>The affirmative vote of at least two-thirds of all of the votes entitled to be cast by the stockholders on this proposal at the annual meeting is required for approval of the amendment of our Charter to effect the declassification of our Board of Directors. Abstentions and broker non-votes (as described under “Questions and Answers about the Annual Meeting — What vote is required to approve each proposal?”), if any, will have the same effect as votes against the proposal.</w:t>
      </w:r>
    </w:p>
    <w:p>
      <w:pPr>
        <w:spacing w:after="0" w:line="215" w:lineRule="exact"/>
        <w:rPr>
          <w:sz w:val="20"/>
          <w:szCs w:val="20"/>
          <w:color w:val="auto"/>
        </w:rPr>
      </w:pPr>
    </w:p>
    <w:p>
      <w:pPr>
        <w:jc w:val="center"/>
        <w:ind w:left="360" w:right="360"/>
        <w:spacing w:after="0" w:line="277" w:lineRule="auto"/>
        <w:rPr>
          <w:sz w:val="20"/>
          <w:szCs w:val="20"/>
          <w:color w:val="auto"/>
        </w:rPr>
      </w:pPr>
      <w:r>
        <w:rPr>
          <w:rFonts w:ascii="Arial" w:cs="Arial" w:eastAsia="Arial" w:hAnsi="Arial"/>
          <w:sz w:val="17"/>
          <w:szCs w:val="17"/>
          <w:b w:val="1"/>
          <w:bCs w:val="1"/>
          <w:color w:val="325889"/>
        </w:rPr>
        <w:t xml:space="preserve">The Board unanimously recommends a vote </w:t>
      </w:r>
      <w:r>
        <w:rPr>
          <w:rFonts w:ascii="Arial" w:cs="Arial" w:eastAsia="Arial" w:hAnsi="Arial"/>
          <w:sz w:val="17"/>
          <w:szCs w:val="17"/>
          <w:b w:val="1"/>
          <w:bCs w:val="1"/>
          <w:color w:val="000000"/>
        </w:rPr>
        <w:t>“FOR”</w:t>
      </w:r>
      <w:r>
        <w:rPr>
          <w:rFonts w:ascii="Arial" w:cs="Arial" w:eastAsia="Arial" w:hAnsi="Arial"/>
          <w:sz w:val="17"/>
          <w:szCs w:val="17"/>
          <w:b w:val="1"/>
          <w:bCs w:val="1"/>
          <w:color w:val="325889"/>
        </w:rPr>
        <w:t xml:space="preserve"> the amendment of our Charter to effect the declassification of our Board of Directors.</w:t>
      </w:r>
    </w:p>
    <w:p>
      <w:pPr>
        <w:spacing w:after="0" w:line="200" w:lineRule="exact"/>
        <w:rPr>
          <w:sz w:val="20"/>
          <w:szCs w:val="20"/>
          <w:color w:val="auto"/>
        </w:rPr>
      </w:pPr>
    </w:p>
    <w:p>
      <w:pPr>
        <w:spacing w:after="0" w:line="338" w:lineRule="exact"/>
        <w:rPr>
          <w:sz w:val="20"/>
          <w:szCs w:val="20"/>
          <w:color w:val="auto"/>
        </w:rPr>
      </w:pPr>
    </w:p>
    <w:p>
      <w:pPr>
        <w:ind w:left="265" w:hanging="265"/>
        <w:spacing w:after="0"/>
        <w:tabs>
          <w:tab w:leader="none" w:pos="265" w:val="left"/>
        </w:tabs>
        <w:numPr>
          <w:ilvl w:val="0"/>
          <w:numId w:val="71"/>
        </w:numPr>
        <w:rPr>
          <w:rFonts w:ascii="Arial" w:cs="Arial" w:eastAsia="Arial" w:hAnsi="Arial"/>
          <w:sz w:val="15"/>
          <w:szCs w:val="15"/>
          <w:color w:val="325889"/>
        </w:rPr>
      </w:pPr>
      <w:r>
        <w:rPr>
          <w:rFonts w:ascii="Arial" w:cs="Arial" w:eastAsia="Arial" w:hAnsi="Arial"/>
          <w:sz w:val="15"/>
          <w:szCs w:val="15"/>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83450" cy="203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325"/>
          </w:cols>
          <w:pgMar w:left="235" w:top="528" w:right="339" w:bottom="1440" w:gutter="0" w:footer="0" w:header="0"/>
        </w:sectPr>
      </w:pPr>
    </w:p>
    <w:bookmarkStart w:id="52" w:name="page53"/>
    <w:bookmarkEnd w:id="52"/>
    <w:p>
      <w:pPr>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178" w:lineRule="exact"/>
        <w:rPr>
          <w:sz w:val="20"/>
          <w:szCs w:val="20"/>
          <w:color w:val="auto"/>
        </w:rPr>
      </w:pPr>
    </w:p>
    <w:p>
      <w:pPr>
        <w:spacing w:after="0"/>
        <w:rPr>
          <w:sz w:val="20"/>
          <w:szCs w:val="20"/>
          <w:color w:val="auto"/>
        </w:rPr>
      </w:pPr>
      <w:r>
        <w:rPr>
          <w:rFonts w:ascii="Arial" w:cs="Arial" w:eastAsia="Arial" w:hAnsi="Arial"/>
          <w:sz w:val="28"/>
          <w:szCs w:val="28"/>
          <w:b w:val="1"/>
          <w:bCs w:val="1"/>
          <w:color w:val="325889"/>
        </w:rPr>
        <w:t>AUDIT COMMITTEE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63130" cy="26822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3130" cy="2682240"/>
                    </a:xfrm>
                    <a:prstGeom prst="rect">
                      <a:avLst/>
                    </a:prstGeom>
                    <a:noFill/>
                  </pic:spPr>
                </pic:pic>
              </a:graphicData>
            </a:graphic>
          </wp:anchor>
        </w:drawing>
      </w:r>
    </w:p>
    <w:p>
      <w:pPr>
        <w:spacing w:after="0" w:line="257"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Proposal 4: Ratification of Appointment of Independent Registered Public Accounting Firm</w:t>
      </w:r>
    </w:p>
    <w:p>
      <w:pPr>
        <w:spacing w:after="0" w:line="239" w:lineRule="exact"/>
        <w:rPr>
          <w:sz w:val="20"/>
          <w:szCs w:val="20"/>
          <w:color w:val="auto"/>
        </w:rPr>
      </w:pPr>
    </w:p>
    <w:p>
      <w:pPr>
        <w:ind w:left="80" w:right="200"/>
        <w:spacing w:after="0" w:line="249" w:lineRule="auto"/>
        <w:rPr>
          <w:sz w:val="20"/>
          <w:szCs w:val="20"/>
          <w:color w:val="auto"/>
        </w:rPr>
      </w:pPr>
      <w:r>
        <w:rPr>
          <w:rFonts w:ascii="Arial" w:cs="Arial" w:eastAsia="Arial" w:hAnsi="Arial"/>
          <w:sz w:val="15"/>
          <w:szCs w:val="15"/>
          <w:color w:val="auto"/>
        </w:rPr>
        <w:t>The Audit Committee of the Board has appointed the accounting firm of Ernst &amp; Young LLP to serve as our independent registered public accounting firm for the fiscal year ending December 31, 2017. Stockholder ratification of the appointment of Ernst &amp; Young LLP is not required by law, the NYSE or the Company’s organizational documents. However, as a matter of good corporate governance, the Board has elected to submit the appointment of Ernst &amp; Young LLP to the stockholders for ratification at the 2017 annual meeting. Even if the appointment is ratified, the Audit Committee, in its discretion, may select a different independent registered public accounting firm at any time if the Audit Committee believes that such a change would be in the best interests of the Company and its stockholders. If our stockholders do not ratify the appointment of Ernst &amp; Young LLP, the Audit Committee will take that fact into consideration, together with such other factors it deems relevant, in determining its next selection of an independent registered public accounting firm. Ernst &amp; Young LLP has served as our independent registered public accounting firm since our formation in June 1997 and is considered by our management to be well-qualified. Ernst &amp; Young LLP has advised us that neither it nor any member thereof has any financial interest, direct or indirect, in the Company or any of our subsidiaries in any capacity.</w:t>
      </w:r>
    </w:p>
    <w:p>
      <w:pPr>
        <w:spacing w:after="0" w:line="181" w:lineRule="exact"/>
        <w:rPr>
          <w:sz w:val="20"/>
          <w:szCs w:val="20"/>
          <w:color w:val="auto"/>
        </w:rPr>
      </w:pPr>
    </w:p>
    <w:p>
      <w:pPr>
        <w:ind w:left="80" w:right="200"/>
        <w:spacing w:after="0" w:line="265" w:lineRule="auto"/>
        <w:rPr>
          <w:sz w:val="20"/>
          <w:szCs w:val="20"/>
          <w:color w:val="auto"/>
        </w:rPr>
      </w:pPr>
      <w:r>
        <w:rPr>
          <w:rFonts w:ascii="Arial" w:cs="Arial" w:eastAsia="Arial" w:hAnsi="Arial"/>
          <w:sz w:val="15"/>
          <w:szCs w:val="15"/>
          <w:color w:val="auto"/>
        </w:rPr>
        <w:t>A representative of Ernst &amp; Young LLP will be present at the annual meeting, will be given the opportunity to make a statement at the annual meeting if he or she so desires and will be available to respond to appropriate questions.</w:t>
      </w:r>
    </w:p>
    <w:p>
      <w:pPr>
        <w:spacing w:after="0" w:line="165" w:lineRule="exact"/>
        <w:rPr>
          <w:sz w:val="20"/>
          <w:szCs w:val="20"/>
          <w:color w:val="auto"/>
        </w:rPr>
      </w:pPr>
    </w:p>
    <w:p>
      <w:pPr>
        <w:ind w:left="80" w:right="260"/>
        <w:spacing w:after="0" w:line="256" w:lineRule="auto"/>
        <w:rPr>
          <w:sz w:val="20"/>
          <w:szCs w:val="20"/>
          <w:color w:val="auto"/>
        </w:rPr>
      </w:pPr>
      <w:r>
        <w:rPr>
          <w:rFonts w:ascii="Arial" w:cs="Arial" w:eastAsia="Arial" w:hAnsi="Arial"/>
          <w:sz w:val="15"/>
          <w:szCs w:val="15"/>
          <w:color w:val="auto"/>
        </w:rPr>
        <w:t>A majority of all of the votes cast with respect to this proposal is required for the ratification of the appointment of Ernst &amp; Young LLP as our independent registered public accounting firm for the fiscal year ending December 31, 2017. Abstentions do not constitute a vote “for” or “against” and will not be counted as “votes cast”. Therefore, abstentions will have no effect on this proposal.</w:t>
      </w:r>
    </w:p>
    <w:p>
      <w:pPr>
        <w:spacing w:after="0" w:line="215" w:lineRule="exact"/>
        <w:rPr>
          <w:sz w:val="20"/>
          <w:szCs w:val="20"/>
          <w:color w:val="auto"/>
        </w:rPr>
      </w:pPr>
    </w:p>
    <w:p>
      <w:pPr>
        <w:jc w:val="center"/>
        <w:spacing w:after="0" w:line="277" w:lineRule="auto"/>
        <w:rPr>
          <w:sz w:val="20"/>
          <w:szCs w:val="20"/>
          <w:color w:val="auto"/>
        </w:rPr>
      </w:pPr>
      <w:r>
        <w:rPr>
          <w:rFonts w:ascii="Arial" w:cs="Arial" w:eastAsia="Arial" w:hAnsi="Arial"/>
          <w:sz w:val="17"/>
          <w:szCs w:val="17"/>
          <w:b w:val="1"/>
          <w:bCs w:val="1"/>
          <w:color w:val="325889"/>
        </w:rPr>
        <w:t xml:space="preserve">The Board unanimously recommends a vote </w:t>
      </w:r>
      <w:r>
        <w:rPr>
          <w:rFonts w:ascii="Arial" w:cs="Arial" w:eastAsia="Arial" w:hAnsi="Arial"/>
          <w:sz w:val="17"/>
          <w:szCs w:val="17"/>
          <w:b w:val="1"/>
          <w:bCs w:val="1"/>
          <w:color w:val="000000"/>
        </w:rPr>
        <w:t>“FOR”</w:t>
      </w:r>
      <w:r>
        <w:rPr>
          <w:rFonts w:ascii="Arial" w:cs="Arial" w:eastAsia="Arial" w:hAnsi="Arial"/>
          <w:sz w:val="17"/>
          <w:szCs w:val="17"/>
          <w:b w:val="1"/>
          <w:bCs w:val="1"/>
          <w:color w:val="325889"/>
        </w:rPr>
        <w:t xml:space="preserve"> the ratification of the appointment of Ernst &amp; Young LLP as our independent registered public accounting firm.</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22225</wp:posOffset>
            </wp:positionV>
            <wp:extent cx="726313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pacing w:after="0" w:line="219" w:lineRule="exact"/>
        <w:rPr>
          <w:sz w:val="20"/>
          <w:szCs w:val="20"/>
          <w:color w:val="auto"/>
        </w:rPr>
      </w:pPr>
    </w:p>
    <w:p>
      <w:pPr>
        <w:ind w:right="280"/>
        <w:spacing w:after="0" w:line="256" w:lineRule="auto"/>
        <w:rPr>
          <w:sz w:val="20"/>
          <w:szCs w:val="20"/>
          <w:color w:val="auto"/>
        </w:rPr>
      </w:pPr>
      <w:r>
        <w:rPr>
          <w:rFonts w:ascii="Arial" w:cs="Arial" w:eastAsia="Arial" w:hAnsi="Arial"/>
          <w:sz w:val="15"/>
          <w:szCs w:val="15"/>
          <w:color w:val="auto"/>
        </w:rPr>
        <w:t>The following report of the Audit Committee of the Board will not be deemed to be incorporated by reference in any previous or future documents filed by us with the SEC under the Securities Act of 1933, as amended, or the Securities Exchange Act of 1934, as amended, except to the extent that we specifically incorporate this report by reference in any such document.</w:t>
      </w:r>
    </w:p>
    <w:p>
      <w:pPr>
        <w:spacing w:after="0" w:line="172" w:lineRule="exact"/>
        <w:rPr>
          <w:sz w:val="20"/>
          <w:szCs w:val="20"/>
          <w:color w:val="auto"/>
        </w:rPr>
      </w:pPr>
    </w:p>
    <w:p>
      <w:pPr>
        <w:jc w:val="both"/>
        <w:ind w:right="120"/>
        <w:spacing w:after="0" w:line="253" w:lineRule="auto"/>
        <w:rPr>
          <w:sz w:val="20"/>
          <w:szCs w:val="20"/>
          <w:color w:val="auto"/>
        </w:rPr>
      </w:pPr>
      <w:r>
        <w:rPr>
          <w:rFonts w:ascii="Arial" w:cs="Arial" w:eastAsia="Arial" w:hAnsi="Arial"/>
          <w:sz w:val="15"/>
          <w:szCs w:val="15"/>
          <w:color w:val="auto"/>
        </w:rPr>
        <w:t>Our Audit Committee oversees our financial reporting process on behalf of the Board, in accordance with our Audit Committee Charter. Management has the primary responsibility for the preparation, presentation and integrity of our financial statements, accounting and financial reporting principles, internal controls, and procedures designed to ensure compliance with accounting standards, applicable laws and regulations. In fulfilling its oversight responsibilities, our Audit Committee reviewed and discussed the audited financial statements in the Annual Report on Form 10-K for the year ended December 31, 2016 filed by the Company with management.</w:t>
      </w:r>
    </w:p>
    <w:p>
      <w:pPr>
        <w:spacing w:after="0" w:line="174" w:lineRule="exact"/>
        <w:rPr>
          <w:sz w:val="20"/>
          <w:szCs w:val="20"/>
          <w:color w:val="auto"/>
        </w:rPr>
      </w:pPr>
    </w:p>
    <w:p>
      <w:pPr>
        <w:ind w:right="60"/>
        <w:spacing w:after="0" w:line="253" w:lineRule="auto"/>
        <w:rPr>
          <w:sz w:val="20"/>
          <w:szCs w:val="20"/>
          <w:color w:val="auto"/>
        </w:rPr>
      </w:pPr>
      <w:r>
        <w:rPr>
          <w:rFonts w:ascii="Arial" w:cs="Arial" w:eastAsia="Arial" w:hAnsi="Arial"/>
          <w:sz w:val="15"/>
          <w:szCs w:val="15"/>
          <w:color w:val="auto"/>
        </w:rPr>
        <w:t>Our Audit Committee reviewed and discussed with Ernst &amp; Young LLP, our independent registered public accounting firm, the matters required to be discussed with the Audit Committee under Auditing Standard No. 1301, “Communications with Audit Committees,” as adopted by the Public Company Accounting Oversight Board. Our Audit Committee received from Ernst &amp; Young LLP the written disclosures and the letter required by the applicable requirements of the Public Company Accounting Oversight Board regarding communications with the Audit Committee concerning independence, and has discussed with Ernst &amp; Young LLP their independence.</w:t>
      </w:r>
    </w:p>
    <w:p>
      <w:pPr>
        <w:spacing w:after="0" w:line="174" w:lineRule="exact"/>
        <w:rPr>
          <w:sz w:val="20"/>
          <w:szCs w:val="20"/>
          <w:color w:val="auto"/>
        </w:rPr>
      </w:pPr>
    </w:p>
    <w:p>
      <w:pPr>
        <w:ind w:right="520"/>
        <w:spacing w:after="0" w:line="265" w:lineRule="auto"/>
        <w:rPr>
          <w:sz w:val="20"/>
          <w:szCs w:val="20"/>
          <w:color w:val="auto"/>
        </w:rPr>
      </w:pPr>
      <w:r>
        <w:rPr>
          <w:rFonts w:ascii="Arial" w:cs="Arial" w:eastAsia="Arial" w:hAnsi="Arial"/>
          <w:sz w:val="15"/>
          <w:szCs w:val="15"/>
          <w:color w:val="auto"/>
        </w:rPr>
        <w:t>Based on the review and discussions referred to above, our Audit Committee recommended to the Board that the audited financial statements be included in the Annual Report on Form 10-K for the year ended December 31, 2016 filed by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The members of our Audit Committee are not engaged professionally in the practice of auditing or accounting. Committee members rely, without independent</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2017 Proxy Statement </w:t>
      </w:r>
      <w:r>
        <w:rPr>
          <w:rFonts w:ascii="Arial" w:cs="Arial" w:eastAsia="Arial" w:hAnsi="Arial"/>
          <w:sz w:val="15"/>
          <w:szCs w:val="15"/>
          <w:color w:val="325889"/>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83450" cy="203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0"/>
          </w:cols>
          <w:pgMar w:left="240" w:top="528" w:right="219" w:bottom="1440" w:gutter="0" w:footer="0" w:header="0"/>
        </w:sectPr>
      </w:pPr>
    </w:p>
    <w:bookmarkStart w:id="53" w:name="page54"/>
    <w:bookmarkEnd w:id="53"/>
    <w:p>
      <w:pPr>
        <w:ind w:left="5"/>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ind w:left="5"/>
        <w:spacing w:after="0"/>
        <w:rPr>
          <w:sz w:val="20"/>
          <w:szCs w:val="20"/>
          <w:color w:val="auto"/>
        </w:rPr>
      </w:pPr>
      <w:r>
        <w:rPr>
          <w:rFonts w:ascii="Arial" w:cs="Arial" w:eastAsia="Arial" w:hAnsi="Arial"/>
          <w:sz w:val="15"/>
          <w:szCs w:val="15"/>
          <w:u w:val="single" w:color="auto"/>
          <w:color w:val="325889"/>
        </w:rPr>
        <w:t>AUDIT COMMITTEE MATTERS</w:t>
      </w:r>
    </w:p>
    <w:p>
      <w:pPr>
        <w:spacing w:after="0" w:line="195" w:lineRule="exact"/>
        <w:rPr>
          <w:sz w:val="20"/>
          <w:szCs w:val="20"/>
          <w:color w:val="auto"/>
        </w:rPr>
      </w:pPr>
    </w:p>
    <w:p>
      <w:pPr>
        <w:ind w:left="5" w:right="200"/>
        <w:spacing w:after="0" w:line="251" w:lineRule="auto"/>
        <w:rPr>
          <w:sz w:val="20"/>
          <w:szCs w:val="20"/>
          <w:color w:val="auto"/>
        </w:rPr>
      </w:pPr>
      <w:r>
        <w:rPr>
          <w:rFonts w:ascii="Arial" w:cs="Arial" w:eastAsia="Arial" w:hAnsi="Arial"/>
          <w:sz w:val="15"/>
          <w:szCs w:val="15"/>
          <w:color w:val="auto"/>
        </w:rPr>
        <w:t>investigation or verification, on the information provided to them and on the representations made by management and our independent registered public accounting firm. Accordingly, our Audit Committee’s oversight does not provide an independent basis to determine that management has maintained appropriate accounting and financial reporting principles or appropriate internal controls and procedures designed to assure compliance with accounting standards and applicable laws and regulations. Furthermore, our Audit Committee’s considerations and discussions referred to above do not assure that the audit of our financial statements has been carried out in accordance with the standards of the Public Company Accounting Oversight Board, that the financial statements are presented in accordance with accounting principles generally accepted in the U.S. or that our registered public accounting firm is in fact “independent.”</w:t>
      </w:r>
    </w:p>
    <w:p>
      <w:pPr>
        <w:spacing w:after="0" w:line="175" w:lineRule="exact"/>
        <w:rPr>
          <w:sz w:val="20"/>
          <w:szCs w:val="20"/>
          <w:color w:val="auto"/>
        </w:rPr>
      </w:pPr>
    </w:p>
    <w:p>
      <w:pPr>
        <w:ind w:left="5"/>
        <w:spacing w:after="0"/>
        <w:rPr>
          <w:sz w:val="20"/>
          <w:szCs w:val="20"/>
          <w:color w:val="auto"/>
        </w:rPr>
      </w:pPr>
      <w:r>
        <w:rPr>
          <w:rFonts w:ascii="Arial" w:cs="Arial" w:eastAsia="Arial" w:hAnsi="Arial"/>
          <w:sz w:val="15"/>
          <w:szCs w:val="15"/>
          <w:color w:val="auto"/>
        </w:rPr>
        <w:t>Submitted by our Audit Committee</w:t>
      </w:r>
    </w:p>
    <w:p>
      <w:pPr>
        <w:spacing w:after="0" w:line="5" w:lineRule="exact"/>
        <w:rPr>
          <w:sz w:val="20"/>
          <w:szCs w:val="20"/>
          <w:color w:val="auto"/>
        </w:rPr>
      </w:pPr>
    </w:p>
    <w:p>
      <w:pPr>
        <w:ind w:left="5"/>
        <w:spacing w:after="0"/>
        <w:rPr>
          <w:sz w:val="20"/>
          <w:szCs w:val="20"/>
          <w:color w:val="auto"/>
        </w:rPr>
      </w:pPr>
      <w:r>
        <w:rPr>
          <w:rFonts w:ascii="Arial" w:cs="Arial" w:eastAsia="Arial" w:hAnsi="Arial"/>
          <w:sz w:val="15"/>
          <w:szCs w:val="15"/>
          <w:color w:val="auto"/>
        </w:rPr>
        <w:t>Edwin Thomas Burton, III (Chairman)</w:t>
      </w:r>
    </w:p>
    <w:p>
      <w:pPr>
        <w:spacing w:after="0" w:line="5" w:lineRule="exact"/>
        <w:rPr>
          <w:sz w:val="20"/>
          <w:szCs w:val="20"/>
          <w:color w:val="auto"/>
        </w:rPr>
      </w:pPr>
    </w:p>
    <w:p>
      <w:pPr>
        <w:ind w:left="5"/>
        <w:spacing w:after="0"/>
        <w:rPr>
          <w:sz w:val="20"/>
          <w:szCs w:val="20"/>
          <w:color w:val="auto"/>
        </w:rPr>
      </w:pPr>
      <w:r>
        <w:rPr>
          <w:rFonts w:ascii="Arial" w:cs="Arial" w:eastAsia="Arial" w:hAnsi="Arial"/>
          <w:sz w:val="15"/>
          <w:szCs w:val="15"/>
          <w:color w:val="auto"/>
        </w:rPr>
        <w:t>Lauren B. Dillard</w:t>
      </w:r>
    </w:p>
    <w:p>
      <w:pPr>
        <w:spacing w:after="0" w:line="5" w:lineRule="exact"/>
        <w:rPr>
          <w:sz w:val="20"/>
          <w:szCs w:val="20"/>
          <w:color w:val="auto"/>
        </w:rPr>
      </w:pPr>
    </w:p>
    <w:p>
      <w:pPr>
        <w:ind w:left="5"/>
        <w:spacing w:after="0"/>
        <w:rPr>
          <w:sz w:val="20"/>
          <w:szCs w:val="20"/>
          <w:color w:val="auto"/>
        </w:rPr>
      </w:pPr>
      <w:r>
        <w:rPr>
          <w:rFonts w:ascii="Arial" w:cs="Arial" w:eastAsia="Arial" w:hAnsi="Arial"/>
          <w:sz w:val="15"/>
          <w:szCs w:val="15"/>
          <w:color w:val="auto"/>
        </w:rPr>
        <w:t>Craig M. Hatkoff</w:t>
      </w:r>
    </w:p>
    <w:p>
      <w:pPr>
        <w:spacing w:after="0" w:line="151" w:lineRule="exact"/>
        <w:rPr>
          <w:sz w:val="20"/>
          <w:szCs w:val="20"/>
          <w:color w:val="auto"/>
        </w:rPr>
      </w:pPr>
    </w:p>
    <w:p>
      <w:pPr>
        <w:ind w:left="5"/>
        <w:spacing w:after="0"/>
        <w:rPr>
          <w:sz w:val="20"/>
          <w:szCs w:val="20"/>
          <w:color w:val="auto"/>
        </w:rPr>
      </w:pPr>
      <w:r>
        <w:rPr>
          <w:rFonts w:ascii="Arial" w:cs="Arial" w:eastAsia="Arial" w:hAnsi="Arial"/>
          <w:sz w:val="21"/>
          <w:szCs w:val="21"/>
          <w:b w:val="1"/>
          <w:bCs w:val="1"/>
          <w:color w:val="auto"/>
        </w:rPr>
        <w:t>Fee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26313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325889"/>
        </w:rPr>
        <w:t>Audit Fees</w:t>
      </w:r>
    </w:p>
    <w:p>
      <w:pPr>
        <w:spacing w:after="0" w:line="212" w:lineRule="exact"/>
        <w:rPr>
          <w:sz w:val="20"/>
          <w:szCs w:val="20"/>
          <w:color w:val="auto"/>
        </w:rPr>
      </w:pPr>
    </w:p>
    <w:p>
      <w:pPr>
        <w:ind w:left="5"/>
        <w:spacing w:after="0" w:line="252" w:lineRule="auto"/>
        <w:rPr>
          <w:sz w:val="20"/>
          <w:szCs w:val="20"/>
          <w:color w:val="auto"/>
        </w:rPr>
      </w:pPr>
      <w:r>
        <w:rPr>
          <w:rFonts w:ascii="Arial" w:cs="Arial" w:eastAsia="Arial" w:hAnsi="Arial"/>
          <w:sz w:val="15"/>
          <w:szCs w:val="15"/>
          <w:color w:val="auto"/>
        </w:rPr>
        <w:t>Fees, including out-of-pocket expenses, for audit services totaled approximately $3,398,000 in fiscal year 2016 and $4,031,963 in fiscal year 2015. Audit fees include fees associated with our annual audits and related reviews of our annual reports on Form 10-K and quarterly reports on Form 10-Q. In addition, audit fees include Sarbanes-Oxley Section 404 planning and testing, fees for public filings in connection with various property acquisitions, joint venture audits, and services relating to public filings in connection with our preferred and common stock and debt offerings and certain other transactions. Our joint venture partners paid their pro rata share of any joint venture audit fees. Audit fees also include fees for accounting research and consultations.</w:t>
      </w:r>
    </w:p>
    <w:p>
      <w:pPr>
        <w:spacing w:after="0" w:line="146"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325889"/>
        </w:rPr>
        <w:t>Audit-Related Fees</w:t>
      </w:r>
    </w:p>
    <w:p>
      <w:pPr>
        <w:spacing w:after="0" w:line="212" w:lineRule="exact"/>
        <w:rPr>
          <w:sz w:val="20"/>
          <w:szCs w:val="20"/>
          <w:color w:val="auto"/>
        </w:rPr>
      </w:pPr>
    </w:p>
    <w:p>
      <w:pPr>
        <w:ind w:left="5" w:right="260"/>
        <w:spacing w:after="0" w:line="265" w:lineRule="auto"/>
        <w:rPr>
          <w:sz w:val="20"/>
          <w:szCs w:val="20"/>
          <w:color w:val="auto"/>
        </w:rPr>
      </w:pPr>
      <w:r>
        <w:rPr>
          <w:rFonts w:ascii="Arial" w:cs="Arial" w:eastAsia="Arial" w:hAnsi="Arial"/>
          <w:sz w:val="15"/>
          <w:szCs w:val="15"/>
          <w:color w:val="auto"/>
        </w:rPr>
        <w:t>Fees for audit-related services totaled approximately $68,000 in 2016 and $54,255 in 2015. The audit-related services principally include fees for operating expense audits and agreed-upon procedures projects.</w:t>
      </w:r>
    </w:p>
    <w:p>
      <w:pPr>
        <w:spacing w:after="0" w:line="137"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325889"/>
        </w:rPr>
        <w:t>Tax Fees</w:t>
      </w:r>
    </w:p>
    <w:p>
      <w:pPr>
        <w:spacing w:after="0" w:line="212" w:lineRule="exact"/>
        <w:rPr>
          <w:sz w:val="20"/>
          <w:szCs w:val="20"/>
          <w:color w:val="auto"/>
        </w:rPr>
      </w:pPr>
    </w:p>
    <w:p>
      <w:pPr>
        <w:ind w:left="5"/>
        <w:spacing w:after="0"/>
        <w:rPr>
          <w:sz w:val="20"/>
          <w:szCs w:val="20"/>
          <w:color w:val="auto"/>
        </w:rPr>
      </w:pPr>
      <w:r>
        <w:rPr>
          <w:rFonts w:ascii="Arial" w:cs="Arial" w:eastAsia="Arial" w:hAnsi="Arial"/>
          <w:sz w:val="15"/>
          <w:szCs w:val="15"/>
          <w:color w:val="auto"/>
        </w:rPr>
        <w:t>No fees were incurred for tax services, including tax compliance, tax advice and tax planning in either 2016 or 2015.</w:t>
      </w:r>
    </w:p>
    <w:p>
      <w:pPr>
        <w:spacing w:after="0" w:line="167"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325889"/>
        </w:rPr>
        <w:t>All Other Fees</w:t>
      </w:r>
    </w:p>
    <w:p>
      <w:pPr>
        <w:spacing w:after="0" w:line="212" w:lineRule="exact"/>
        <w:rPr>
          <w:sz w:val="20"/>
          <w:szCs w:val="20"/>
          <w:color w:val="auto"/>
        </w:rPr>
      </w:pPr>
    </w:p>
    <w:p>
      <w:pPr>
        <w:ind w:left="5"/>
        <w:spacing w:after="0"/>
        <w:rPr>
          <w:sz w:val="20"/>
          <w:szCs w:val="20"/>
          <w:color w:val="auto"/>
        </w:rPr>
      </w:pPr>
      <w:r>
        <w:rPr>
          <w:rFonts w:ascii="Arial" w:cs="Arial" w:eastAsia="Arial" w:hAnsi="Arial"/>
          <w:sz w:val="15"/>
          <w:szCs w:val="15"/>
          <w:color w:val="auto"/>
        </w:rPr>
        <w:t>There were no fees for other services not included above in either 2016 or 2015.</w:t>
      </w:r>
    </w:p>
    <w:p>
      <w:pPr>
        <w:spacing w:after="0" w:line="195" w:lineRule="exact"/>
        <w:rPr>
          <w:sz w:val="20"/>
          <w:szCs w:val="20"/>
          <w:color w:val="auto"/>
        </w:rPr>
      </w:pPr>
    </w:p>
    <w:p>
      <w:pPr>
        <w:ind w:left="5" w:right="260"/>
        <w:spacing w:after="0" w:line="265" w:lineRule="auto"/>
        <w:rPr>
          <w:sz w:val="20"/>
          <w:szCs w:val="20"/>
          <w:color w:val="auto"/>
        </w:rPr>
      </w:pPr>
      <w:r>
        <w:rPr>
          <w:rFonts w:ascii="Arial" w:cs="Arial" w:eastAsia="Arial" w:hAnsi="Arial"/>
          <w:sz w:val="15"/>
          <w:szCs w:val="15"/>
          <w:color w:val="auto"/>
        </w:rPr>
        <w:t>Our Audit Committee considers whether the provision by Ernst &amp; Young LLP of any services that would be required to be described under “All Other Fees” would be compatible with maintaining Ernst &amp; Young LLP’s independence from both management and the Company.</w:t>
      </w:r>
    </w:p>
    <w:p>
      <w:pPr>
        <w:spacing w:after="0" w:line="121" w:lineRule="exact"/>
        <w:rPr>
          <w:sz w:val="20"/>
          <w:szCs w:val="20"/>
          <w:color w:val="auto"/>
        </w:rPr>
      </w:pPr>
    </w:p>
    <w:p>
      <w:pPr>
        <w:ind w:left="5"/>
        <w:spacing w:after="0"/>
        <w:rPr>
          <w:sz w:val="20"/>
          <w:szCs w:val="20"/>
          <w:color w:val="auto"/>
        </w:rPr>
      </w:pPr>
      <w:r>
        <w:rPr>
          <w:rFonts w:ascii="Arial" w:cs="Arial" w:eastAsia="Arial" w:hAnsi="Arial"/>
          <w:sz w:val="21"/>
          <w:szCs w:val="21"/>
          <w:b w:val="1"/>
          <w:bCs w:val="1"/>
          <w:color w:val="auto"/>
        </w:rPr>
        <w:t>Pre-Approval Policies and Procedures of our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26313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3130" cy="762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 w:right="100"/>
        <w:spacing w:after="0" w:line="250" w:lineRule="auto"/>
        <w:rPr>
          <w:sz w:val="20"/>
          <w:szCs w:val="20"/>
          <w:color w:val="auto"/>
        </w:rPr>
      </w:pPr>
      <w:r>
        <w:rPr>
          <w:rFonts w:ascii="Arial" w:cs="Arial" w:eastAsia="Arial" w:hAnsi="Arial"/>
          <w:sz w:val="15"/>
          <w:szCs w:val="15"/>
          <w:color w:val="auto"/>
        </w:rPr>
        <w:t>Our Audit Committee must pre-approve all audit services and permissible non-audit services provided by our independent registered public accounting firm, except for any de minimis non-audit services. Non-audit services are considered de minimis if: (1) the aggregate amount of all such non-audit services constitutes less than five percent of the total amount of revenues we paid to our independent registered public accounting firm during the fiscal year in which they are provided; (2) we did not recognize such services at the time of the engagement to be non-audit services; and (3) such services are promptly brought to our Audit Committee’s or any of its members’ attention and approved by our Audit Committee or any of its members who has authority to give such approval prior to the completion of the audit. None of the fees reflected above were incurred as a result of non-audit services provided by our independent registered public accounting firm pursuant to this de minimis exception. All services provided by Ernst &amp; Young LLP in 2016 were pre-approved by our Audit Committee. Our Audit Committee may delegate to one or more of its members who is an independent director the authority to grant pre-approvals.</w:t>
      </w:r>
    </w:p>
    <w:p>
      <w:pPr>
        <w:spacing w:after="0" w:line="176" w:lineRule="exact"/>
        <w:rPr>
          <w:sz w:val="20"/>
          <w:szCs w:val="20"/>
          <w:color w:val="auto"/>
        </w:rPr>
      </w:pPr>
    </w:p>
    <w:p>
      <w:pPr>
        <w:ind w:left="265" w:hanging="265"/>
        <w:spacing w:after="0"/>
        <w:tabs>
          <w:tab w:leader="none" w:pos="265" w:val="left"/>
        </w:tabs>
        <w:numPr>
          <w:ilvl w:val="0"/>
          <w:numId w:val="72"/>
        </w:numPr>
        <w:rPr>
          <w:rFonts w:ascii="Arial" w:cs="Arial" w:eastAsia="Arial" w:hAnsi="Arial"/>
          <w:sz w:val="15"/>
          <w:szCs w:val="15"/>
          <w:color w:val="325889"/>
        </w:rPr>
      </w:pPr>
      <w:r>
        <w:rPr>
          <w:rFonts w:ascii="Arial" w:cs="Arial" w:eastAsia="Arial" w:hAnsi="Arial"/>
          <w:sz w:val="15"/>
          <w:szCs w:val="15"/>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83450" cy="203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25"/>
          </w:cols>
          <w:pgMar w:left="235" w:top="528" w:right="239" w:bottom="1440" w:gutter="0" w:footer="0" w:header="0"/>
        </w:sectPr>
      </w:pPr>
    </w:p>
    <w:bookmarkStart w:id="54" w:name="page55"/>
    <w:bookmarkEnd w:id="54"/>
    <w:p>
      <w:pPr>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178" w:lineRule="exact"/>
        <w:rPr>
          <w:sz w:val="20"/>
          <w:szCs w:val="20"/>
          <w:color w:val="auto"/>
        </w:rPr>
      </w:pPr>
    </w:p>
    <w:p>
      <w:pPr>
        <w:spacing w:after="0"/>
        <w:rPr>
          <w:sz w:val="20"/>
          <w:szCs w:val="20"/>
          <w:color w:val="auto"/>
        </w:rPr>
      </w:pPr>
      <w:r>
        <w:rPr>
          <w:rFonts w:ascii="Arial" w:cs="Arial" w:eastAsia="Arial" w:hAnsi="Arial"/>
          <w:sz w:val="28"/>
          <w:szCs w:val="28"/>
          <w:b w:val="1"/>
          <w:bCs w:val="1"/>
          <w:color w:val="325889"/>
        </w:rPr>
        <w:t>SAY-ON-FREQUENCY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63130" cy="30587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3130" cy="3058795"/>
                    </a:xfrm>
                    <a:prstGeom prst="rect">
                      <a:avLst/>
                    </a:prstGeom>
                    <a:noFill/>
                  </pic:spPr>
                </pic:pic>
              </a:graphicData>
            </a:graphic>
          </wp:anchor>
        </w:drawing>
      </w:r>
    </w:p>
    <w:p>
      <w:pPr>
        <w:spacing w:after="0" w:line="257" w:lineRule="exact"/>
        <w:rPr>
          <w:sz w:val="20"/>
          <w:szCs w:val="20"/>
          <w:color w:val="auto"/>
        </w:rPr>
      </w:pPr>
    </w:p>
    <w:p>
      <w:pPr>
        <w:ind w:left="80" w:right="380"/>
        <w:spacing w:after="0" w:line="241" w:lineRule="auto"/>
        <w:rPr>
          <w:sz w:val="20"/>
          <w:szCs w:val="20"/>
          <w:color w:val="auto"/>
        </w:rPr>
      </w:pPr>
      <w:r>
        <w:rPr>
          <w:rFonts w:ascii="Arial" w:cs="Arial" w:eastAsia="Arial" w:hAnsi="Arial"/>
          <w:sz w:val="22"/>
          <w:szCs w:val="22"/>
          <w:b w:val="1"/>
          <w:bCs w:val="1"/>
          <w:color w:val="auto"/>
        </w:rPr>
        <w:t>Proposal 5: Advisory Vote on the Frequency of Stockholder Advisory Votes on the Compensation of Our Named Executive Officers</w:t>
      </w:r>
    </w:p>
    <w:p>
      <w:pPr>
        <w:spacing w:after="0" w:line="388" w:lineRule="exact"/>
        <w:rPr>
          <w:sz w:val="20"/>
          <w:szCs w:val="20"/>
          <w:color w:val="auto"/>
        </w:rPr>
      </w:pPr>
    </w:p>
    <w:p>
      <w:pPr>
        <w:ind w:left="80" w:right="400"/>
        <w:spacing w:after="0" w:line="252" w:lineRule="auto"/>
        <w:rPr>
          <w:sz w:val="20"/>
          <w:szCs w:val="20"/>
          <w:color w:val="auto"/>
        </w:rPr>
      </w:pPr>
      <w:r>
        <w:rPr>
          <w:rFonts w:ascii="Arial" w:cs="Arial" w:eastAsia="Arial" w:hAnsi="Arial"/>
          <w:sz w:val="15"/>
          <w:szCs w:val="15"/>
          <w:color w:val="auto"/>
        </w:rPr>
        <w:t>Section 14A(a)(2) of the Exchange Act enables stockholders to vote on the frequency of future stockholder advisory votes on the compensation of our named executive officers, such as Proposal 2 included in this proxy statement. Under Section 14A(a)(2), generally, each public company must submit this proposal to its stockholders not less than every six years and this proposal was last submitted to our stockholders at our 2011 annual meeting of stockholders. By voting on this Proposal 5, stockholders may recommend whether future advisory votes on executive compensation should be conducted every “one year,” “two years” or “three years.” In addition, stockholders may choose to abstain from voting on this proposal.</w:t>
      </w:r>
    </w:p>
    <w:p>
      <w:pPr>
        <w:spacing w:after="0" w:line="174" w:lineRule="exact"/>
        <w:rPr>
          <w:sz w:val="20"/>
          <w:szCs w:val="20"/>
          <w:color w:val="auto"/>
        </w:rPr>
      </w:pPr>
    </w:p>
    <w:p>
      <w:pPr>
        <w:ind w:left="80" w:right="400"/>
        <w:spacing w:after="0" w:line="253" w:lineRule="auto"/>
        <w:rPr>
          <w:sz w:val="20"/>
          <w:szCs w:val="20"/>
          <w:color w:val="auto"/>
        </w:rPr>
      </w:pPr>
      <w:r>
        <w:rPr>
          <w:rFonts w:ascii="Arial" w:cs="Arial" w:eastAsia="Arial" w:hAnsi="Arial"/>
          <w:sz w:val="15"/>
          <w:szCs w:val="15"/>
          <w:color w:val="auto"/>
        </w:rPr>
        <w:t>The Compensation Committee and the Board believe that a vote on the compensation of our named executive officers every year is in the best interests of the Company. This recommendation received the majority of the votes cast at the Company’s 2011 annual meeting of stockholders and the administrative process of submitting a non-binding, advisory say-on-pay resolution to stockholders on an annual basis is not expected to impose any substantial additional costs on the Company.</w:t>
      </w:r>
    </w:p>
    <w:p>
      <w:pPr>
        <w:spacing w:after="0" w:line="174" w:lineRule="exact"/>
        <w:rPr>
          <w:sz w:val="20"/>
          <w:szCs w:val="20"/>
          <w:color w:val="auto"/>
        </w:rPr>
      </w:pPr>
    </w:p>
    <w:p>
      <w:pPr>
        <w:ind w:left="80" w:right="540"/>
        <w:spacing w:after="0" w:line="265" w:lineRule="auto"/>
        <w:rPr>
          <w:sz w:val="20"/>
          <w:szCs w:val="20"/>
          <w:color w:val="auto"/>
        </w:rPr>
      </w:pPr>
      <w:r>
        <w:rPr>
          <w:rFonts w:ascii="Arial" w:cs="Arial" w:eastAsia="Arial" w:hAnsi="Arial"/>
          <w:sz w:val="15"/>
          <w:szCs w:val="15"/>
          <w:color w:val="auto"/>
        </w:rPr>
        <w:t>Although this advisory vote on the frequency of future “say on pay” votes is non-binding, the Board and the Compensation Committee will take into account the outcome of the vote when considering the frequency of future advisory votes on executive compensation.</w:t>
      </w:r>
    </w:p>
    <w:p>
      <w:pPr>
        <w:spacing w:after="0" w:line="165" w:lineRule="exact"/>
        <w:rPr>
          <w:sz w:val="20"/>
          <w:szCs w:val="20"/>
          <w:color w:val="auto"/>
        </w:rPr>
      </w:pPr>
    </w:p>
    <w:p>
      <w:pPr>
        <w:jc w:val="both"/>
        <w:ind w:left="80" w:right="100"/>
        <w:spacing w:after="0" w:line="256" w:lineRule="auto"/>
        <w:rPr>
          <w:sz w:val="20"/>
          <w:szCs w:val="20"/>
          <w:color w:val="auto"/>
        </w:rPr>
      </w:pPr>
      <w:r>
        <w:rPr>
          <w:rFonts w:ascii="Arial" w:cs="Arial" w:eastAsia="Arial" w:hAnsi="Arial"/>
          <w:sz w:val="15"/>
          <w:szCs w:val="15"/>
          <w:color w:val="auto"/>
        </w:rPr>
        <w:t>In order for any of the three alternative frequencies to be approved, it must receive a majority of the votes cast on this proposal. In the event that no option receives a majority of the votes cast, we will consider the option that receives the most votes to be the option selected by the stockholders. Abstentions and broker non-votes, if any, will have no effect on the outcome of this matter.</w:t>
      </w:r>
    </w:p>
    <w:p>
      <w:pPr>
        <w:spacing w:after="0" w:line="215" w:lineRule="exact"/>
        <w:rPr>
          <w:sz w:val="20"/>
          <w:szCs w:val="20"/>
          <w:color w:val="auto"/>
        </w:rPr>
      </w:pPr>
    </w:p>
    <w:p>
      <w:pPr>
        <w:jc w:val="center"/>
        <w:ind w:right="20"/>
        <w:spacing w:after="0" w:line="277" w:lineRule="auto"/>
        <w:rPr>
          <w:sz w:val="20"/>
          <w:szCs w:val="20"/>
          <w:color w:val="auto"/>
        </w:rPr>
      </w:pPr>
      <w:r>
        <w:rPr>
          <w:rFonts w:ascii="Arial" w:cs="Arial" w:eastAsia="Arial" w:hAnsi="Arial"/>
          <w:sz w:val="17"/>
          <w:szCs w:val="17"/>
          <w:b w:val="1"/>
          <w:bCs w:val="1"/>
          <w:color w:val="325889"/>
        </w:rPr>
        <w:t xml:space="preserve">The Board unanimously recommends a vote for </w:t>
      </w:r>
      <w:r>
        <w:rPr>
          <w:rFonts w:ascii="Arial" w:cs="Arial" w:eastAsia="Arial" w:hAnsi="Arial"/>
          <w:sz w:val="17"/>
          <w:szCs w:val="17"/>
          <w:b w:val="1"/>
          <w:bCs w:val="1"/>
          <w:color w:val="000000"/>
        </w:rPr>
        <w:t>“ONE YEAR”</w:t>
      </w:r>
      <w:r>
        <w:rPr>
          <w:rFonts w:ascii="Arial" w:cs="Arial" w:eastAsia="Arial" w:hAnsi="Arial"/>
          <w:sz w:val="17"/>
          <w:szCs w:val="17"/>
          <w:b w:val="1"/>
          <w:bCs w:val="1"/>
          <w:color w:val="325889"/>
        </w:rPr>
        <w:t xml:space="preserve"> as the frequency for future non-binding advisory votes on the compensation of our named executive officers.</w:t>
      </w: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2017 Proxy Statement </w:t>
      </w:r>
      <w:r>
        <w:rPr>
          <w:rFonts w:ascii="Arial" w:cs="Arial" w:eastAsia="Arial" w:hAnsi="Arial"/>
          <w:sz w:val="15"/>
          <w:szCs w:val="15"/>
          <w:color w:val="325889"/>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83450" cy="203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0"/>
          </w:cols>
          <w:pgMar w:left="240" w:top="528" w:right="219" w:bottom="1440" w:gutter="0" w:footer="0" w:header="0"/>
        </w:sectPr>
      </w:pPr>
    </w:p>
    <w:bookmarkStart w:id="55" w:name="page56"/>
    <w:bookmarkEnd w:id="55"/>
    <w:p>
      <w:pPr>
        <w:ind w:left="5"/>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178" w:lineRule="exact"/>
        <w:rPr>
          <w:sz w:val="20"/>
          <w:szCs w:val="20"/>
          <w:color w:val="auto"/>
        </w:rPr>
      </w:pPr>
    </w:p>
    <w:p>
      <w:pPr>
        <w:ind w:left="5"/>
        <w:spacing w:after="0"/>
        <w:rPr>
          <w:sz w:val="20"/>
          <w:szCs w:val="20"/>
          <w:color w:val="auto"/>
        </w:rPr>
      </w:pPr>
      <w:r>
        <w:rPr>
          <w:rFonts w:ascii="Arial" w:cs="Arial" w:eastAsia="Arial" w:hAnsi="Arial"/>
          <w:sz w:val="28"/>
          <w:szCs w:val="28"/>
          <w:b w:val="1"/>
          <w:bCs w:val="1"/>
          <w:color w:val="325889"/>
        </w:rPr>
        <w:t>STOCKHOLDER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7263130" cy="50933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3130" cy="5093335"/>
                    </a:xfrm>
                    <a:prstGeom prst="rect">
                      <a:avLst/>
                    </a:prstGeom>
                    <a:noFill/>
                  </pic:spPr>
                </pic:pic>
              </a:graphicData>
            </a:graphic>
          </wp:anchor>
        </w:drawing>
      </w:r>
    </w:p>
    <w:p>
      <w:pPr>
        <w:spacing w:after="0" w:line="281" w:lineRule="exact"/>
        <w:rPr>
          <w:sz w:val="20"/>
          <w:szCs w:val="20"/>
          <w:color w:val="auto"/>
        </w:rPr>
      </w:pPr>
    </w:p>
    <w:p>
      <w:pPr>
        <w:ind w:left="85"/>
        <w:spacing w:after="0"/>
        <w:rPr>
          <w:sz w:val="20"/>
          <w:szCs w:val="20"/>
          <w:color w:val="auto"/>
        </w:rPr>
      </w:pPr>
      <w:r>
        <w:rPr>
          <w:rFonts w:ascii="Arial" w:cs="Arial" w:eastAsia="Arial" w:hAnsi="Arial"/>
          <w:sz w:val="22"/>
          <w:szCs w:val="22"/>
          <w:b w:val="1"/>
          <w:bCs w:val="1"/>
          <w:color w:val="auto"/>
        </w:rPr>
        <w:t>Proposal 6: Stockholder Proposal Regarding Setting Target Amounts for CEO Compensation</w:t>
      </w:r>
    </w:p>
    <w:p>
      <w:pPr>
        <w:spacing w:after="0" w:line="200" w:lineRule="exact"/>
        <w:rPr>
          <w:sz w:val="20"/>
          <w:szCs w:val="20"/>
          <w:color w:val="auto"/>
        </w:rPr>
      </w:pPr>
    </w:p>
    <w:p>
      <w:pPr>
        <w:spacing w:after="0" w:line="271" w:lineRule="exact"/>
        <w:rPr>
          <w:sz w:val="20"/>
          <w:szCs w:val="20"/>
          <w:color w:val="auto"/>
        </w:rPr>
      </w:pPr>
    </w:p>
    <w:p>
      <w:pPr>
        <w:ind w:left="85"/>
        <w:spacing w:after="0"/>
        <w:rPr>
          <w:sz w:val="20"/>
          <w:szCs w:val="20"/>
          <w:color w:val="auto"/>
        </w:rPr>
      </w:pPr>
      <w:r>
        <w:rPr>
          <w:rFonts w:ascii="Arial" w:cs="Arial" w:eastAsia="Arial" w:hAnsi="Arial"/>
          <w:sz w:val="12"/>
          <w:szCs w:val="12"/>
          <w:b w:val="1"/>
          <w:bCs w:val="1"/>
          <w:color w:val="325889"/>
        </w:rPr>
        <w:t>Overview</w:t>
      </w:r>
    </w:p>
    <w:p>
      <w:pPr>
        <w:spacing w:after="0" w:line="200" w:lineRule="exact"/>
        <w:rPr>
          <w:sz w:val="20"/>
          <w:szCs w:val="20"/>
          <w:color w:val="auto"/>
        </w:rPr>
      </w:pPr>
    </w:p>
    <w:p>
      <w:pPr>
        <w:ind w:left="85" w:right="120"/>
        <w:spacing w:after="0" w:line="253" w:lineRule="auto"/>
        <w:rPr>
          <w:sz w:val="20"/>
          <w:szCs w:val="20"/>
          <w:color w:val="auto"/>
        </w:rPr>
      </w:pPr>
      <w:r>
        <w:rPr>
          <w:rFonts w:ascii="Arial" w:cs="Arial" w:eastAsia="Arial" w:hAnsi="Arial"/>
          <w:sz w:val="15"/>
          <w:szCs w:val="15"/>
          <w:color w:val="auto"/>
        </w:rPr>
        <w:t>The Company has been notified that a stockholder of the Company intends to present a proposal for consideration at the annual meeting. The stockholder making this proposal has presented the proposal and supporting statement set forth below, and we are presenting the proposal and the supporting statement as they were submitted to us. While we take issue with certain of the statements contained in the proposal and the supporting statement, we have limited our response to the most important points and have not attempted to address all the statements with which we disagree.</w:t>
      </w:r>
    </w:p>
    <w:p>
      <w:pPr>
        <w:spacing w:after="0" w:line="157" w:lineRule="exact"/>
        <w:rPr>
          <w:sz w:val="20"/>
          <w:szCs w:val="20"/>
          <w:color w:val="auto"/>
        </w:rPr>
      </w:pPr>
    </w:p>
    <w:p>
      <w:pPr>
        <w:ind w:left="85"/>
        <w:spacing w:after="0"/>
        <w:rPr>
          <w:sz w:val="20"/>
          <w:szCs w:val="20"/>
          <w:color w:val="auto"/>
        </w:rPr>
      </w:pPr>
      <w:r>
        <w:rPr>
          <w:rFonts w:ascii="Arial" w:cs="Arial" w:eastAsia="Arial" w:hAnsi="Arial"/>
          <w:sz w:val="12"/>
          <w:szCs w:val="12"/>
          <w:b w:val="1"/>
          <w:bCs w:val="1"/>
          <w:color w:val="325889"/>
        </w:rPr>
        <w:t>Stockholder Proposal Regarding Setting Target Amounts For CEO Compensation</w:t>
      </w:r>
    </w:p>
    <w:p>
      <w:pPr>
        <w:spacing w:after="0" w:line="200" w:lineRule="exact"/>
        <w:rPr>
          <w:sz w:val="20"/>
          <w:szCs w:val="20"/>
          <w:color w:val="auto"/>
        </w:rPr>
      </w:pPr>
    </w:p>
    <w:p>
      <w:pPr>
        <w:ind w:left="85"/>
        <w:spacing w:after="0" w:line="265" w:lineRule="auto"/>
        <w:rPr>
          <w:sz w:val="20"/>
          <w:szCs w:val="20"/>
          <w:color w:val="auto"/>
        </w:rPr>
      </w:pPr>
      <w:r>
        <w:rPr>
          <w:rFonts w:ascii="Arial" w:cs="Arial" w:eastAsia="Arial" w:hAnsi="Arial"/>
          <w:sz w:val="15"/>
          <w:szCs w:val="15"/>
          <w:color w:val="auto"/>
        </w:rPr>
        <w:t>The Trowel Trades S&amp;P 500 Index Fund, which is located at c/o Comerica Bank &amp; Trust, N.A., Trustee, Post Office Box 75000, Detroit, Michigan 48275 and which is a beneficial owner of 1,854 shares of SL Green common stock, has submitted the following resolution and supporting statement:</w:t>
      </w:r>
    </w:p>
    <w:p>
      <w:pPr>
        <w:spacing w:after="0" w:line="218" w:lineRule="exact"/>
        <w:rPr>
          <w:sz w:val="20"/>
          <w:szCs w:val="20"/>
          <w:color w:val="auto"/>
        </w:rPr>
      </w:pPr>
    </w:p>
    <w:p>
      <w:pPr>
        <w:ind w:left="265"/>
        <w:spacing w:after="0"/>
        <w:rPr>
          <w:sz w:val="20"/>
          <w:szCs w:val="20"/>
          <w:color w:val="auto"/>
        </w:rPr>
      </w:pPr>
      <w:r>
        <w:rPr>
          <w:rFonts w:ascii="Arial" w:cs="Arial" w:eastAsia="Arial" w:hAnsi="Arial"/>
          <w:sz w:val="15"/>
          <w:szCs w:val="15"/>
          <w:b w:val="1"/>
          <w:bCs w:val="1"/>
          <w:color w:val="auto"/>
        </w:rPr>
        <w:t>Resolved:</w:t>
      </w:r>
    </w:p>
    <w:p>
      <w:pPr>
        <w:spacing w:after="0" w:line="213" w:lineRule="exact"/>
        <w:rPr>
          <w:sz w:val="20"/>
          <w:szCs w:val="20"/>
          <w:color w:val="auto"/>
        </w:rPr>
      </w:pPr>
    </w:p>
    <w:p>
      <w:pPr>
        <w:jc w:val="both"/>
        <w:ind w:left="265" w:right="300"/>
        <w:spacing w:after="0" w:line="253" w:lineRule="auto"/>
        <w:rPr>
          <w:sz w:val="20"/>
          <w:szCs w:val="20"/>
          <w:color w:val="auto"/>
        </w:rPr>
      </w:pPr>
      <w:r>
        <w:rPr>
          <w:rFonts w:ascii="Arial" w:cs="Arial" w:eastAsia="Arial" w:hAnsi="Arial"/>
          <w:sz w:val="15"/>
          <w:szCs w:val="15"/>
          <w:color w:val="auto"/>
        </w:rPr>
        <w:t>Shareholders of SL Green Realty Corp. (the "Company") request that the Compensation Committee of the Board of Directors take into consideration the pay grades and/or salary ranges of all classifications of Company employees when setting target amounts for CEO compensation. The Compensation Committee should describe in the Company's proxy statements for annual shareholder meetings how it complies with this requested policy. Compliance with this policy is excused if it will result in the violation of any existing contractual obligation or the terms of any existing compensation plan.</w:t>
      </w:r>
    </w:p>
    <w:p>
      <w:pPr>
        <w:spacing w:after="0" w:line="156" w:lineRule="exact"/>
        <w:rPr>
          <w:sz w:val="20"/>
          <w:szCs w:val="20"/>
          <w:color w:val="auto"/>
        </w:rPr>
      </w:pPr>
    </w:p>
    <w:p>
      <w:pPr>
        <w:ind w:left="265"/>
        <w:spacing w:after="0"/>
        <w:rPr>
          <w:sz w:val="20"/>
          <w:szCs w:val="20"/>
          <w:color w:val="auto"/>
        </w:rPr>
      </w:pPr>
      <w:r>
        <w:rPr>
          <w:rFonts w:ascii="Arial" w:cs="Arial" w:eastAsia="Arial" w:hAnsi="Arial"/>
          <w:sz w:val="15"/>
          <w:szCs w:val="15"/>
          <w:b w:val="1"/>
          <w:bCs w:val="1"/>
          <w:color w:val="auto"/>
        </w:rPr>
        <w:t>Supporting Statement:</w:t>
      </w:r>
    </w:p>
    <w:p>
      <w:pPr>
        <w:spacing w:after="0" w:line="213" w:lineRule="exact"/>
        <w:rPr>
          <w:sz w:val="20"/>
          <w:szCs w:val="20"/>
          <w:color w:val="auto"/>
        </w:rPr>
      </w:pPr>
    </w:p>
    <w:p>
      <w:pPr>
        <w:ind w:left="265" w:right="120"/>
        <w:spacing w:after="0" w:line="253" w:lineRule="auto"/>
        <w:rPr>
          <w:sz w:val="20"/>
          <w:szCs w:val="20"/>
          <w:color w:val="auto"/>
        </w:rPr>
      </w:pPr>
      <w:r>
        <w:rPr>
          <w:rFonts w:ascii="Arial" w:cs="Arial" w:eastAsia="Arial" w:hAnsi="Arial"/>
          <w:sz w:val="15"/>
          <w:szCs w:val="15"/>
          <w:color w:val="auto"/>
        </w:rPr>
        <w:t>Like at many companies, our Company's Compensation Committee uses peer group benchmarks of what other companies pay their CEOs to set its target CEO compensation. These target pay amounts are then subject to performance adjustments. To ensure that our Company's CEO compensation is reasonable relative to our Company's overall employee pay philosophy and structure, we believe that the Compensation Committee should also consider the pay grades and/or salary ranges of Company employees when setting CEO compensation target amounts.</w:t>
      </w:r>
    </w:p>
    <w:p>
      <w:pPr>
        <w:spacing w:after="0" w:line="174" w:lineRule="exact"/>
        <w:rPr>
          <w:sz w:val="20"/>
          <w:szCs w:val="20"/>
          <w:color w:val="auto"/>
        </w:rPr>
      </w:pPr>
    </w:p>
    <w:p>
      <w:pPr>
        <w:ind w:left="265" w:right="380"/>
        <w:spacing w:after="0" w:line="256" w:lineRule="auto"/>
        <w:rPr>
          <w:sz w:val="20"/>
          <w:szCs w:val="20"/>
          <w:color w:val="auto"/>
        </w:rPr>
      </w:pPr>
      <w:r>
        <w:rPr>
          <w:rFonts w:ascii="Arial" w:cs="Arial" w:eastAsia="Arial" w:hAnsi="Arial"/>
          <w:sz w:val="15"/>
          <w:szCs w:val="15"/>
          <w:color w:val="auto"/>
        </w:rPr>
        <w:t>This proposal does not require the Compensation Committee to use other employee pay data in a specific way to set CEO compensation targets. Under this proposal, the Compensation Committee will have discretion to determine how other employee pay should impact CEO compensation targets. The Compensation Committee also will retain authority to use peer group benchmarks and/or any other metric to set CEO compensation target amounts.</w:t>
      </w:r>
    </w:p>
    <w:p>
      <w:pPr>
        <w:spacing w:after="0" w:line="172" w:lineRule="exact"/>
        <w:rPr>
          <w:sz w:val="20"/>
          <w:szCs w:val="20"/>
          <w:color w:val="auto"/>
        </w:rPr>
      </w:pPr>
    </w:p>
    <w:p>
      <w:pPr>
        <w:ind w:left="265" w:right="260"/>
        <w:spacing w:after="0" w:line="253" w:lineRule="auto"/>
        <w:rPr>
          <w:sz w:val="20"/>
          <w:szCs w:val="20"/>
          <w:color w:val="auto"/>
        </w:rPr>
      </w:pPr>
      <w:r>
        <w:rPr>
          <w:rFonts w:ascii="Arial" w:cs="Arial" w:eastAsia="Arial" w:hAnsi="Arial"/>
          <w:sz w:val="15"/>
          <w:szCs w:val="15"/>
          <w:color w:val="auto"/>
        </w:rPr>
        <w:t>Over time, using peer group benchmarks to set CEO compensation can lead to pay inflation. Although many companies target CEO compensation at the median of their peer group, certain companies have targeted their CEO’s pay above median. In addition, peer groups can be cherry-picked to include larger or more successful companies where CEO compensation is higher. (Charles Elson and Craig Ferrere, “Executive Superstars, Peer Groups and Overcompensation,” Journal of Corporation Law, Spring 2013).</w:t>
      </w:r>
    </w:p>
    <w:p>
      <w:pPr>
        <w:spacing w:after="0" w:line="174" w:lineRule="exact"/>
        <w:rPr>
          <w:sz w:val="20"/>
          <w:szCs w:val="20"/>
          <w:color w:val="auto"/>
        </w:rPr>
      </w:pPr>
    </w:p>
    <w:p>
      <w:pPr>
        <w:ind w:left="265" w:right="220"/>
        <w:spacing w:after="0" w:line="253" w:lineRule="auto"/>
        <w:rPr>
          <w:sz w:val="20"/>
          <w:szCs w:val="20"/>
          <w:color w:val="auto"/>
        </w:rPr>
      </w:pPr>
      <w:r>
        <w:rPr>
          <w:rFonts w:ascii="Arial" w:cs="Arial" w:eastAsia="Arial" w:hAnsi="Arial"/>
          <w:sz w:val="15"/>
          <w:szCs w:val="15"/>
          <w:color w:val="auto"/>
        </w:rPr>
        <w:t>High pay disparities between CEOs and other senior executives may undermine collaboration and teamwork. According to Institutional Shareholder Services, an excessive pay disparity between the CEO and the next highest-paid named executive officer is a problematic pay practice that may result in a recommendation to its clients that they vote against advisory votes on executive compensation. (Institutional Shareholder Services, United States Proxy Voting Manual, February 23, 2016, p. 147).</w:t>
      </w:r>
    </w:p>
    <w:p>
      <w:pPr>
        <w:spacing w:after="0" w:line="352" w:lineRule="exact"/>
        <w:rPr>
          <w:sz w:val="20"/>
          <w:szCs w:val="20"/>
          <w:color w:val="auto"/>
        </w:rPr>
      </w:pPr>
    </w:p>
    <w:p>
      <w:pPr>
        <w:ind w:left="265" w:hanging="265"/>
        <w:spacing w:after="0"/>
        <w:tabs>
          <w:tab w:leader="none" w:pos="265" w:val="left"/>
        </w:tabs>
        <w:numPr>
          <w:ilvl w:val="0"/>
          <w:numId w:val="73"/>
        </w:numPr>
        <w:rPr>
          <w:rFonts w:ascii="Arial" w:cs="Arial" w:eastAsia="Arial" w:hAnsi="Arial"/>
          <w:sz w:val="15"/>
          <w:szCs w:val="15"/>
          <w:color w:val="325889"/>
        </w:rPr>
      </w:pPr>
      <w:r>
        <w:rPr>
          <w:rFonts w:ascii="Arial" w:cs="Arial" w:eastAsia="Arial" w:hAnsi="Arial"/>
          <w:sz w:val="15"/>
          <w:szCs w:val="15"/>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83450" cy="203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285"/>
          </w:cols>
          <w:pgMar w:left="235" w:top="528" w:right="379" w:bottom="1440" w:gutter="0" w:footer="0" w:header="0"/>
        </w:sectPr>
      </w:pPr>
    </w:p>
    <w:bookmarkStart w:id="56" w:name="page57"/>
    <w:bookmarkEnd w:id="56"/>
    <w:p>
      <w:pPr>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ind w:left="9380"/>
        <w:spacing w:after="0"/>
        <w:rPr>
          <w:sz w:val="20"/>
          <w:szCs w:val="20"/>
          <w:color w:val="auto"/>
        </w:rPr>
      </w:pPr>
      <w:r>
        <w:rPr>
          <w:rFonts w:ascii="Arial" w:cs="Arial" w:eastAsia="Arial" w:hAnsi="Arial"/>
          <w:sz w:val="15"/>
          <w:szCs w:val="15"/>
          <w:u w:val="single" w:color="auto"/>
          <w:color w:val="325889"/>
        </w:rPr>
        <w:t>STOCKHOLDER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122555</wp:posOffset>
            </wp:positionV>
            <wp:extent cx="7263130" cy="57791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3130" cy="5779135"/>
                    </a:xfrm>
                    <a:prstGeom prst="rect">
                      <a:avLst/>
                    </a:prstGeom>
                    <a:noFill/>
                  </pic:spPr>
                </pic:pic>
              </a:graphicData>
            </a:graphic>
          </wp:anchor>
        </w:drawing>
      </w:r>
    </w:p>
    <w:p>
      <w:pPr>
        <w:spacing w:after="0" w:line="341" w:lineRule="exact"/>
        <w:rPr>
          <w:sz w:val="20"/>
          <w:szCs w:val="20"/>
          <w:color w:val="auto"/>
        </w:rPr>
      </w:pPr>
    </w:p>
    <w:p>
      <w:pPr>
        <w:ind w:left="260" w:right="300"/>
        <w:spacing w:after="0" w:line="256" w:lineRule="auto"/>
        <w:rPr>
          <w:sz w:val="20"/>
          <w:szCs w:val="20"/>
          <w:color w:val="auto"/>
        </w:rPr>
      </w:pPr>
      <w:r>
        <w:rPr>
          <w:rFonts w:ascii="Arial" w:cs="Arial" w:eastAsia="Arial" w:hAnsi="Arial"/>
          <w:sz w:val="15"/>
          <w:szCs w:val="15"/>
          <w:color w:val="auto"/>
        </w:rPr>
        <w:t>In our view, the pay of non-executive employees should also be considered. High CEO compensation can impact the morale and productivity of employees who are not senior executives. According to a Glassdoor study of employee opinions, “Higher CEO compensation is statistically linked to lower CEO approval ratings on average.” (Glassdoor, What Makes a Great CEO?, August 2016, available at https://www.glassdoor.com/research/studies/ what-makes-a-great-ceo/).</w:t>
      </w:r>
    </w:p>
    <w:p>
      <w:pPr>
        <w:spacing w:after="0" w:line="172" w:lineRule="exact"/>
        <w:rPr>
          <w:sz w:val="20"/>
          <w:szCs w:val="20"/>
          <w:color w:val="auto"/>
        </w:rPr>
      </w:pPr>
    </w:p>
    <w:p>
      <w:pPr>
        <w:ind w:left="260"/>
        <w:spacing w:after="0"/>
        <w:rPr>
          <w:sz w:val="20"/>
          <w:szCs w:val="20"/>
          <w:color w:val="auto"/>
        </w:rPr>
      </w:pPr>
      <w:r>
        <w:rPr>
          <w:rFonts w:ascii="Arial" w:cs="Arial" w:eastAsia="Arial" w:hAnsi="Arial"/>
          <w:sz w:val="15"/>
          <w:szCs w:val="15"/>
          <w:color w:val="auto"/>
        </w:rPr>
        <w:t>For those reasons, we urge you to vote in favor of this proposal.</w:t>
      </w:r>
    </w:p>
    <w:p>
      <w:pPr>
        <w:spacing w:after="0" w:line="200" w:lineRule="exact"/>
        <w:rPr>
          <w:sz w:val="20"/>
          <w:szCs w:val="20"/>
          <w:color w:val="auto"/>
        </w:rPr>
      </w:pPr>
    </w:p>
    <w:p>
      <w:pPr>
        <w:spacing w:after="0" w:line="275" w:lineRule="exact"/>
        <w:rPr>
          <w:sz w:val="20"/>
          <w:szCs w:val="20"/>
          <w:color w:val="auto"/>
        </w:rPr>
      </w:pPr>
    </w:p>
    <w:p>
      <w:pPr>
        <w:ind w:left="80"/>
        <w:spacing w:after="0"/>
        <w:rPr>
          <w:sz w:val="20"/>
          <w:szCs w:val="20"/>
          <w:color w:val="auto"/>
        </w:rPr>
      </w:pPr>
      <w:r>
        <w:rPr>
          <w:rFonts w:ascii="Arial" w:cs="Arial" w:eastAsia="Arial" w:hAnsi="Arial"/>
          <w:sz w:val="12"/>
          <w:szCs w:val="12"/>
          <w:b w:val="1"/>
          <w:bCs w:val="1"/>
          <w:color w:val="325889"/>
        </w:rPr>
        <w:t>The Board of Directors’ Statement In Opposition</w:t>
      </w:r>
    </w:p>
    <w:p>
      <w:pPr>
        <w:spacing w:after="0" w:line="182" w:lineRule="exact"/>
        <w:rPr>
          <w:sz w:val="20"/>
          <w:szCs w:val="20"/>
          <w:color w:val="auto"/>
        </w:rPr>
      </w:pPr>
    </w:p>
    <w:p>
      <w:pPr>
        <w:ind w:left="80"/>
        <w:spacing w:after="0"/>
        <w:rPr>
          <w:sz w:val="20"/>
          <w:szCs w:val="20"/>
          <w:color w:val="auto"/>
        </w:rPr>
      </w:pPr>
      <w:r>
        <w:rPr>
          <w:rFonts w:ascii="Arial" w:cs="Arial" w:eastAsia="Arial" w:hAnsi="Arial"/>
          <w:sz w:val="15"/>
          <w:szCs w:val="15"/>
          <w:color w:val="auto"/>
        </w:rPr>
        <w:t xml:space="preserve">For the reasons described below, our Board of Directors unanimously recommends a vote </w:t>
      </w:r>
      <w:r>
        <w:rPr>
          <w:rFonts w:ascii="Arial" w:cs="Arial" w:eastAsia="Arial" w:hAnsi="Arial"/>
          <w:sz w:val="15"/>
          <w:szCs w:val="15"/>
          <w:b w:val="1"/>
          <w:bCs w:val="1"/>
          <w:color w:val="auto"/>
        </w:rPr>
        <w:t>AGAINST</w:t>
      </w:r>
      <w:r>
        <w:rPr>
          <w:rFonts w:ascii="Arial" w:cs="Arial" w:eastAsia="Arial" w:hAnsi="Arial"/>
          <w:sz w:val="15"/>
          <w:szCs w:val="15"/>
          <w:color w:val="auto"/>
        </w:rPr>
        <w:t xml:space="preserve"> this proposal.</w:t>
      </w:r>
    </w:p>
    <w:p>
      <w:pPr>
        <w:spacing w:after="0" w:line="213" w:lineRule="exact"/>
        <w:rPr>
          <w:sz w:val="20"/>
          <w:szCs w:val="20"/>
          <w:color w:val="auto"/>
        </w:rPr>
      </w:pPr>
    </w:p>
    <w:p>
      <w:pPr>
        <w:ind w:left="80" w:right="200"/>
        <w:spacing w:after="0" w:line="253" w:lineRule="auto"/>
        <w:rPr>
          <w:sz w:val="20"/>
          <w:szCs w:val="20"/>
          <w:color w:val="auto"/>
        </w:rPr>
      </w:pPr>
      <w:r>
        <w:rPr>
          <w:rFonts w:ascii="Arial" w:cs="Arial" w:eastAsia="Arial" w:hAnsi="Arial"/>
          <w:sz w:val="15"/>
          <w:szCs w:val="15"/>
          <w:color w:val="auto"/>
        </w:rPr>
        <w:t>Our Board of Directors believes that its executive compensation programs are conceived, designed and implemented in a manner that provides performance-based incentives that create strong alignment of management and stockholder interests and reward superior performance with superior compensation. As described in greater detail under “Our Executive Compensation Programs,” our Compensation Committee (referred to in this statement as the “Committee”), which is comprised of three of our independent directors, determines compensation for our named executive officers, including our Chief Executive Officer.</w:t>
      </w:r>
    </w:p>
    <w:p>
      <w:pPr>
        <w:spacing w:after="0" w:line="174" w:lineRule="exact"/>
        <w:rPr>
          <w:sz w:val="20"/>
          <w:szCs w:val="20"/>
          <w:color w:val="auto"/>
        </w:rPr>
      </w:pPr>
    </w:p>
    <w:p>
      <w:pPr>
        <w:ind w:left="80" w:right="180"/>
        <w:spacing w:after="0" w:line="249" w:lineRule="auto"/>
        <w:rPr>
          <w:sz w:val="20"/>
          <w:szCs w:val="20"/>
          <w:color w:val="auto"/>
        </w:rPr>
      </w:pPr>
      <w:r>
        <w:rPr>
          <w:rFonts w:ascii="Arial" w:cs="Arial" w:eastAsia="Arial" w:hAnsi="Arial"/>
          <w:sz w:val="15"/>
          <w:szCs w:val="15"/>
          <w:color w:val="auto"/>
        </w:rPr>
        <w:t>The Committee retains an independent outside compensation consulting firm to provide relevant data concerning the marketplace, our peer group and its own independent analysis and recommendations concerning executive compensation. In its deliberations, the Committee considers our short-term and long-term performance, including the achievement of the financial and operational goals that we establish and communicate to investors, as well as the Committee’s view of the appropriate overall annual incentive award for each of our named executive officers in light of their historical compensation, skill, experience, position and competitive market factors. The Committee also reviews various peer compensation information to confirm that our Chief Executive Officer’s total compensation is within an appropriate range of the total compensation received by the chief executive officers of these peers, considering relative size and performance. The Committee also considers the risks to our stockholders and to achievement of our goals that may be inherent in the executive compensation program and considers non-financial and other qualitative performance factors in determining actual compensation payouts. In addition, the Committee annually reviews our executive compensation policies and practices to ensure that such policies are in line with current market practices and stockholders’ best interests.</w:t>
      </w:r>
    </w:p>
    <w:p>
      <w:pPr>
        <w:spacing w:after="0" w:line="181" w:lineRule="exact"/>
        <w:rPr>
          <w:sz w:val="20"/>
          <w:szCs w:val="20"/>
          <w:color w:val="auto"/>
        </w:rPr>
      </w:pPr>
    </w:p>
    <w:p>
      <w:pPr>
        <w:ind w:left="80" w:right="140"/>
        <w:spacing w:after="0" w:line="250" w:lineRule="auto"/>
        <w:rPr>
          <w:sz w:val="20"/>
          <w:szCs w:val="20"/>
          <w:color w:val="auto"/>
        </w:rPr>
      </w:pPr>
      <w:r>
        <w:rPr>
          <w:rFonts w:ascii="Arial" w:cs="Arial" w:eastAsia="Arial" w:hAnsi="Arial"/>
          <w:sz w:val="15"/>
          <w:szCs w:val="15"/>
          <w:color w:val="auto"/>
        </w:rPr>
        <w:t>Over the last several years, we also have engaged in a formal stockholder outreach program focused on our executive compensation. Throughout each year, we are in contact with our large institutional stockholders, representing the owners of more than a majority of our outstanding common stock, to discuss our executive compensation programs, our business and our overall performance. These discussions are led by the chairman of the Committee and Lead Independent Director or, in certain instances, members of senior management. As a matter of course, we provide all stockholders and the market generally with information regarding our executive compensation programs, our performance and the manner in which we believe our executive compensation programs contributed to our superior long-term performance. Discussions as part of our stockholder outreach program enable us to clarify aspects of our executive compensation programs that our stockholders may not fully understand and to receive direct feedback regarding specific aspects of our executive compensation programs.</w:t>
      </w:r>
    </w:p>
    <w:p>
      <w:pPr>
        <w:spacing w:after="0" w:line="178" w:lineRule="exact"/>
        <w:rPr>
          <w:sz w:val="20"/>
          <w:szCs w:val="20"/>
          <w:color w:val="auto"/>
        </w:rPr>
      </w:pPr>
    </w:p>
    <w:p>
      <w:pPr>
        <w:ind w:left="80" w:right="600"/>
        <w:spacing w:after="0" w:line="256" w:lineRule="auto"/>
        <w:rPr>
          <w:sz w:val="20"/>
          <w:szCs w:val="20"/>
          <w:color w:val="auto"/>
        </w:rPr>
      </w:pPr>
      <w:r>
        <w:rPr>
          <w:rFonts w:ascii="Arial" w:cs="Arial" w:eastAsia="Arial" w:hAnsi="Arial"/>
          <w:sz w:val="15"/>
          <w:szCs w:val="15"/>
          <w:color w:val="auto"/>
        </w:rPr>
        <w:t xml:space="preserve">Based on all of these factors, considerations and discussions and given the breadth of the inputs and information available to and taken into account by the Committee, we believe that mandating that certain information be utilized by the Committee in the performance of its duties is unnecessary and not in the best interests of stockholders. Accordingly, our Board of Directors recommends a vote </w:t>
      </w:r>
      <w:r>
        <w:rPr>
          <w:rFonts w:ascii="Arial" w:cs="Arial" w:eastAsia="Arial" w:hAnsi="Arial"/>
          <w:sz w:val="15"/>
          <w:szCs w:val="15"/>
          <w:b w:val="1"/>
          <w:bCs w:val="1"/>
          <w:color w:val="auto"/>
        </w:rPr>
        <w:t>AGAINST</w:t>
      </w:r>
      <w:r>
        <w:rPr>
          <w:rFonts w:ascii="Arial" w:cs="Arial" w:eastAsia="Arial" w:hAnsi="Arial"/>
          <w:sz w:val="15"/>
          <w:szCs w:val="15"/>
          <w:color w:val="auto"/>
        </w:rPr>
        <w:t xml:space="preserve"> the proposal.</w:t>
      </w:r>
    </w:p>
    <w:p>
      <w:pPr>
        <w:spacing w:after="0" w:line="154" w:lineRule="exact"/>
        <w:rPr>
          <w:sz w:val="20"/>
          <w:szCs w:val="20"/>
          <w:color w:val="auto"/>
        </w:rPr>
      </w:pPr>
    </w:p>
    <w:p>
      <w:pPr>
        <w:ind w:left="80"/>
        <w:spacing w:after="0"/>
        <w:rPr>
          <w:sz w:val="20"/>
          <w:szCs w:val="20"/>
          <w:color w:val="auto"/>
        </w:rPr>
      </w:pPr>
      <w:r>
        <w:rPr>
          <w:rFonts w:ascii="Arial" w:cs="Arial" w:eastAsia="Arial" w:hAnsi="Arial"/>
          <w:sz w:val="12"/>
          <w:szCs w:val="12"/>
          <w:b w:val="1"/>
          <w:bCs w:val="1"/>
          <w:color w:val="325889"/>
        </w:rPr>
        <w:t>Vote Required</w:t>
      </w:r>
    </w:p>
    <w:p>
      <w:pPr>
        <w:spacing w:after="0" w:line="200" w:lineRule="exact"/>
        <w:rPr>
          <w:sz w:val="20"/>
          <w:szCs w:val="20"/>
          <w:color w:val="auto"/>
        </w:rPr>
      </w:pPr>
    </w:p>
    <w:p>
      <w:pPr>
        <w:ind w:left="80" w:right="260"/>
        <w:spacing w:after="0" w:line="256" w:lineRule="auto"/>
        <w:rPr>
          <w:sz w:val="20"/>
          <w:szCs w:val="20"/>
          <w:color w:val="auto"/>
        </w:rPr>
      </w:pPr>
      <w:r>
        <w:rPr>
          <w:rFonts w:ascii="Arial" w:cs="Arial" w:eastAsia="Arial" w:hAnsi="Arial"/>
          <w:sz w:val="15"/>
          <w:szCs w:val="15"/>
          <w:color w:val="auto"/>
        </w:rPr>
        <w:t>A majority of votes cast with respect to the proposal is required for approval. Abstentions and broker non-votes (as described under “Questions and Answers about the Annual Meeting — What vote is require to approve each proposal?”) will not be treated as votes cast and will have no effect on the result of the vote. The stockholder proposal will be voted on at the annual meeting only if properly presented by or on behalf of the proponent.</w:t>
      </w:r>
    </w:p>
    <w:p>
      <w:pPr>
        <w:spacing w:after="0" w:line="154" w:lineRule="exact"/>
        <w:rPr>
          <w:sz w:val="20"/>
          <w:szCs w:val="20"/>
          <w:color w:val="auto"/>
        </w:rPr>
      </w:pPr>
    </w:p>
    <w:p>
      <w:pPr>
        <w:ind w:left="80"/>
        <w:spacing w:after="0"/>
        <w:rPr>
          <w:sz w:val="20"/>
          <w:szCs w:val="20"/>
          <w:color w:val="auto"/>
        </w:rPr>
      </w:pPr>
      <w:r>
        <w:rPr>
          <w:rFonts w:ascii="Arial" w:cs="Arial" w:eastAsia="Arial" w:hAnsi="Arial"/>
          <w:sz w:val="12"/>
          <w:szCs w:val="12"/>
          <w:b w:val="1"/>
          <w:bCs w:val="1"/>
          <w:color w:val="325889"/>
        </w:rPr>
        <w:t>Board Recommendation</w:t>
      </w: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325889"/>
        </w:rPr>
        <w:t>The Board of Directors unanimously recommends a vote AGAINST the stockholder proposal regarding setting target amounts for CEO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2017 Proxy Statement </w:t>
      </w:r>
      <w:r>
        <w:rPr>
          <w:rFonts w:ascii="Arial" w:cs="Arial" w:eastAsia="Arial" w:hAnsi="Arial"/>
          <w:sz w:val="15"/>
          <w:szCs w:val="15"/>
          <w:color w:val="325889"/>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83450" cy="203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0"/>
          </w:cols>
          <w:pgMar w:left="240" w:top="528" w:right="219" w:bottom="1440" w:gutter="0" w:footer="0" w:header="0"/>
        </w:sectPr>
      </w:pPr>
    </w:p>
    <w:bookmarkStart w:id="57" w:name="page58"/>
    <w:bookmarkEnd w:id="57"/>
    <w:p>
      <w:pPr>
        <w:ind w:left="5"/>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178" w:lineRule="exact"/>
        <w:rPr>
          <w:sz w:val="20"/>
          <w:szCs w:val="20"/>
          <w:color w:val="auto"/>
        </w:rPr>
      </w:pPr>
    </w:p>
    <w:p>
      <w:pPr>
        <w:ind w:left="5"/>
        <w:spacing w:after="0"/>
        <w:rPr>
          <w:sz w:val="20"/>
          <w:szCs w:val="20"/>
          <w:color w:val="auto"/>
        </w:rPr>
      </w:pPr>
      <w:r>
        <w:rPr>
          <w:rFonts w:ascii="Arial" w:cs="Arial" w:eastAsia="Arial" w:hAnsi="Arial"/>
          <w:sz w:val="28"/>
          <w:szCs w:val="28"/>
          <w:b w:val="1"/>
          <w:bCs w:val="1"/>
          <w:color w:val="325889"/>
        </w:rPr>
        <w:t>STOCK OWNERSHIP INFORMATION</w:t>
      </w:r>
    </w:p>
    <w:p>
      <w:pPr>
        <w:spacing w:after="0" w:line="206"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auto"/>
        </w:rPr>
        <w:t>Executive and Director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7263130" cy="152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3130" cy="15240"/>
                    </a:xfrm>
                    <a:prstGeom prst="rect">
                      <a:avLst/>
                    </a:prstGeom>
                    <a:noFill/>
                  </pic:spPr>
                </pic:pic>
              </a:graphicData>
            </a:graphic>
          </wp:anchor>
        </w:drawing>
      </w:r>
    </w:p>
    <w:p>
      <w:pPr>
        <w:spacing w:after="0" w:line="255" w:lineRule="exact"/>
        <w:rPr>
          <w:sz w:val="20"/>
          <w:szCs w:val="20"/>
          <w:color w:val="auto"/>
        </w:rPr>
      </w:pPr>
    </w:p>
    <w:p>
      <w:pPr>
        <w:ind w:left="5" w:right="20"/>
        <w:spacing w:after="0" w:line="256" w:lineRule="auto"/>
        <w:rPr>
          <w:sz w:val="20"/>
          <w:szCs w:val="20"/>
          <w:color w:val="auto"/>
        </w:rPr>
      </w:pPr>
      <w:r>
        <w:rPr>
          <w:rFonts w:ascii="Arial" w:cs="Arial" w:eastAsia="Arial" w:hAnsi="Arial"/>
          <w:sz w:val="15"/>
          <w:szCs w:val="15"/>
          <w:color w:val="auto"/>
        </w:rPr>
        <w:t>In furtherance of the Committee’s ongoing efforts to foster an ownership culture among our senior leadership team, we adopted stock ownership guidelines for our named executive officers and non-employee directors. We have subsequently revised these guidelines to increase the amount of equity in the Company or its operating partnership that our named executive officers are required to own in order to satisfy the guidelines, as set forth below:</w:t>
      </w:r>
    </w:p>
    <w:p>
      <w:pPr>
        <w:sectPr>
          <w:pgSz w:w="11900" w:h="16838" w:orient="portrait"/>
          <w:cols w:equalWidth="0" w:num="1">
            <w:col w:w="11445"/>
          </w:cols>
          <w:pgMar w:left="235" w:top="528" w:right="219" w:bottom="1440" w:gutter="0" w:footer="0" w:header="0"/>
        </w:sectPr>
      </w:pPr>
    </w:p>
    <w:p>
      <w:pPr>
        <w:spacing w:after="0" w:line="190" w:lineRule="exact"/>
        <w:rPr>
          <w:sz w:val="20"/>
          <w:szCs w:val="20"/>
          <w:color w:val="auto"/>
        </w:rPr>
      </w:pPr>
    </w:p>
    <w:p>
      <w:pPr>
        <w:ind w:left="5"/>
        <w:spacing w:after="0"/>
        <w:rPr>
          <w:sz w:val="20"/>
          <w:szCs w:val="20"/>
          <w:color w:val="auto"/>
        </w:rPr>
      </w:pPr>
      <w:r>
        <w:rPr>
          <w:rFonts w:ascii="Arial" w:cs="Arial" w:eastAsia="Arial" w:hAnsi="Arial"/>
          <w:sz w:val="11"/>
          <w:szCs w:val="11"/>
          <w:b w:val="1"/>
          <w:bCs w:val="1"/>
          <w:color w:val="auto"/>
        </w:rPr>
        <w:t>Named Executive Officers and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5424805" cy="152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424805" cy="15240"/>
                    </a:xfrm>
                    <a:prstGeom prst="rect">
                      <a:avLst/>
                    </a:prstGeom>
                    <a:noFill/>
                  </pic:spPr>
                </pic:pic>
              </a:graphicData>
            </a:graphic>
          </wp:anchor>
        </w:drawing>
      </w:r>
    </w:p>
    <w:p>
      <w:pPr>
        <w:spacing w:after="0" w:line="84" w:lineRule="exact"/>
        <w:rPr>
          <w:sz w:val="20"/>
          <w:szCs w:val="20"/>
          <w:color w:val="auto"/>
        </w:rPr>
      </w:pPr>
    </w:p>
    <w:p>
      <w:pPr>
        <w:ind w:left="5"/>
        <w:spacing w:after="0"/>
        <w:rPr>
          <w:sz w:val="20"/>
          <w:szCs w:val="20"/>
          <w:color w:val="auto"/>
        </w:rPr>
      </w:pPr>
      <w:r>
        <w:rPr>
          <w:rFonts w:ascii="Arial" w:cs="Arial" w:eastAsia="Arial" w:hAnsi="Arial"/>
          <w:sz w:val="15"/>
          <w:szCs w:val="15"/>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5424805"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424805" cy="7620"/>
                    </a:xfrm>
                    <a:prstGeom prst="rect">
                      <a:avLst/>
                    </a:prstGeom>
                    <a:noFill/>
                  </pic:spPr>
                </pic:pic>
              </a:graphicData>
            </a:graphic>
          </wp:anchor>
        </w:drawing>
      </w:r>
    </w:p>
    <w:p>
      <w:pPr>
        <w:spacing w:after="0" w:line="33" w:lineRule="exact"/>
        <w:rPr>
          <w:sz w:val="20"/>
          <w:szCs w:val="20"/>
          <w:color w:val="auto"/>
        </w:rPr>
      </w:pPr>
    </w:p>
    <w:p>
      <w:pPr>
        <w:ind w:left="5"/>
        <w:spacing w:after="0"/>
        <w:rPr>
          <w:sz w:val="20"/>
          <w:szCs w:val="20"/>
          <w:color w:val="auto"/>
        </w:rPr>
      </w:pPr>
      <w:r>
        <w:rPr>
          <w:rFonts w:ascii="Arial" w:cs="Arial" w:eastAsia="Arial" w:hAnsi="Arial"/>
          <w:sz w:val="15"/>
          <w:szCs w:val="15"/>
          <w:color w:val="auto"/>
        </w:rPr>
        <w:t>Other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5424805"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424805" cy="7620"/>
                    </a:xfrm>
                    <a:prstGeom prst="rect">
                      <a:avLst/>
                    </a:prstGeom>
                    <a:noFill/>
                  </pic:spPr>
                </pic:pic>
              </a:graphicData>
            </a:graphic>
          </wp:anchor>
        </w:drawing>
      </w:r>
    </w:p>
    <w:p>
      <w:pPr>
        <w:spacing w:after="0" w:line="33" w:lineRule="exact"/>
        <w:rPr>
          <w:sz w:val="20"/>
          <w:szCs w:val="20"/>
          <w:color w:val="auto"/>
        </w:rPr>
      </w:pPr>
    </w:p>
    <w:p>
      <w:pPr>
        <w:ind w:left="5"/>
        <w:spacing w:after="0"/>
        <w:rPr>
          <w:sz w:val="20"/>
          <w:szCs w:val="20"/>
          <w:color w:val="auto"/>
        </w:rPr>
      </w:pPr>
      <w:r>
        <w:rPr>
          <w:rFonts w:ascii="Arial" w:cs="Arial" w:eastAsia="Arial" w:hAnsi="Arial"/>
          <w:sz w:val="15"/>
          <w:szCs w:val="15"/>
          <w:color w:val="auto"/>
        </w:rPr>
        <w:t>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5424805" cy="152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424805"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325889"/>
        </w:rPr>
        <w:t>Multiple of Base Salary or Annual Cash Retainer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41910</wp:posOffset>
            </wp:positionV>
            <wp:extent cx="1748155" cy="152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748155" cy="15240"/>
                    </a:xfrm>
                    <a:prstGeom prst="rect">
                      <a:avLst/>
                    </a:prstGeom>
                    <a:noFill/>
                  </pic:spPr>
                </pic:pic>
              </a:graphicData>
            </a:graphic>
          </wp:anchor>
        </w:drawing>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8x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16510</wp:posOffset>
            </wp:positionV>
            <wp:extent cx="1748155"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748155" cy="7620"/>
                    </a:xfrm>
                    <a:prstGeom prst="rect">
                      <a:avLst/>
                    </a:prstGeom>
                    <a:noFill/>
                  </pic:spPr>
                </pic:pic>
              </a:graphicData>
            </a:graphic>
          </wp:anchor>
        </w:drawing>
      </w:r>
    </w:p>
    <w:p>
      <w:pPr>
        <w:spacing w:after="0" w:line="3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6x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16510</wp:posOffset>
            </wp:positionV>
            <wp:extent cx="1748155"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748155" cy="7620"/>
                    </a:xfrm>
                    <a:prstGeom prst="rect">
                      <a:avLst/>
                    </a:prstGeom>
                    <a:noFill/>
                  </pic:spPr>
                </pic:pic>
              </a:graphicData>
            </a:graphic>
          </wp:anchor>
        </w:drawing>
      </w:r>
    </w:p>
    <w:p>
      <w:pPr>
        <w:spacing w:after="0" w:line="3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5x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16510</wp:posOffset>
            </wp:positionV>
            <wp:extent cx="1748155" cy="152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748155" cy="152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05" w:space="720"/>
            <w:col w:w="2720"/>
          </w:cols>
          <w:pgMar w:left="235" w:top="528" w:right="219" w:bottom="1440" w:gutter="0" w:footer="0" w:header="0"/>
          <w:type w:val="continuous"/>
        </w:sectPr>
      </w:pPr>
    </w:p>
    <w:p>
      <w:pPr>
        <w:spacing w:after="0" w:line="256" w:lineRule="exact"/>
        <w:rPr>
          <w:sz w:val="20"/>
          <w:szCs w:val="20"/>
          <w:color w:val="auto"/>
        </w:rPr>
      </w:pPr>
    </w:p>
    <w:p>
      <w:pPr>
        <w:ind w:left="5" w:right="40"/>
        <w:spacing w:after="0" w:line="265" w:lineRule="auto"/>
        <w:rPr>
          <w:sz w:val="20"/>
          <w:szCs w:val="20"/>
          <w:color w:val="auto"/>
        </w:rPr>
      </w:pPr>
      <w:r>
        <w:rPr>
          <w:rFonts w:ascii="Arial" w:cs="Arial" w:eastAsia="Arial" w:hAnsi="Arial"/>
          <w:sz w:val="15"/>
          <w:szCs w:val="15"/>
          <w:color w:val="auto"/>
        </w:rPr>
        <w:t>New named executive officers and non-employee directors have three years from the commencement of their employment or election to the Board to attain compliance with the stock ownership requirements.</w:t>
      </w:r>
    </w:p>
    <w:p>
      <w:pPr>
        <w:spacing w:after="0" w:line="349"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auto"/>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7263130" cy="152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3130" cy="15240"/>
                    </a:xfrm>
                    <a:prstGeom prst="rect">
                      <a:avLst/>
                    </a:prstGeom>
                    <a:noFill/>
                  </pic:spPr>
                </pic:pic>
              </a:graphicData>
            </a:graphic>
          </wp:anchor>
        </w:drawing>
      </w:r>
    </w:p>
    <w:p>
      <w:pPr>
        <w:spacing w:after="0" w:line="255" w:lineRule="exact"/>
        <w:rPr>
          <w:sz w:val="20"/>
          <w:szCs w:val="20"/>
          <w:color w:val="auto"/>
        </w:rPr>
      </w:pPr>
    </w:p>
    <w:p>
      <w:pPr>
        <w:ind w:left="5" w:right="20"/>
        <w:spacing w:after="0" w:line="251" w:lineRule="auto"/>
        <w:rPr>
          <w:sz w:val="20"/>
          <w:szCs w:val="20"/>
          <w:color w:val="auto"/>
        </w:rPr>
      </w:pPr>
      <w:r>
        <w:rPr>
          <w:rFonts w:ascii="Arial" w:cs="Arial" w:eastAsia="Arial" w:hAnsi="Arial"/>
          <w:sz w:val="15"/>
          <w:szCs w:val="15"/>
          <w:color w:val="auto"/>
        </w:rPr>
        <w:t>The following table sets forth the beneficial ownership of our common stock, $0.01 par value per share as of March 31, 2017, unless otherwise noted, for (i) each person known to us to be the beneficial owner of more than 5% of our outstanding common stock, (ii) each of our directors, (iii) each of our named executive officers who is not a director and (iv) our directors and executive officers as a group. All information in the following table is based on Schedules 13D, 13G and/or any amendments thereto, filed with the SEC, and on information supplied to us by our directors and officers. Except as otherwise described in the notes below, the following beneficial owners have sole voting power and sole investment power with respect to all shares set forth opposite their respective names. None of our executive officers own any shares of our preferred stock except as set forth below.</w:t>
      </w:r>
    </w:p>
    <w:p>
      <w:pPr>
        <w:spacing w:after="0" w:line="175" w:lineRule="exact"/>
        <w:rPr>
          <w:sz w:val="20"/>
          <w:szCs w:val="20"/>
          <w:color w:val="auto"/>
        </w:rPr>
      </w:pPr>
    </w:p>
    <w:p>
      <w:pPr>
        <w:ind w:left="5"/>
        <w:spacing w:after="0"/>
        <w:rPr>
          <w:sz w:val="20"/>
          <w:szCs w:val="20"/>
          <w:color w:val="auto"/>
        </w:rPr>
      </w:pPr>
      <w:r>
        <w:rPr>
          <w:rFonts w:ascii="Arial" w:cs="Arial" w:eastAsia="Arial" w:hAnsi="Arial"/>
          <w:sz w:val="15"/>
          <w:szCs w:val="15"/>
          <w:color w:val="auto"/>
        </w:rPr>
        <w:t>As of March 31, 2017, there were 101,831,845 shares outstanding.</w:t>
      </w:r>
    </w:p>
    <w:p>
      <w:pPr>
        <w:spacing w:after="0" w:line="170" w:lineRule="exact"/>
        <w:rPr>
          <w:sz w:val="20"/>
          <w:szCs w:val="20"/>
          <w:color w:val="auto"/>
        </w:rPr>
      </w:pPr>
    </w:p>
    <w:tbl>
      <w:tblPr>
        <w:tblLayout w:type="fixed"/>
        <w:tblInd w:w="5" w:type="dxa"/>
        <w:tblCellMar>
          <w:top w:w="0" w:type="dxa"/>
          <w:left w:w="0" w:type="dxa"/>
          <w:bottom w:w="0" w:type="dxa"/>
          <w:right w:w="0" w:type="dxa"/>
        </w:tblCellMar>
      </w:tblPr>
      <w:tr>
        <w:trPr>
          <w:trHeight w:val="138"/>
        </w:trPr>
        <w:tc>
          <w:tcPr>
            <w:tcW w:w="8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325889"/>
              </w:rPr>
              <w:t>Amount and Nature of</w:t>
            </w:r>
          </w:p>
        </w:tc>
        <w:tc>
          <w:tcPr>
            <w:tcW w:w="900" w:type="dxa"/>
            <w:vAlign w:val="bottom"/>
          </w:tcPr>
          <w:p>
            <w:pPr>
              <w:spacing w:after="0"/>
              <w:rPr>
                <w:sz w:val="12"/>
                <w:szCs w:val="12"/>
                <w:color w:val="auto"/>
              </w:rPr>
            </w:pPr>
          </w:p>
        </w:tc>
      </w:tr>
      <w:tr>
        <w:trPr>
          <w:trHeight w:val="131"/>
        </w:trPr>
        <w:tc>
          <w:tcPr>
            <w:tcW w:w="8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2"/>
          </w:tcPr>
          <w:p>
            <w:pPr>
              <w:jc w:val="right"/>
              <w:ind w:right="140"/>
              <w:spacing w:after="0" w:line="131" w:lineRule="exact"/>
              <w:rPr>
                <w:sz w:val="20"/>
                <w:szCs w:val="20"/>
                <w:color w:val="auto"/>
              </w:rPr>
            </w:pPr>
            <w:r>
              <w:rPr>
                <w:rFonts w:ascii="Arial" w:cs="Arial" w:eastAsia="Arial" w:hAnsi="Arial"/>
                <w:sz w:val="12"/>
                <w:szCs w:val="12"/>
                <w:b w:val="1"/>
                <w:bCs w:val="1"/>
                <w:color w:val="325889"/>
                <w:w w:val="97"/>
              </w:rPr>
              <w:t>Beneficial Ownership of</w:t>
            </w:r>
          </w:p>
        </w:tc>
        <w:tc>
          <w:tcPr>
            <w:tcW w:w="900" w:type="dxa"/>
            <w:vAlign w:val="bottom"/>
          </w:tcPr>
          <w:p>
            <w:pPr>
              <w:spacing w:after="0"/>
              <w:rPr>
                <w:sz w:val="11"/>
                <w:szCs w:val="11"/>
                <w:color w:val="auto"/>
              </w:rPr>
            </w:pPr>
          </w:p>
        </w:tc>
      </w:tr>
      <w:tr>
        <w:trPr>
          <w:trHeight w:val="173"/>
        </w:trPr>
        <w:tc>
          <w:tcPr>
            <w:tcW w:w="8900" w:type="dxa"/>
            <w:vAlign w:val="bottom"/>
          </w:tcPr>
          <w:p>
            <w:pPr>
              <w:spacing w:after="0"/>
              <w:rPr>
                <w:sz w:val="20"/>
                <w:szCs w:val="20"/>
                <w:color w:val="auto"/>
              </w:rPr>
            </w:pPr>
            <w:r>
              <w:rPr>
                <w:rFonts w:ascii="Arial" w:cs="Arial" w:eastAsia="Arial" w:hAnsi="Arial"/>
                <w:sz w:val="12"/>
                <w:szCs w:val="12"/>
                <w:b w:val="1"/>
                <w:bCs w:val="1"/>
                <w:color w:val="auto"/>
              </w:rPr>
              <w:t>Name**</w:t>
            </w:r>
          </w:p>
        </w:tc>
        <w:tc>
          <w:tcPr>
            <w:tcW w:w="14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325889"/>
              </w:rPr>
              <w:t>Common Stock</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325889"/>
                <w:w w:val="96"/>
              </w:rPr>
              <w:t>Percent of Total</w:t>
            </w:r>
          </w:p>
        </w:tc>
      </w:tr>
      <w:tr>
        <w:trPr>
          <w:trHeight w:val="273"/>
        </w:trPr>
        <w:tc>
          <w:tcPr>
            <w:tcW w:w="8900" w:type="dxa"/>
            <w:vAlign w:val="bottom"/>
            <w:tcBorders>
              <w:top w:val="single" w:sz="8" w:color="325889"/>
              <w:bottom w:val="single" w:sz="8" w:color="98A3B8"/>
            </w:tcBorders>
          </w:tcPr>
          <w:p>
            <w:pPr>
              <w:spacing w:after="0" w:line="272" w:lineRule="exact"/>
              <w:rPr>
                <w:sz w:val="20"/>
                <w:szCs w:val="20"/>
                <w:color w:val="auto"/>
              </w:rPr>
            </w:pPr>
            <w:r>
              <w:rPr>
                <w:rFonts w:ascii="Arial" w:cs="Arial" w:eastAsia="Arial" w:hAnsi="Arial"/>
                <w:sz w:val="15"/>
                <w:szCs w:val="15"/>
                <w:color w:val="auto"/>
              </w:rPr>
              <w:t>The Vanguard Group</w:t>
            </w:r>
            <w:r>
              <w:rPr>
                <w:rFonts w:ascii="Arial" w:cs="Arial" w:eastAsia="Arial" w:hAnsi="Arial"/>
                <w:sz w:val="25"/>
                <w:szCs w:val="25"/>
                <w:color w:val="auto"/>
                <w:vertAlign w:val="superscript"/>
              </w:rPr>
              <w:t>(1)</w:t>
            </w:r>
          </w:p>
        </w:tc>
        <w:tc>
          <w:tcPr>
            <w:tcW w:w="140" w:type="dxa"/>
            <w:vAlign w:val="bottom"/>
          </w:tcPr>
          <w:p>
            <w:pPr>
              <w:spacing w:after="0"/>
              <w:rPr>
                <w:sz w:val="23"/>
                <w:szCs w:val="23"/>
                <w:color w:val="auto"/>
              </w:rPr>
            </w:pPr>
          </w:p>
        </w:tc>
        <w:tc>
          <w:tcPr>
            <w:tcW w:w="1360" w:type="dxa"/>
            <w:vAlign w:val="bottom"/>
            <w:tcBorders>
              <w:top w:val="single" w:sz="8" w:color="325889"/>
              <w:bottom w:val="single" w:sz="8" w:color="98A3B8"/>
            </w:tcBorders>
          </w:tcPr>
          <w:p>
            <w:pPr>
              <w:jc w:val="right"/>
              <w:spacing w:after="0"/>
              <w:rPr>
                <w:sz w:val="20"/>
                <w:szCs w:val="20"/>
                <w:color w:val="auto"/>
              </w:rPr>
            </w:pPr>
            <w:r>
              <w:rPr>
                <w:rFonts w:ascii="Arial" w:cs="Arial" w:eastAsia="Arial" w:hAnsi="Arial"/>
                <w:sz w:val="15"/>
                <w:szCs w:val="15"/>
                <w:color w:val="auto"/>
              </w:rPr>
              <w:t>17,429,748</w:t>
            </w:r>
          </w:p>
        </w:tc>
        <w:tc>
          <w:tcPr>
            <w:tcW w:w="140" w:type="dxa"/>
            <w:vAlign w:val="bottom"/>
          </w:tcPr>
          <w:p>
            <w:pPr>
              <w:spacing w:after="0"/>
              <w:rPr>
                <w:sz w:val="23"/>
                <w:szCs w:val="23"/>
                <w:color w:val="auto"/>
              </w:rPr>
            </w:pPr>
          </w:p>
        </w:tc>
        <w:tc>
          <w:tcPr>
            <w:tcW w:w="900" w:type="dxa"/>
            <w:vAlign w:val="bottom"/>
            <w:tcBorders>
              <w:top w:val="single" w:sz="8" w:color="325889"/>
              <w:bottom w:val="single" w:sz="8" w:color="98A3B8"/>
            </w:tcBorders>
          </w:tcPr>
          <w:p>
            <w:pPr>
              <w:jc w:val="right"/>
              <w:spacing w:after="0"/>
              <w:rPr>
                <w:sz w:val="20"/>
                <w:szCs w:val="20"/>
                <w:color w:val="auto"/>
              </w:rPr>
            </w:pPr>
            <w:r>
              <w:rPr>
                <w:rFonts w:ascii="Arial" w:cs="Arial" w:eastAsia="Arial" w:hAnsi="Arial"/>
                <w:sz w:val="15"/>
                <w:szCs w:val="15"/>
                <w:color w:val="auto"/>
              </w:rPr>
              <w:t>17.12%</w:t>
            </w:r>
          </w:p>
        </w:tc>
      </w:tr>
      <w:tr>
        <w:trPr>
          <w:trHeight w:val="265"/>
        </w:trPr>
        <w:tc>
          <w:tcPr>
            <w:tcW w:w="8900" w:type="dxa"/>
            <w:vAlign w:val="bottom"/>
            <w:tcBorders>
              <w:bottom w:val="single" w:sz="8" w:color="98A3B8"/>
            </w:tcBorders>
          </w:tcPr>
          <w:p>
            <w:pPr>
              <w:spacing w:after="0" w:line="265" w:lineRule="exact"/>
              <w:rPr>
                <w:sz w:val="20"/>
                <w:szCs w:val="20"/>
                <w:color w:val="auto"/>
              </w:rPr>
            </w:pPr>
            <w:r>
              <w:rPr>
                <w:rFonts w:ascii="Arial" w:cs="Arial" w:eastAsia="Arial" w:hAnsi="Arial"/>
                <w:sz w:val="15"/>
                <w:szCs w:val="15"/>
                <w:color w:val="auto"/>
              </w:rPr>
              <w:t>Cohen &amp; Steers, Inc.</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136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10,434,841</w:t>
            </w:r>
          </w:p>
        </w:tc>
        <w:tc>
          <w:tcPr>
            <w:tcW w:w="140" w:type="dxa"/>
            <w:vAlign w:val="bottom"/>
          </w:tcPr>
          <w:p>
            <w:pPr>
              <w:spacing w:after="0"/>
              <w:rPr>
                <w:sz w:val="23"/>
                <w:szCs w:val="23"/>
                <w:color w:val="auto"/>
              </w:rPr>
            </w:pPr>
          </w:p>
        </w:tc>
        <w:tc>
          <w:tcPr>
            <w:tcW w:w="9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10.25%</w:t>
            </w:r>
          </w:p>
        </w:tc>
      </w:tr>
      <w:tr>
        <w:trPr>
          <w:trHeight w:val="265"/>
        </w:trPr>
        <w:tc>
          <w:tcPr>
            <w:tcW w:w="8900" w:type="dxa"/>
            <w:vAlign w:val="bottom"/>
          </w:tcPr>
          <w:p>
            <w:pPr>
              <w:spacing w:after="0" w:line="265" w:lineRule="exact"/>
              <w:rPr>
                <w:sz w:val="20"/>
                <w:szCs w:val="20"/>
                <w:color w:val="auto"/>
              </w:rPr>
            </w:pPr>
            <w:r>
              <w:rPr>
                <w:rFonts w:ascii="Arial" w:cs="Arial" w:eastAsia="Arial" w:hAnsi="Arial"/>
                <w:sz w:val="15"/>
                <w:szCs w:val="15"/>
                <w:color w:val="auto"/>
              </w:rPr>
              <w:t>BlackRock, Inc.</w:t>
            </w:r>
            <w:r>
              <w:rPr>
                <w:rFonts w:ascii="Arial" w:cs="Arial" w:eastAsia="Arial" w:hAnsi="Arial"/>
                <w:sz w:val="25"/>
                <w:szCs w:val="25"/>
                <w:color w:val="auto"/>
                <w:vertAlign w:val="superscript"/>
              </w:rPr>
              <w:t>(3)</w:t>
            </w:r>
          </w:p>
        </w:tc>
        <w:tc>
          <w:tcPr>
            <w:tcW w:w="140" w:type="dxa"/>
            <w:vAlign w:val="bottom"/>
          </w:tcPr>
          <w:p>
            <w:pPr>
              <w:spacing w:after="0"/>
              <w:rPr>
                <w:sz w:val="23"/>
                <w:szCs w:val="23"/>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5"/>
                <w:szCs w:val="15"/>
                <w:color w:val="auto"/>
              </w:rPr>
              <w:t>9,117,294</w:t>
            </w:r>
          </w:p>
        </w:tc>
        <w:tc>
          <w:tcPr>
            <w:tcW w:w="900" w:type="dxa"/>
            <w:vAlign w:val="bottom"/>
          </w:tcPr>
          <w:p>
            <w:pPr>
              <w:jc w:val="right"/>
              <w:spacing w:after="0"/>
              <w:rPr>
                <w:sz w:val="20"/>
                <w:szCs w:val="20"/>
                <w:color w:val="auto"/>
              </w:rPr>
            </w:pPr>
            <w:r>
              <w:rPr>
                <w:rFonts w:ascii="Arial" w:cs="Arial" w:eastAsia="Arial" w:hAnsi="Arial"/>
                <w:sz w:val="15"/>
                <w:szCs w:val="15"/>
                <w:color w:val="auto"/>
              </w:rPr>
              <w:t>8.95%</w:t>
            </w:r>
          </w:p>
        </w:tc>
      </w:tr>
      <w:tr>
        <w:trPr>
          <w:trHeight w:val="20"/>
        </w:trPr>
        <w:tc>
          <w:tcPr>
            <w:tcW w:w="890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98A3B8"/>
          </w:tcPr>
          <w:p>
            <w:pPr>
              <w:spacing w:after="0" w:line="20" w:lineRule="exact"/>
              <w:rPr>
                <w:sz w:val="1"/>
                <w:szCs w:val="1"/>
                <w:color w:val="auto"/>
              </w:rPr>
            </w:pPr>
          </w:p>
        </w:tc>
      </w:tr>
      <w:tr>
        <w:trPr>
          <w:trHeight w:val="265"/>
        </w:trPr>
        <w:tc>
          <w:tcPr>
            <w:tcW w:w="8900" w:type="dxa"/>
            <w:vAlign w:val="bottom"/>
          </w:tcPr>
          <w:p>
            <w:pPr>
              <w:spacing w:after="0" w:line="265" w:lineRule="exact"/>
              <w:rPr>
                <w:sz w:val="20"/>
                <w:szCs w:val="20"/>
                <w:color w:val="auto"/>
              </w:rPr>
            </w:pPr>
            <w:r>
              <w:rPr>
                <w:rFonts w:ascii="Arial" w:cs="Arial" w:eastAsia="Arial" w:hAnsi="Arial"/>
                <w:sz w:val="15"/>
                <w:szCs w:val="15"/>
                <w:color w:val="auto"/>
              </w:rPr>
              <w:t>State Street Corporation</w:t>
            </w:r>
            <w:r>
              <w:rPr>
                <w:rFonts w:ascii="Arial" w:cs="Arial" w:eastAsia="Arial" w:hAnsi="Arial"/>
                <w:sz w:val="25"/>
                <w:szCs w:val="25"/>
                <w:color w:val="auto"/>
                <w:vertAlign w:val="superscript"/>
              </w:rPr>
              <w:t>(4)</w:t>
            </w:r>
          </w:p>
        </w:tc>
        <w:tc>
          <w:tcPr>
            <w:tcW w:w="140" w:type="dxa"/>
            <w:vAlign w:val="bottom"/>
          </w:tcPr>
          <w:p>
            <w:pPr>
              <w:spacing w:after="0"/>
              <w:rPr>
                <w:sz w:val="23"/>
                <w:szCs w:val="23"/>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5"/>
                <w:szCs w:val="15"/>
                <w:color w:val="auto"/>
              </w:rPr>
              <w:t>5,845,935</w:t>
            </w:r>
          </w:p>
        </w:tc>
        <w:tc>
          <w:tcPr>
            <w:tcW w:w="900" w:type="dxa"/>
            <w:vAlign w:val="bottom"/>
          </w:tcPr>
          <w:p>
            <w:pPr>
              <w:jc w:val="right"/>
              <w:spacing w:after="0"/>
              <w:rPr>
                <w:sz w:val="20"/>
                <w:szCs w:val="20"/>
                <w:color w:val="auto"/>
              </w:rPr>
            </w:pPr>
            <w:r>
              <w:rPr>
                <w:rFonts w:ascii="Arial" w:cs="Arial" w:eastAsia="Arial" w:hAnsi="Arial"/>
                <w:sz w:val="15"/>
                <w:szCs w:val="15"/>
                <w:color w:val="auto"/>
              </w:rPr>
              <w:t>5.74%</w:t>
            </w:r>
          </w:p>
        </w:tc>
      </w:tr>
      <w:tr>
        <w:trPr>
          <w:trHeight w:val="20"/>
        </w:trPr>
        <w:tc>
          <w:tcPr>
            <w:tcW w:w="890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98A3B8"/>
          </w:tcPr>
          <w:p>
            <w:pPr>
              <w:spacing w:after="0" w:line="20" w:lineRule="exact"/>
              <w:rPr>
                <w:sz w:val="1"/>
                <w:szCs w:val="1"/>
                <w:color w:val="auto"/>
              </w:rPr>
            </w:pPr>
          </w:p>
        </w:tc>
      </w:tr>
      <w:tr>
        <w:trPr>
          <w:trHeight w:val="265"/>
        </w:trPr>
        <w:tc>
          <w:tcPr>
            <w:tcW w:w="8900" w:type="dxa"/>
            <w:vAlign w:val="bottom"/>
          </w:tcPr>
          <w:p>
            <w:pPr>
              <w:spacing w:after="0" w:line="265" w:lineRule="exact"/>
              <w:rPr>
                <w:sz w:val="20"/>
                <w:szCs w:val="20"/>
                <w:color w:val="auto"/>
              </w:rPr>
            </w:pPr>
            <w:r>
              <w:rPr>
                <w:rFonts w:ascii="Arial" w:cs="Arial" w:eastAsia="Arial" w:hAnsi="Arial"/>
                <w:sz w:val="15"/>
                <w:szCs w:val="15"/>
                <w:color w:val="auto"/>
              </w:rPr>
              <w:t>John H. Alschuler</w:t>
            </w:r>
            <w:r>
              <w:rPr>
                <w:rFonts w:ascii="Arial" w:cs="Arial" w:eastAsia="Arial" w:hAnsi="Arial"/>
                <w:sz w:val="25"/>
                <w:szCs w:val="25"/>
                <w:color w:val="auto"/>
                <w:vertAlign w:val="superscript"/>
              </w:rPr>
              <w:t>(5)</w:t>
            </w:r>
          </w:p>
        </w:tc>
        <w:tc>
          <w:tcPr>
            <w:tcW w:w="140" w:type="dxa"/>
            <w:vAlign w:val="bottom"/>
          </w:tcPr>
          <w:p>
            <w:pPr>
              <w:spacing w:after="0"/>
              <w:rPr>
                <w:sz w:val="23"/>
                <w:szCs w:val="23"/>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5"/>
                <w:szCs w:val="15"/>
                <w:color w:val="auto"/>
              </w:rPr>
              <w:t>30,463</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890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98A3B8"/>
          </w:tcPr>
          <w:p>
            <w:pPr>
              <w:spacing w:after="0" w:line="20" w:lineRule="exact"/>
              <w:rPr>
                <w:sz w:val="1"/>
                <w:szCs w:val="1"/>
                <w:color w:val="auto"/>
              </w:rPr>
            </w:pPr>
          </w:p>
        </w:tc>
      </w:tr>
      <w:tr>
        <w:trPr>
          <w:trHeight w:val="265"/>
        </w:trPr>
        <w:tc>
          <w:tcPr>
            <w:tcW w:w="8900" w:type="dxa"/>
            <w:vAlign w:val="bottom"/>
          </w:tcPr>
          <w:p>
            <w:pPr>
              <w:spacing w:after="0" w:line="265" w:lineRule="exact"/>
              <w:rPr>
                <w:sz w:val="20"/>
                <w:szCs w:val="20"/>
                <w:color w:val="auto"/>
              </w:rPr>
            </w:pPr>
            <w:r>
              <w:rPr>
                <w:rFonts w:ascii="Arial" w:cs="Arial" w:eastAsia="Arial" w:hAnsi="Arial"/>
                <w:sz w:val="15"/>
                <w:szCs w:val="15"/>
                <w:color w:val="auto"/>
              </w:rPr>
              <w:t>Betsy S. Atkins</w:t>
            </w:r>
            <w:r>
              <w:rPr>
                <w:rFonts w:ascii="Arial" w:cs="Arial" w:eastAsia="Arial" w:hAnsi="Arial"/>
                <w:sz w:val="25"/>
                <w:szCs w:val="25"/>
                <w:color w:val="auto"/>
                <w:vertAlign w:val="superscript"/>
              </w:rPr>
              <w:t>(6)</w:t>
            </w:r>
          </w:p>
        </w:tc>
        <w:tc>
          <w:tcPr>
            <w:tcW w:w="140" w:type="dxa"/>
            <w:vAlign w:val="bottom"/>
          </w:tcPr>
          <w:p>
            <w:pPr>
              <w:spacing w:after="0"/>
              <w:rPr>
                <w:sz w:val="23"/>
                <w:szCs w:val="23"/>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5"/>
                <w:szCs w:val="15"/>
                <w:color w:val="auto"/>
              </w:rPr>
              <w:t>5,242</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890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98A3B8"/>
          </w:tcPr>
          <w:p>
            <w:pPr>
              <w:spacing w:after="0" w:line="20" w:lineRule="exact"/>
              <w:rPr>
                <w:sz w:val="1"/>
                <w:szCs w:val="1"/>
                <w:color w:val="auto"/>
              </w:rPr>
            </w:pPr>
          </w:p>
        </w:tc>
      </w:tr>
      <w:tr>
        <w:trPr>
          <w:trHeight w:val="265"/>
        </w:trPr>
        <w:tc>
          <w:tcPr>
            <w:tcW w:w="8900" w:type="dxa"/>
            <w:vAlign w:val="bottom"/>
          </w:tcPr>
          <w:p>
            <w:pPr>
              <w:spacing w:after="0" w:line="265" w:lineRule="exact"/>
              <w:rPr>
                <w:sz w:val="20"/>
                <w:szCs w:val="20"/>
                <w:color w:val="auto"/>
              </w:rPr>
            </w:pPr>
            <w:r>
              <w:rPr>
                <w:rFonts w:ascii="Arial" w:cs="Arial" w:eastAsia="Arial" w:hAnsi="Arial"/>
                <w:sz w:val="15"/>
                <w:szCs w:val="15"/>
                <w:color w:val="auto"/>
              </w:rPr>
              <w:t>Edwin Thomas Burton, III</w:t>
            </w:r>
            <w:r>
              <w:rPr>
                <w:rFonts w:ascii="Arial" w:cs="Arial" w:eastAsia="Arial" w:hAnsi="Arial"/>
                <w:sz w:val="25"/>
                <w:szCs w:val="25"/>
                <w:color w:val="auto"/>
                <w:vertAlign w:val="superscript"/>
              </w:rPr>
              <w:t>(7)</w:t>
            </w:r>
          </w:p>
        </w:tc>
        <w:tc>
          <w:tcPr>
            <w:tcW w:w="140" w:type="dxa"/>
            <w:vAlign w:val="bottom"/>
          </w:tcPr>
          <w:p>
            <w:pPr>
              <w:spacing w:after="0"/>
              <w:rPr>
                <w:sz w:val="23"/>
                <w:szCs w:val="23"/>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5"/>
                <w:szCs w:val="15"/>
                <w:color w:val="auto"/>
              </w:rPr>
              <w:t>34,469</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890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98A3B8"/>
          </w:tcPr>
          <w:p>
            <w:pPr>
              <w:spacing w:after="0" w:line="20" w:lineRule="exact"/>
              <w:rPr>
                <w:sz w:val="1"/>
                <w:szCs w:val="1"/>
                <w:color w:val="auto"/>
              </w:rPr>
            </w:pPr>
          </w:p>
        </w:tc>
      </w:tr>
      <w:tr>
        <w:trPr>
          <w:trHeight w:val="265"/>
        </w:trPr>
        <w:tc>
          <w:tcPr>
            <w:tcW w:w="8900" w:type="dxa"/>
            <w:vAlign w:val="bottom"/>
          </w:tcPr>
          <w:p>
            <w:pPr>
              <w:spacing w:after="0" w:line="265" w:lineRule="exact"/>
              <w:rPr>
                <w:sz w:val="20"/>
                <w:szCs w:val="20"/>
                <w:color w:val="auto"/>
              </w:rPr>
            </w:pPr>
            <w:r>
              <w:rPr>
                <w:rFonts w:ascii="Arial" w:cs="Arial" w:eastAsia="Arial" w:hAnsi="Arial"/>
                <w:sz w:val="15"/>
                <w:szCs w:val="15"/>
                <w:color w:val="auto"/>
              </w:rPr>
              <w:t>Matthew J. DiLiberto</w:t>
            </w:r>
            <w:r>
              <w:rPr>
                <w:rFonts w:ascii="Arial" w:cs="Arial" w:eastAsia="Arial" w:hAnsi="Arial"/>
                <w:sz w:val="25"/>
                <w:szCs w:val="25"/>
                <w:color w:val="auto"/>
                <w:vertAlign w:val="superscript"/>
              </w:rPr>
              <w:t>(8)</w:t>
            </w:r>
          </w:p>
        </w:tc>
        <w:tc>
          <w:tcPr>
            <w:tcW w:w="140" w:type="dxa"/>
            <w:vAlign w:val="bottom"/>
          </w:tcPr>
          <w:p>
            <w:pPr>
              <w:spacing w:after="0"/>
              <w:rPr>
                <w:sz w:val="23"/>
                <w:szCs w:val="23"/>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5"/>
                <w:szCs w:val="15"/>
                <w:color w:val="auto"/>
              </w:rPr>
              <w:t>49,053</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890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98A3B8"/>
          </w:tcPr>
          <w:p>
            <w:pPr>
              <w:spacing w:after="0" w:line="20" w:lineRule="exact"/>
              <w:rPr>
                <w:sz w:val="1"/>
                <w:szCs w:val="1"/>
                <w:color w:val="auto"/>
              </w:rPr>
            </w:pPr>
          </w:p>
        </w:tc>
      </w:tr>
      <w:tr>
        <w:trPr>
          <w:trHeight w:val="265"/>
        </w:trPr>
        <w:tc>
          <w:tcPr>
            <w:tcW w:w="8900" w:type="dxa"/>
            <w:vAlign w:val="bottom"/>
          </w:tcPr>
          <w:p>
            <w:pPr>
              <w:spacing w:after="0" w:line="265" w:lineRule="exact"/>
              <w:rPr>
                <w:sz w:val="20"/>
                <w:szCs w:val="20"/>
                <w:color w:val="auto"/>
              </w:rPr>
            </w:pPr>
            <w:r>
              <w:rPr>
                <w:rFonts w:ascii="Arial" w:cs="Arial" w:eastAsia="Arial" w:hAnsi="Arial"/>
                <w:sz w:val="15"/>
                <w:szCs w:val="15"/>
                <w:color w:val="auto"/>
              </w:rPr>
              <w:t>Lauren B. Dillard</w:t>
            </w:r>
            <w:r>
              <w:rPr>
                <w:rFonts w:ascii="Arial" w:cs="Arial" w:eastAsia="Arial" w:hAnsi="Arial"/>
                <w:sz w:val="25"/>
                <w:szCs w:val="25"/>
                <w:color w:val="auto"/>
                <w:vertAlign w:val="superscript"/>
              </w:rPr>
              <w:t>(9)</w:t>
            </w:r>
          </w:p>
        </w:tc>
        <w:tc>
          <w:tcPr>
            <w:tcW w:w="140" w:type="dxa"/>
            <w:vAlign w:val="bottom"/>
          </w:tcPr>
          <w:p>
            <w:pPr>
              <w:spacing w:after="0"/>
              <w:rPr>
                <w:sz w:val="23"/>
                <w:szCs w:val="23"/>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5"/>
                <w:szCs w:val="15"/>
                <w:color w:val="auto"/>
              </w:rPr>
              <w:t>2,879</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890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98A3B8"/>
          </w:tcPr>
          <w:p>
            <w:pPr>
              <w:spacing w:after="0" w:line="20" w:lineRule="exact"/>
              <w:rPr>
                <w:sz w:val="1"/>
                <w:szCs w:val="1"/>
                <w:color w:val="auto"/>
              </w:rPr>
            </w:pPr>
          </w:p>
        </w:tc>
      </w:tr>
      <w:tr>
        <w:trPr>
          <w:trHeight w:val="265"/>
        </w:trPr>
        <w:tc>
          <w:tcPr>
            <w:tcW w:w="8900" w:type="dxa"/>
            <w:vAlign w:val="bottom"/>
          </w:tcPr>
          <w:p>
            <w:pPr>
              <w:spacing w:after="0" w:line="265" w:lineRule="exact"/>
              <w:rPr>
                <w:sz w:val="20"/>
                <w:szCs w:val="20"/>
                <w:color w:val="auto"/>
              </w:rPr>
            </w:pPr>
            <w:r>
              <w:rPr>
                <w:rFonts w:ascii="Arial" w:cs="Arial" w:eastAsia="Arial" w:hAnsi="Arial"/>
                <w:sz w:val="15"/>
                <w:szCs w:val="15"/>
                <w:color w:val="auto"/>
              </w:rPr>
              <w:t>Stephen L. Green</w:t>
            </w:r>
            <w:r>
              <w:rPr>
                <w:rFonts w:ascii="Arial" w:cs="Arial" w:eastAsia="Arial" w:hAnsi="Arial"/>
                <w:sz w:val="25"/>
                <w:szCs w:val="25"/>
                <w:color w:val="auto"/>
                <w:vertAlign w:val="superscript"/>
              </w:rPr>
              <w:t>(10)</w:t>
            </w:r>
          </w:p>
        </w:tc>
        <w:tc>
          <w:tcPr>
            <w:tcW w:w="140" w:type="dxa"/>
            <w:vAlign w:val="bottom"/>
          </w:tcPr>
          <w:p>
            <w:pPr>
              <w:spacing w:after="0"/>
              <w:rPr>
                <w:sz w:val="23"/>
                <w:szCs w:val="23"/>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5"/>
                <w:szCs w:val="15"/>
                <w:color w:val="auto"/>
              </w:rPr>
              <w:t>912,274</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890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98A3B8"/>
          </w:tcPr>
          <w:p>
            <w:pPr>
              <w:spacing w:after="0" w:line="20" w:lineRule="exact"/>
              <w:rPr>
                <w:sz w:val="1"/>
                <w:szCs w:val="1"/>
                <w:color w:val="auto"/>
              </w:rPr>
            </w:pPr>
          </w:p>
        </w:tc>
      </w:tr>
      <w:tr>
        <w:trPr>
          <w:trHeight w:val="199"/>
        </w:trPr>
        <w:tc>
          <w:tcPr>
            <w:tcW w:w="8900" w:type="dxa"/>
            <w:vAlign w:val="bottom"/>
          </w:tcPr>
          <w:p>
            <w:pPr>
              <w:spacing w:after="0"/>
              <w:rPr>
                <w:sz w:val="20"/>
                <w:szCs w:val="20"/>
                <w:color w:val="auto"/>
              </w:rPr>
            </w:pPr>
            <w:r>
              <w:rPr>
                <w:rFonts w:ascii="Arial" w:cs="Arial" w:eastAsia="Arial" w:hAnsi="Arial"/>
                <w:sz w:val="15"/>
                <w:szCs w:val="15"/>
                <w:color w:val="auto"/>
              </w:rPr>
              <w:t>Craig M. Hatkoff</w:t>
            </w:r>
          </w:p>
        </w:tc>
        <w:tc>
          <w:tcPr>
            <w:tcW w:w="140" w:type="dxa"/>
            <w:vAlign w:val="bottom"/>
          </w:tcPr>
          <w:p>
            <w:pPr>
              <w:spacing w:after="0"/>
              <w:rPr>
                <w:sz w:val="17"/>
                <w:szCs w:val="17"/>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5"/>
                <w:szCs w:val="15"/>
                <w:color w:val="auto"/>
              </w:rPr>
              <w:t>1,544</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890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98A3B8"/>
          </w:tcPr>
          <w:p>
            <w:pPr>
              <w:spacing w:after="0" w:line="20" w:lineRule="exact"/>
              <w:rPr>
                <w:sz w:val="1"/>
                <w:szCs w:val="1"/>
                <w:color w:val="auto"/>
              </w:rPr>
            </w:pPr>
          </w:p>
        </w:tc>
      </w:tr>
      <w:tr>
        <w:trPr>
          <w:trHeight w:val="271"/>
        </w:trPr>
        <w:tc>
          <w:tcPr>
            <w:tcW w:w="8900" w:type="dxa"/>
            <w:vAlign w:val="bottom"/>
          </w:tcPr>
          <w:p>
            <w:pPr>
              <w:spacing w:after="0" w:line="271" w:lineRule="exact"/>
              <w:rPr>
                <w:sz w:val="20"/>
                <w:szCs w:val="20"/>
                <w:color w:val="auto"/>
              </w:rPr>
            </w:pPr>
            <w:r>
              <w:rPr>
                <w:rFonts w:ascii="Arial" w:cs="Arial" w:eastAsia="Arial" w:hAnsi="Arial"/>
                <w:sz w:val="15"/>
                <w:szCs w:val="15"/>
                <w:color w:val="auto"/>
              </w:rPr>
              <w:t>Marc Holliday</w:t>
            </w:r>
            <w:r>
              <w:rPr>
                <w:rFonts w:ascii="Arial" w:cs="Arial" w:eastAsia="Arial" w:hAnsi="Arial"/>
                <w:sz w:val="25"/>
                <w:szCs w:val="25"/>
                <w:color w:val="auto"/>
                <w:vertAlign w:val="superscript"/>
              </w:rPr>
              <w:t>(11)</w:t>
            </w:r>
          </w:p>
        </w:tc>
        <w:tc>
          <w:tcPr>
            <w:tcW w:w="140" w:type="dxa"/>
            <w:vAlign w:val="bottom"/>
          </w:tcPr>
          <w:p>
            <w:pPr>
              <w:spacing w:after="0"/>
              <w:rPr>
                <w:sz w:val="23"/>
                <w:szCs w:val="23"/>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5"/>
                <w:szCs w:val="15"/>
                <w:color w:val="auto"/>
              </w:rPr>
              <w:t>853,924</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890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98A3B8"/>
          </w:tcPr>
          <w:p>
            <w:pPr>
              <w:spacing w:after="0" w:line="20" w:lineRule="exact"/>
              <w:rPr>
                <w:sz w:val="1"/>
                <w:szCs w:val="1"/>
                <w:color w:val="auto"/>
              </w:rPr>
            </w:pPr>
          </w:p>
        </w:tc>
      </w:tr>
      <w:tr>
        <w:trPr>
          <w:trHeight w:val="265"/>
        </w:trPr>
        <w:tc>
          <w:tcPr>
            <w:tcW w:w="8900" w:type="dxa"/>
            <w:vAlign w:val="bottom"/>
          </w:tcPr>
          <w:p>
            <w:pPr>
              <w:spacing w:after="0" w:line="265" w:lineRule="exact"/>
              <w:rPr>
                <w:sz w:val="20"/>
                <w:szCs w:val="20"/>
                <w:color w:val="auto"/>
              </w:rPr>
            </w:pPr>
            <w:r>
              <w:rPr>
                <w:rFonts w:ascii="Arial" w:cs="Arial" w:eastAsia="Arial" w:hAnsi="Arial"/>
                <w:sz w:val="15"/>
                <w:szCs w:val="15"/>
                <w:color w:val="auto"/>
              </w:rPr>
              <w:t>Andrew S. Levine</w:t>
            </w:r>
            <w:r>
              <w:rPr>
                <w:rFonts w:ascii="Arial" w:cs="Arial" w:eastAsia="Arial" w:hAnsi="Arial"/>
                <w:sz w:val="25"/>
                <w:szCs w:val="25"/>
                <w:color w:val="auto"/>
                <w:vertAlign w:val="superscript"/>
              </w:rPr>
              <w:t>(12)</w:t>
            </w:r>
          </w:p>
        </w:tc>
        <w:tc>
          <w:tcPr>
            <w:tcW w:w="140" w:type="dxa"/>
            <w:vAlign w:val="bottom"/>
          </w:tcPr>
          <w:p>
            <w:pPr>
              <w:spacing w:after="0"/>
              <w:rPr>
                <w:sz w:val="23"/>
                <w:szCs w:val="23"/>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5"/>
                <w:szCs w:val="15"/>
                <w:color w:val="auto"/>
              </w:rPr>
              <w:t>92,106</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890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98A3B8"/>
          </w:tcPr>
          <w:p>
            <w:pPr>
              <w:spacing w:after="0" w:line="20" w:lineRule="exact"/>
              <w:rPr>
                <w:sz w:val="1"/>
                <w:szCs w:val="1"/>
                <w:color w:val="auto"/>
              </w:rPr>
            </w:pPr>
          </w:p>
        </w:tc>
      </w:tr>
      <w:tr>
        <w:trPr>
          <w:trHeight w:val="265"/>
        </w:trPr>
        <w:tc>
          <w:tcPr>
            <w:tcW w:w="8900" w:type="dxa"/>
            <w:vAlign w:val="bottom"/>
          </w:tcPr>
          <w:p>
            <w:pPr>
              <w:spacing w:after="0" w:line="265" w:lineRule="exact"/>
              <w:rPr>
                <w:sz w:val="20"/>
                <w:szCs w:val="20"/>
                <w:color w:val="auto"/>
              </w:rPr>
            </w:pPr>
            <w:r>
              <w:rPr>
                <w:rFonts w:ascii="Arial" w:cs="Arial" w:eastAsia="Arial" w:hAnsi="Arial"/>
                <w:sz w:val="15"/>
                <w:szCs w:val="15"/>
                <w:color w:val="auto"/>
              </w:rPr>
              <w:t>John S. Levy</w:t>
            </w:r>
            <w:r>
              <w:rPr>
                <w:rFonts w:ascii="Arial" w:cs="Arial" w:eastAsia="Arial" w:hAnsi="Arial"/>
                <w:sz w:val="25"/>
                <w:szCs w:val="25"/>
                <w:color w:val="auto"/>
                <w:vertAlign w:val="superscript"/>
              </w:rPr>
              <w:t>(13)</w:t>
            </w:r>
          </w:p>
        </w:tc>
        <w:tc>
          <w:tcPr>
            <w:tcW w:w="140" w:type="dxa"/>
            <w:vAlign w:val="bottom"/>
          </w:tcPr>
          <w:p>
            <w:pPr>
              <w:spacing w:after="0"/>
              <w:rPr>
                <w:sz w:val="23"/>
                <w:szCs w:val="23"/>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5"/>
                <w:szCs w:val="15"/>
                <w:color w:val="auto"/>
              </w:rPr>
              <w:t>73,980</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890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98A3B8"/>
          </w:tcPr>
          <w:p>
            <w:pPr>
              <w:spacing w:after="0" w:line="20" w:lineRule="exact"/>
              <w:rPr>
                <w:sz w:val="1"/>
                <w:szCs w:val="1"/>
                <w:color w:val="auto"/>
              </w:rPr>
            </w:pPr>
          </w:p>
        </w:tc>
      </w:tr>
      <w:tr>
        <w:trPr>
          <w:trHeight w:val="265"/>
        </w:trPr>
        <w:tc>
          <w:tcPr>
            <w:tcW w:w="8900" w:type="dxa"/>
            <w:vAlign w:val="bottom"/>
          </w:tcPr>
          <w:p>
            <w:pPr>
              <w:spacing w:after="0" w:line="265" w:lineRule="exact"/>
              <w:rPr>
                <w:sz w:val="20"/>
                <w:szCs w:val="20"/>
                <w:color w:val="auto"/>
              </w:rPr>
            </w:pPr>
            <w:r>
              <w:rPr>
                <w:rFonts w:ascii="Arial" w:cs="Arial" w:eastAsia="Arial" w:hAnsi="Arial"/>
                <w:sz w:val="15"/>
                <w:szCs w:val="15"/>
                <w:color w:val="auto"/>
              </w:rPr>
              <w:t>Andrew Mathias</w:t>
            </w:r>
            <w:r>
              <w:rPr>
                <w:rFonts w:ascii="Arial" w:cs="Arial" w:eastAsia="Arial" w:hAnsi="Arial"/>
                <w:sz w:val="25"/>
                <w:szCs w:val="25"/>
                <w:color w:val="auto"/>
                <w:vertAlign w:val="superscript"/>
              </w:rPr>
              <w:t>(14)</w:t>
            </w:r>
          </w:p>
        </w:tc>
        <w:tc>
          <w:tcPr>
            <w:tcW w:w="140" w:type="dxa"/>
            <w:vAlign w:val="bottom"/>
          </w:tcPr>
          <w:p>
            <w:pPr>
              <w:spacing w:after="0"/>
              <w:rPr>
                <w:sz w:val="23"/>
                <w:szCs w:val="23"/>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5"/>
                <w:szCs w:val="15"/>
                <w:color w:val="auto"/>
              </w:rPr>
              <w:t>988,780</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890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shd w:val="clear" w:color="auto" w:fill="98A3B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98A3B8"/>
          </w:tcPr>
          <w:p>
            <w:pPr>
              <w:spacing w:after="0" w:line="20" w:lineRule="exact"/>
              <w:rPr>
                <w:sz w:val="1"/>
                <w:szCs w:val="1"/>
                <w:color w:val="auto"/>
              </w:rPr>
            </w:pPr>
          </w:p>
        </w:tc>
      </w:tr>
      <w:tr>
        <w:trPr>
          <w:trHeight w:val="199"/>
        </w:trPr>
        <w:tc>
          <w:tcPr>
            <w:tcW w:w="8900" w:type="dxa"/>
            <w:vAlign w:val="bottom"/>
          </w:tcPr>
          <w:p>
            <w:pPr>
              <w:spacing w:after="0"/>
              <w:rPr>
                <w:sz w:val="20"/>
                <w:szCs w:val="20"/>
                <w:color w:val="auto"/>
              </w:rPr>
            </w:pPr>
            <w:r>
              <w:rPr>
                <w:rFonts w:ascii="Arial" w:cs="Arial" w:eastAsia="Arial" w:hAnsi="Arial"/>
                <w:sz w:val="15"/>
                <w:szCs w:val="15"/>
                <w:color w:val="auto"/>
              </w:rPr>
              <w:t>All Directors and Executive Officers as a Group (11 Persons)</w:t>
            </w:r>
          </w:p>
        </w:tc>
        <w:tc>
          <w:tcPr>
            <w:tcW w:w="140" w:type="dxa"/>
            <w:vAlign w:val="bottom"/>
          </w:tcPr>
          <w:p>
            <w:pPr>
              <w:spacing w:after="0"/>
              <w:rPr>
                <w:sz w:val="17"/>
                <w:szCs w:val="17"/>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5"/>
                <w:szCs w:val="15"/>
                <w:color w:val="auto"/>
              </w:rPr>
              <w:t>3,044,714</w:t>
            </w:r>
          </w:p>
        </w:tc>
        <w:tc>
          <w:tcPr>
            <w:tcW w:w="900" w:type="dxa"/>
            <w:vAlign w:val="bottom"/>
          </w:tcPr>
          <w:p>
            <w:pPr>
              <w:jc w:val="right"/>
              <w:spacing w:after="0"/>
              <w:rPr>
                <w:sz w:val="20"/>
                <w:szCs w:val="20"/>
                <w:color w:val="auto"/>
              </w:rPr>
            </w:pPr>
            <w:r>
              <w:rPr>
                <w:rFonts w:ascii="Arial" w:cs="Arial" w:eastAsia="Arial" w:hAnsi="Arial"/>
                <w:sz w:val="15"/>
                <w:szCs w:val="15"/>
                <w:color w:val="auto"/>
              </w:rPr>
              <w:t>2.99%</w:t>
            </w:r>
          </w:p>
        </w:tc>
      </w:tr>
      <w:tr>
        <w:trPr>
          <w:trHeight w:val="30"/>
        </w:trPr>
        <w:tc>
          <w:tcPr>
            <w:tcW w:w="890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shd w:val="clear" w:color="auto" w:fill="325889"/>
          </w:tcPr>
          <w:p>
            <w:pPr>
              <w:spacing w:after="0"/>
              <w:rPr>
                <w:sz w:val="2"/>
                <w:szCs w:val="2"/>
                <w:color w:val="auto"/>
              </w:rPr>
            </w:pPr>
          </w:p>
        </w:tc>
      </w:tr>
    </w:tbl>
    <w:p>
      <w:pPr>
        <w:spacing w:after="0" w:line="51" w:lineRule="exact"/>
        <w:rPr>
          <w:sz w:val="20"/>
          <w:szCs w:val="20"/>
          <w:color w:val="auto"/>
        </w:rPr>
      </w:pPr>
    </w:p>
    <w:p>
      <w:pPr>
        <w:ind w:left="305" w:hanging="305"/>
        <w:spacing w:after="0"/>
        <w:tabs>
          <w:tab w:leader="none" w:pos="305" w:val="left"/>
        </w:tabs>
        <w:numPr>
          <w:ilvl w:val="0"/>
          <w:numId w:val="74"/>
        </w:numPr>
        <w:rPr>
          <w:rFonts w:ascii="Arial" w:cs="Arial" w:eastAsia="Arial" w:hAnsi="Arial"/>
          <w:sz w:val="12"/>
          <w:szCs w:val="12"/>
          <w:color w:val="auto"/>
        </w:rPr>
      </w:pPr>
      <w:r>
        <w:rPr>
          <w:rFonts w:ascii="Arial" w:cs="Arial" w:eastAsia="Arial" w:hAnsi="Arial"/>
          <w:sz w:val="12"/>
          <w:szCs w:val="12"/>
          <w:color w:val="auto"/>
        </w:rPr>
        <w:t>Less than 1%.</w:t>
      </w:r>
    </w:p>
    <w:p>
      <w:pPr>
        <w:ind w:left="305" w:hanging="305"/>
        <w:spacing w:after="0" w:line="227" w:lineRule="auto"/>
        <w:tabs>
          <w:tab w:leader="none" w:pos="305" w:val="left"/>
        </w:tabs>
        <w:numPr>
          <w:ilvl w:val="0"/>
          <w:numId w:val="75"/>
        </w:numPr>
        <w:rPr>
          <w:rFonts w:ascii="Arial" w:cs="Arial" w:eastAsia="Arial" w:hAnsi="Arial"/>
          <w:sz w:val="12"/>
          <w:szCs w:val="12"/>
          <w:color w:val="auto"/>
        </w:rPr>
      </w:pPr>
      <w:r>
        <w:rPr>
          <w:rFonts w:ascii="Arial" w:cs="Arial" w:eastAsia="Arial" w:hAnsi="Arial"/>
          <w:sz w:val="12"/>
          <w:szCs w:val="12"/>
          <w:color w:val="auto"/>
        </w:rPr>
        <w:t>Unless otherwise indicated, the business address is 420 Lexington Avenue, New York, New York 10170-1881.</w:t>
      </w:r>
    </w:p>
    <w:p>
      <w:pPr>
        <w:ind w:left="305" w:right="220" w:hanging="305"/>
        <w:spacing w:after="0" w:line="236" w:lineRule="auto"/>
        <w:tabs>
          <w:tab w:leader="none" w:pos="305" w:val="left"/>
        </w:tabs>
        <w:numPr>
          <w:ilvl w:val="0"/>
          <w:numId w:val="76"/>
        </w:numPr>
        <w:rPr>
          <w:rFonts w:ascii="Arial" w:cs="Arial" w:eastAsia="Arial" w:hAnsi="Arial"/>
          <w:sz w:val="12"/>
          <w:szCs w:val="12"/>
          <w:color w:val="auto"/>
        </w:rPr>
      </w:pPr>
      <w:r>
        <w:rPr>
          <w:rFonts w:ascii="Arial" w:cs="Arial" w:eastAsia="Arial" w:hAnsi="Arial"/>
          <w:sz w:val="12"/>
          <w:szCs w:val="12"/>
          <w:color w:val="auto"/>
        </w:rPr>
        <w:t>Based on information provided on a Schedule 13G/A filed with the SEC on February 13, 2017, as of December 31, 2016, The Vanguard Group (“Vanguard”) may be deemed to beneficially own an aggregate of 17,429,326 shares of our common stock in its capacity as an investment advisor, which includes 129,194,613 shares of our common stock held by Vanguard Fiduciary Trust Company as a</w:t>
      </w:r>
    </w:p>
    <w:p>
      <w:pPr>
        <w:spacing w:after="0" w:line="183" w:lineRule="exact"/>
        <w:rPr>
          <w:sz w:val="20"/>
          <w:szCs w:val="20"/>
          <w:color w:val="auto"/>
        </w:rPr>
      </w:pPr>
    </w:p>
    <w:p>
      <w:pPr>
        <w:ind w:left="265" w:hanging="265"/>
        <w:spacing w:after="0"/>
        <w:tabs>
          <w:tab w:leader="none" w:pos="265" w:val="left"/>
        </w:tabs>
        <w:numPr>
          <w:ilvl w:val="0"/>
          <w:numId w:val="77"/>
        </w:numPr>
        <w:rPr>
          <w:rFonts w:ascii="Arial" w:cs="Arial" w:eastAsia="Arial" w:hAnsi="Arial"/>
          <w:sz w:val="15"/>
          <w:szCs w:val="15"/>
          <w:color w:val="325889"/>
        </w:rPr>
      </w:pPr>
      <w:r>
        <w:rPr>
          <w:rFonts w:ascii="Arial" w:cs="Arial" w:eastAsia="Arial" w:hAnsi="Arial"/>
          <w:sz w:val="15"/>
          <w:szCs w:val="15"/>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83450" cy="203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5"/>
          </w:cols>
          <w:pgMar w:left="235" w:top="528" w:right="219" w:bottom="1440" w:gutter="0" w:footer="0" w:header="0"/>
          <w:type w:val="continuous"/>
        </w:sectPr>
      </w:pPr>
    </w:p>
    <w:bookmarkStart w:id="58" w:name="page59"/>
    <w:bookmarkEnd w:id="58"/>
    <w:p>
      <w:pPr>
        <w:ind w:left="5"/>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325889"/>
        </w:rPr>
        <w:t>STOCK OWNERSHIP INFORMATION</w:t>
      </w:r>
    </w:p>
    <w:p>
      <w:pPr>
        <w:spacing w:after="0" w:line="192" w:lineRule="exact"/>
        <w:rPr>
          <w:sz w:val="20"/>
          <w:szCs w:val="20"/>
          <w:color w:val="auto"/>
        </w:rPr>
      </w:pPr>
    </w:p>
    <w:p>
      <w:pPr>
        <w:ind w:left="385" w:right="100"/>
        <w:spacing w:after="0" w:line="231" w:lineRule="auto"/>
        <w:rPr>
          <w:sz w:val="20"/>
          <w:szCs w:val="20"/>
          <w:color w:val="auto"/>
        </w:rPr>
      </w:pPr>
      <w:r>
        <w:rPr>
          <w:rFonts w:ascii="Arial" w:cs="Arial" w:eastAsia="Arial" w:hAnsi="Arial"/>
          <w:sz w:val="12"/>
          <w:szCs w:val="12"/>
          <w:color w:val="auto"/>
        </w:rPr>
        <w:t>result of its serving as investment manager of collective trust accounts and 312,463 shares of our common stock held by Vanguard Investments Australia, Ltd. as a result of its serving as investment manager of Australian investment offerings. The business address of Vanguard is 100 Vanguard Blvd., Malvern, PA 19355. According to information received from Vanguard, the number of shares reported as beneficially owned by Vanguard in such Schedule 13G/A includes 7,611,627 shares, representing 7.51% of our outstanding common stock, that Vanguard Specialized Funds—Vanguard REIT Index Fund separately reported as beneficially owned in a Schedule 13G/A filed on February 14, 2017 with the SEC.</w:t>
      </w:r>
    </w:p>
    <w:p>
      <w:pPr>
        <w:spacing w:after="0" w:line="50" w:lineRule="exact"/>
        <w:rPr>
          <w:sz w:val="20"/>
          <w:szCs w:val="20"/>
          <w:color w:val="auto"/>
        </w:rPr>
      </w:pPr>
    </w:p>
    <w:p>
      <w:pPr>
        <w:ind w:left="385" w:right="20" w:hanging="385"/>
        <w:spacing w:after="0" w:line="233" w:lineRule="auto"/>
        <w:tabs>
          <w:tab w:leader="none" w:pos="385" w:val="left"/>
        </w:tabs>
        <w:numPr>
          <w:ilvl w:val="0"/>
          <w:numId w:val="78"/>
        </w:numPr>
        <w:rPr>
          <w:rFonts w:ascii="Arial" w:cs="Arial" w:eastAsia="Arial" w:hAnsi="Arial"/>
          <w:sz w:val="12"/>
          <w:szCs w:val="12"/>
          <w:color w:val="auto"/>
        </w:rPr>
      </w:pPr>
      <w:r>
        <w:rPr>
          <w:rFonts w:ascii="Arial" w:cs="Arial" w:eastAsia="Arial" w:hAnsi="Arial"/>
          <w:sz w:val="12"/>
          <w:szCs w:val="12"/>
          <w:color w:val="auto"/>
        </w:rPr>
        <w:t>Based on information provided on a Schedule 13G/A filed with the SEC on February 14, 2017, as of December 31, 2016, Cohen &amp; Steers, Inc., Cohen &amp; Steers Capital Management, Inc. and Cohen &amp; Steers UK Ltd., collectively, may be deemed to beneficially own an aggregate of 10,434,841 shares of our common stock. The business address for Cohen &amp; Steers, Inc. and Cohen &amp; Steers Capital Management, Inc. is 280 Park Avenue, 10th Floor, New York, NY 10017. The business address for Cohen &amp; Steers UK Ltd. is 50 Pall Mall, 4th Floor, London, United Kingdom SW1Y 5JH.</w:t>
      </w:r>
    </w:p>
    <w:p>
      <w:pPr>
        <w:spacing w:after="0" w:line="48" w:lineRule="exact"/>
        <w:rPr>
          <w:rFonts w:ascii="Arial" w:cs="Arial" w:eastAsia="Arial" w:hAnsi="Arial"/>
          <w:sz w:val="12"/>
          <w:szCs w:val="12"/>
          <w:color w:val="auto"/>
        </w:rPr>
      </w:pPr>
    </w:p>
    <w:p>
      <w:pPr>
        <w:ind w:left="385" w:right="100" w:hanging="385"/>
        <w:spacing w:after="0" w:line="236" w:lineRule="auto"/>
        <w:tabs>
          <w:tab w:leader="none" w:pos="385" w:val="left"/>
        </w:tabs>
        <w:numPr>
          <w:ilvl w:val="0"/>
          <w:numId w:val="78"/>
        </w:numPr>
        <w:rPr>
          <w:rFonts w:ascii="Arial" w:cs="Arial" w:eastAsia="Arial" w:hAnsi="Arial"/>
          <w:sz w:val="12"/>
          <w:szCs w:val="12"/>
          <w:color w:val="auto"/>
        </w:rPr>
      </w:pPr>
      <w:r>
        <w:rPr>
          <w:rFonts w:ascii="Arial" w:cs="Arial" w:eastAsia="Arial" w:hAnsi="Arial"/>
          <w:sz w:val="12"/>
          <w:szCs w:val="12"/>
          <w:color w:val="auto"/>
        </w:rPr>
        <w:t>Based on information provided on a Schedule 13G/A filed with the SEC on January 27, 2017, as of December 31, 2016, BlackRock, Inc. may be deemed to beneficially own an aggregate of 9,117,294 shares of our common stock. The business address for BlackRock is 55 East 52nd Street, New York, NY 10022.</w:t>
      </w:r>
    </w:p>
    <w:p>
      <w:pPr>
        <w:spacing w:after="0" w:line="48" w:lineRule="exact"/>
        <w:rPr>
          <w:rFonts w:ascii="Arial" w:cs="Arial" w:eastAsia="Arial" w:hAnsi="Arial"/>
          <w:sz w:val="12"/>
          <w:szCs w:val="12"/>
          <w:color w:val="auto"/>
        </w:rPr>
      </w:pPr>
    </w:p>
    <w:p>
      <w:pPr>
        <w:ind w:left="385" w:hanging="385"/>
        <w:spacing w:after="0"/>
        <w:tabs>
          <w:tab w:leader="none" w:pos="385" w:val="left"/>
        </w:tabs>
        <w:numPr>
          <w:ilvl w:val="0"/>
          <w:numId w:val="78"/>
        </w:numPr>
        <w:rPr>
          <w:rFonts w:ascii="Arial" w:cs="Arial" w:eastAsia="Arial" w:hAnsi="Arial"/>
          <w:sz w:val="12"/>
          <w:szCs w:val="12"/>
          <w:color w:val="auto"/>
        </w:rPr>
      </w:pPr>
      <w:r>
        <w:rPr>
          <w:rFonts w:ascii="Arial" w:cs="Arial" w:eastAsia="Arial" w:hAnsi="Arial"/>
          <w:sz w:val="12"/>
          <w:szCs w:val="12"/>
          <w:color w:val="auto"/>
        </w:rPr>
        <w:t>Based on information provided on a Schedule 13G filed with the SEC on February 8, 2017, as of December 31, 2016, State Street</w:t>
      </w:r>
    </w:p>
    <w:p>
      <w:pPr>
        <w:spacing w:after="0" w:line="51" w:lineRule="exact"/>
        <w:rPr>
          <w:rFonts w:ascii="Arial" w:cs="Arial" w:eastAsia="Arial" w:hAnsi="Arial"/>
          <w:sz w:val="12"/>
          <w:szCs w:val="12"/>
          <w:color w:val="auto"/>
        </w:rPr>
      </w:pPr>
    </w:p>
    <w:p>
      <w:pPr>
        <w:ind w:left="385"/>
        <w:spacing w:after="0"/>
        <w:rPr>
          <w:rFonts w:ascii="Arial" w:cs="Arial" w:eastAsia="Arial" w:hAnsi="Arial"/>
          <w:sz w:val="12"/>
          <w:szCs w:val="12"/>
          <w:color w:val="auto"/>
        </w:rPr>
      </w:pPr>
      <w:r>
        <w:rPr>
          <w:rFonts w:ascii="Arial" w:cs="Arial" w:eastAsia="Arial" w:hAnsi="Arial"/>
          <w:sz w:val="12"/>
          <w:szCs w:val="12"/>
          <w:color w:val="auto"/>
        </w:rPr>
        <w:t>Corporation may be deemed to beneficially own an aggregate of 5,845,935 shares of our common stock. The business address for State Street is One Lincoln Street, Boston, MA 02111.</w:t>
      </w:r>
    </w:p>
    <w:p>
      <w:pPr>
        <w:spacing w:after="0" w:line="51" w:lineRule="exact"/>
        <w:rPr>
          <w:rFonts w:ascii="Arial" w:cs="Arial" w:eastAsia="Arial" w:hAnsi="Arial"/>
          <w:sz w:val="12"/>
          <w:szCs w:val="12"/>
          <w:color w:val="auto"/>
        </w:rPr>
      </w:pPr>
    </w:p>
    <w:p>
      <w:pPr>
        <w:ind w:left="385" w:hanging="385"/>
        <w:spacing w:after="0"/>
        <w:tabs>
          <w:tab w:leader="none" w:pos="385" w:val="left"/>
        </w:tabs>
        <w:numPr>
          <w:ilvl w:val="0"/>
          <w:numId w:val="78"/>
        </w:numPr>
        <w:rPr>
          <w:rFonts w:ascii="Arial" w:cs="Arial" w:eastAsia="Arial" w:hAnsi="Arial"/>
          <w:sz w:val="12"/>
          <w:szCs w:val="12"/>
          <w:color w:val="auto"/>
        </w:rPr>
      </w:pPr>
      <w:r>
        <w:rPr>
          <w:rFonts w:ascii="Arial" w:cs="Arial" w:eastAsia="Arial" w:hAnsi="Arial"/>
          <w:sz w:val="12"/>
          <w:szCs w:val="12"/>
          <w:color w:val="auto"/>
        </w:rPr>
        <w:t>Includes 20,500 shares of our common stock subject to options exercisable within 60 days of March 31, 2017 and 9,963 phantom units.</w:t>
      </w:r>
    </w:p>
    <w:p>
      <w:pPr>
        <w:spacing w:after="0" w:line="51" w:lineRule="exact"/>
        <w:rPr>
          <w:rFonts w:ascii="Arial" w:cs="Arial" w:eastAsia="Arial" w:hAnsi="Arial"/>
          <w:sz w:val="12"/>
          <w:szCs w:val="12"/>
          <w:color w:val="auto"/>
        </w:rPr>
      </w:pPr>
    </w:p>
    <w:p>
      <w:pPr>
        <w:ind w:left="385" w:hanging="385"/>
        <w:spacing w:after="0"/>
        <w:tabs>
          <w:tab w:leader="none" w:pos="385" w:val="left"/>
        </w:tabs>
        <w:numPr>
          <w:ilvl w:val="0"/>
          <w:numId w:val="78"/>
        </w:numPr>
        <w:rPr>
          <w:rFonts w:ascii="Arial" w:cs="Arial" w:eastAsia="Arial" w:hAnsi="Arial"/>
          <w:sz w:val="12"/>
          <w:szCs w:val="12"/>
          <w:color w:val="auto"/>
        </w:rPr>
      </w:pPr>
      <w:r>
        <w:rPr>
          <w:rFonts w:ascii="Arial" w:cs="Arial" w:eastAsia="Arial" w:hAnsi="Arial"/>
          <w:sz w:val="12"/>
          <w:szCs w:val="12"/>
          <w:color w:val="auto"/>
        </w:rPr>
        <w:t>Includes 1,753 phantom units.</w:t>
      </w:r>
    </w:p>
    <w:p>
      <w:pPr>
        <w:spacing w:after="0" w:line="51" w:lineRule="exact"/>
        <w:rPr>
          <w:rFonts w:ascii="Arial" w:cs="Arial" w:eastAsia="Arial" w:hAnsi="Arial"/>
          <w:sz w:val="12"/>
          <w:szCs w:val="12"/>
          <w:color w:val="auto"/>
        </w:rPr>
      </w:pPr>
    </w:p>
    <w:p>
      <w:pPr>
        <w:ind w:left="385" w:hanging="385"/>
        <w:spacing w:after="0"/>
        <w:tabs>
          <w:tab w:leader="none" w:pos="385" w:val="left"/>
        </w:tabs>
        <w:numPr>
          <w:ilvl w:val="0"/>
          <w:numId w:val="78"/>
        </w:numPr>
        <w:rPr>
          <w:rFonts w:ascii="Arial" w:cs="Arial" w:eastAsia="Arial" w:hAnsi="Arial"/>
          <w:sz w:val="12"/>
          <w:szCs w:val="12"/>
          <w:color w:val="auto"/>
        </w:rPr>
      </w:pPr>
      <w:r>
        <w:rPr>
          <w:rFonts w:ascii="Arial" w:cs="Arial" w:eastAsia="Arial" w:hAnsi="Arial"/>
          <w:sz w:val="12"/>
          <w:szCs w:val="12"/>
          <w:color w:val="auto"/>
        </w:rPr>
        <w:t>Includes 34,372 phantom units.</w:t>
      </w:r>
    </w:p>
    <w:p>
      <w:pPr>
        <w:spacing w:after="0" w:line="51" w:lineRule="exact"/>
        <w:rPr>
          <w:rFonts w:ascii="Arial" w:cs="Arial" w:eastAsia="Arial" w:hAnsi="Arial"/>
          <w:sz w:val="12"/>
          <w:szCs w:val="12"/>
          <w:color w:val="auto"/>
        </w:rPr>
      </w:pPr>
    </w:p>
    <w:p>
      <w:pPr>
        <w:jc w:val="both"/>
        <w:ind w:left="385" w:right="220" w:hanging="385"/>
        <w:spacing w:after="0" w:line="233" w:lineRule="auto"/>
        <w:tabs>
          <w:tab w:leader="none" w:pos="385" w:val="left"/>
        </w:tabs>
        <w:numPr>
          <w:ilvl w:val="0"/>
          <w:numId w:val="78"/>
        </w:numPr>
        <w:rPr>
          <w:rFonts w:ascii="Arial" w:cs="Arial" w:eastAsia="Arial" w:hAnsi="Arial"/>
          <w:sz w:val="12"/>
          <w:szCs w:val="12"/>
          <w:color w:val="auto"/>
        </w:rPr>
      </w:pPr>
      <w:r>
        <w:rPr>
          <w:rFonts w:ascii="Arial" w:cs="Arial" w:eastAsia="Arial" w:hAnsi="Arial"/>
          <w:sz w:val="12"/>
          <w:szCs w:val="12"/>
          <w:color w:val="auto"/>
        </w:rPr>
        <w:t>Includes 47,823 LTIP units convertible into limited partnership units in SL Green Operating Partnership, L.P. (“OP Units”) within 60 days of March 31, 2017. The total excludes LTIP units that remain subject to performance-based vesting conditions, 4,148 LTIP units that remain subject to time-based vesting conditions, 30,000 Class O LTIP units that remain subject to time-based vesting conditions and 4,121 vested LTIP units that are not convertible into OP Units within 60 days of March 31, 2017.</w:t>
      </w:r>
    </w:p>
    <w:p>
      <w:pPr>
        <w:spacing w:after="0" w:line="48" w:lineRule="exact"/>
        <w:rPr>
          <w:rFonts w:ascii="Arial" w:cs="Arial" w:eastAsia="Arial" w:hAnsi="Arial"/>
          <w:sz w:val="12"/>
          <w:szCs w:val="12"/>
          <w:color w:val="auto"/>
        </w:rPr>
      </w:pPr>
    </w:p>
    <w:p>
      <w:pPr>
        <w:ind w:left="385" w:hanging="385"/>
        <w:spacing w:after="0"/>
        <w:tabs>
          <w:tab w:leader="none" w:pos="385" w:val="left"/>
        </w:tabs>
        <w:numPr>
          <w:ilvl w:val="0"/>
          <w:numId w:val="78"/>
        </w:numPr>
        <w:rPr>
          <w:rFonts w:ascii="Arial" w:cs="Arial" w:eastAsia="Arial" w:hAnsi="Arial"/>
          <w:sz w:val="12"/>
          <w:szCs w:val="12"/>
          <w:color w:val="auto"/>
        </w:rPr>
      </w:pPr>
      <w:r>
        <w:rPr>
          <w:rFonts w:ascii="Arial" w:cs="Arial" w:eastAsia="Arial" w:hAnsi="Arial"/>
          <w:sz w:val="12"/>
          <w:szCs w:val="12"/>
          <w:color w:val="auto"/>
        </w:rPr>
        <w:t>Includes 2,879 phantom units.</w:t>
      </w:r>
    </w:p>
    <w:p>
      <w:pPr>
        <w:spacing w:after="0" w:line="51" w:lineRule="exact"/>
        <w:rPr>
          <w:rFonts w:ascii="Arial" w:cs="Arial" w:eastAsia="Arial" w:hAnsi="Arial"/>
          <w:sz w:val="12"/>
          <w:szCs w:val="12"/>
          <w:color w:val="auto"/>
        </w:rPr>
      </w:pPr>
    </w:p>
    <w:p>
      <w:pPr>
        <w:ind w:left="385" w:right="20" w:hanging="385"/>
        <w:spacing w:after="0" w:line="233" w:lineRule="auto"/>
        <w:tabs>
          <w:tab w:leader="none" w:pos="385" w:val="left"/>
        </w:tabs>
        <w:numPr>
          <w:ilvl w:val="0"/>
          <w:numId w:val="78"/>
        </w:numPr>
        <w:rPr>
          <w:rFonts w:ascii="Arial" w:cs="Arial" w:eastAsia="Arial" w:hAnsi="Arial"/>
          <w:sz w:val="12"/>
          <w:szCs w:val="12"/>
          <w:color w:val="auto"/>
        </w:rPr>
      </w:pPr>
      <w:r>
        <w:rPr>
          <w:rFonts w:ascii="Arial" w:cs="Arial" w:eastAsia="Arial" w:hAnsi="Arial"/>
          <w:sz w:val="12"/>
          <w:szCs w:val="12"/>
          <w:color w:val="auto"/>
        </w:rPr>
        <w:t>Includes 794,633 OP Units and 117,641 vested LTIP units convertible into OP Units within 60 days of March 31, 2017 held by the Stephen L. Green Revocable Trust. The total excludes LTIP units that remain subject to performance-based vesting conditions, 2,201 LTIP units that remain subject to time-based vesting conditions and 33,119 vested LTIP units that are not convertible into OP Units within 60 days of March 31, 2017 held by the Stephen L. Green Revocable Trust.</w:t>
      </w:r>
    </w:p>
    <w:p>
      <w:pPr>
        <w:spacing w:after="0" w:line="48" w:lineRule="exact"/>
        <w:rPr>
          <w:rFonts w:ascii="Arial" w:cs="Arial" w:eastAsia="Arial" w:hAnsi="Arial"/>
          <w:sz w:val="12"/>
          <w:szCs w:val="12"/>
          <w:color w:val="auto"/>
        </w:rPr>
      </w:pPr>
    </w:p>
    <w:p>
      <w:pPr>
        <w:ind w:left="385" w:right="100" w:hanging="385"/>
        <w:spacing w:after="0" w:line="231" w:lineRule="auto"/>
        <w:tabs>
          <w:tab w:leader="none" w:pos="385" w:val="left"/>
        </w:tabs>
        <w:numPr>
          <w:ilvl w:val="0"/>
          <w:numId w:val="78"/>
        </w:numPr>
        <w:rPr>
          <w:rFonts w:ascii="Arial" w:cs="Arial" w:eastAsia="Arial" w:hAnsi="Arial"/>
          <w:sz w:val="12"/>
          <w:szCs w:val="12"/>
          <w:color w:val="auto"/>
        </w:rPr>
      </w:pPr>
      <w:r>
        <w:rPr>
          <w:rFonts w:ascii="Arial" w:cs="Arial" w:eastAsia="Arial" w:hAnsi="Arial"/>
          <w:sz w:val="12"/>
          <w:szCs w:val="12"/>
          <w:color w:val="auto"/>
        </w:rPr>
        <w:t>Includes 200,000 shares of our common stock subject to options exercisable within 60 days of March 31, 2017 and 633,124 LTIP units convertible into OP Units within 60 days of March 31, 2017. The total excludes LTIP units that remain subject to performance-based vesting conditions, 4,988 LTIP units that remain subject to time-based vesting conditions, 105,000 Class O LTIP units that remain subject to time-based vesting conditions and 255,306 vested LTIP units that are not convertible into OP Units within 60 days of March 31, 2017. Mr. Holliday also beneficially owns 88,900 shares of our Series I preferred stock, which represents less than 1% of our standing Series I preferred stock. This percentage is based on 9,200,000 shares of Series I preferred stock outstanding as of March 31, 2017.</w:t>
      </w:r>
    </w:p>
    <w:p>
      <w:pPr>
        <w:spacing w:after="0" w:line="50" w:lineRule="exact"/>
        <w:rPr>
          <w:rFonts w:ascii="Arial" w:cs="Arial" w:eastAsia="Arial" w:hAnsi="Arial"/>
          <w:sz w:val="12"/>
          <w:szCs w:val="12"/>
          <w:color w:val="auto"/>
        </w:rPr>
      </w:pPr>
    </w:p>
    <w:p>
      <w:pPr>
        <w:ind w:left="385" w:right="20" w:hanging="385"/>
        <w:spacing w:after="0" w:line="231" w:lineRule="auto"/>
        <w:tabs>
          <w:tab w:leader="none" w:pos="385" w:val="left"/>
        </w:tabs>
        <w:numPr>
          <w:ilvl w:val="0"/>
          <w:numId w:val="78"/>
        </w:numPr>
        <w:rPr>
          <w:rFonts w:ascii="Arial" w:cs="Arial" w:eastAsia="Arial" w:hAnsi="Arial"/>
          <w:sz w:val="12"/>
          <w:szCs w:val="12"/>
          <w:color w:val="auto"/>
        </w:rPr>
      </w:pPr>
      <w:r>
        <w:rPr>
          <w:rFonts w:ascii="Arial" w:cs="Arial" w:eastAsia="Arial" w:hAnsi="Arial"/>
          <w:sz w:val="12"/>
          <w:szCs w:val="12"/>
          <w:color w:val="auto"/>
        </w:rPr>
        <w:t>Includes 12,500 shares of our common stock subject to options exercisable within 60 days of March 31, 2017 and 64,121 LTIP units convertible into OP Units within 60 days of March 31, 2017. The total excludes LTIP units that remain subject to performance-based vesting conditions, 12,926 LTIP units that remain subject to time-based vesting conditions, 30,000 Class O LTIP units that remain subject to time-based vesting conditions and 37,084 vested LTIP units that are not convertible into OP Units within 60 days of March 31, 2017. Mr. Levine also beneficially owns 5,000 shares of our Series I preferred stock, which represents less than 1% of our standing Series I preferred stock. This percentage is based on 9,200,000 shares of Series I preferred stock outstanding as of March 31, 2017.</w:t>
      </w:r>
    </w:p>
    <w:p>
      <w:pPr>
        <w:spacing w:after="0" w:line="50" w:lineRule="exact"/>
        <w:rPr>
          <w:rFonts w:ascii="Arial" w:cs="Arial" w:eastAsia="Arial" w:hAnsi="Arial"/>
          <w:sz w:val="12"/>
          <w:szCs w:val="12"/>
          <w:color w:val="auto"/>
        </w:rPr>
      </w:pPr>
    </w:p>
    <w:p>
      <w:pPr>
        <w:ind w:left="385" w:hanging="385"/>
        <w:spacing w:after="0"/>
        <w:tabs>
          <w:tab w:leader="none" w:pos="385" w:val="left"/>
        </w:tabs>
        <w:numPr>
          <w:ilvl w:val="0"/>
          <w:numId w:val="78"/>
        </w:numPr>
        <w:rPr>
          <w:rFonts w:ascii="Arial" w:cs="Arial" w:eastAsia="Arial" w:hAnsi="Arial"/>
          <w:sz w:val="12"/>
          <w:szCs w:val="12"/>
          <w:color w:val="auto"/>
        </w:rPr>
      </w:pPr>
      <w:r>
        <w:rPr>
          <w:rFonts w:ascii="Arial" w:cs="Arial" w:eastAsia="Arial" w:hAnsi="Arial"/>
          <w:sz w:val="12"/>
          <w:szCs w:val="12"/>
          <w:color w:val="auto"/>
        </w:rPr>
        <w:t>Includes 26,500 shares of our common stock subject to options exercisable within 60 days of March 31, 2017 and 47,480 phantom units.</w:t>
      </w:r>
    </w:p>
    <w:p>
      <w:pPr>
        <w:spacing w:after="0" w:line="51" w:lineRule="exact"/>
        <w:rPr>
          <w:rFonts w:ascii="Arial" w:cs="Arial" w:eastAsia="Arial" w:hAnsi="Arial"/>
          <w:sz w:val="12"/>
          <w:szCs w:val="12"/>
          <w:color w:val="auto"/>
        </w:rPr>
      </w:pPr>
    </w:p>
    <w:p>
      <w:pPr>
        <w:ind w:left="385" w:right="220" w:hanging="385"/>
        <w:spacing w:after="0" w:line="233" w:lineRule="auto"/>
        <w:tabs>
          <w:tab w:leader="none" w:pos="385" w:val="left"/>
        </w:tabs>
        <w:numPr>
          <w:ilvl w:val="0"/>
          <w:numId w:val="78"/>
        </w:numPr>
        <w:rPr>
          <w:rFonts w:ascii="Arial" w:cs="Arial" w:eastAsia="Arial" w:hAnsi="Arial"/>
          <w:sz w:val="12"/>
          <w:szCs w:val="12"/>
          <w:color w:val="auto"/>
        </w:rPr>
      </w:pPr>
      <w:r>
        <w:rPr>
          <w:rFonts w:ascii="Arial" w:cs="Arial" w:eastAsia="Arial" w:hAnsi="Arial"/>
          <w:sz w:val="12"/>
          <w:szCs w:val="12"/>
          <w:color w:val="auto"/>
        </w:rPr>
        <w:t>Includes 130,000 shares of our common stock subject to options exercisable within 60 days of March 31, 2017 and 568,916 LTIP units convertible into OP Units within 60 days of March 31, 2017. The total excludes LTIP units that remain subject to performance-based vesting conditions, 58,326 LTIP units that remain subject to time-based vesting conditions and 141,870 vested LTIP units that are not convertible into OP Units within 60 days of March 31, 2017.</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2017 Proxy Statement </w:t>
      </w:r>
      <w:r>
        <w:rPr>
          <w:rFonts w:ascii="Arial" w:cs="Arial" w:eastAsia="Arial" w:hAnsi="Arial"/>
          <w:sz w:val="15"/>
          <w:szCs w:val="15"/>
          <w:color w:val="325889"/>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83450" cy="203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5"/>
          </w:cols>
          <w:pgMar w:left="235" w:top="528" w:right="219" w:bottom="1440" w:gutter="0" w:footer="0" w:header="0"/>
        </w:sectPr>
      </w:pPr>
    </w:p>
    <w:bookmarkStart w:id="59" w:name="page60"/>
    <w:bookmarkEnd w:id="59"/>
    <w:p>
      <w:pPr>
        <w:ind w:left="5"/>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ind w:left="5"/>
        <w:spacing w:after="0"/>
        <w:rPr>
          <w:sz w:val="20"/>
          <w:szCs w:val="20"/>
          <w:color w:val="auto"/>
        </w:rPr>
      </w:pPr>
      <w:r>
        <w:rPr>
          <w:rFonts w:ascii="Arial" w:cs="Arial" w:eastAsia="Arial" w:hAnsi="Arial"/>
          <w:sz w:val="15"/>
          <w:szCs w:val="15"/>
          <w:u w:val="single" w:color="auto"/>
          <w:color w:val="325889"/>
        </w:rPr>
        <w:t>STOCK OWNERSHIP INFORMATION</w:t>
      </w:r>
    </w:p>
    <w:p>
      <w:pPr>
        <w:spacing w:after="0" w:line="166"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auto"/>
        </w:rPr>
        <w:t>Section 16(a) Beneficial Ownership Reporting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7263130" cy="152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3130" cy="1524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5"/>
        <w:spacing w:after="0" w:line="250" w:lineRule="auto"/>
        <w:rPr>
          <w:sz w:val="20"/>
          <w:szCs w:val="20"/>
          <w:color w:val="auto"/>
        </w:rPr>
      </w:pPr>
      <w:r>
        <w:rPr>
          <w:rFonts w:ascii="Arial" w:cs="Arial" w:eastAsia="Arial" w:hAnsi="Arial"/>
          <w:sz w:val="15"/>
          <w:szCs w:val="15"/>
          <w:color w:val="auto"/>
        </w:rPr>
        <w:t>Section 16(a) of the Securities Exchange Act of 1934, as amended, requires our executive officers and directors and persons who own more than 10% of a registered class of our equity securities to file reports of ownership and changes in ownership with the SEC and the NYSE. Officers, directors and persons who own more than 10% of a registered class of our equity securities are required by SEC regulation to furnish us with copies of all Section 16(a) forms that they file. To our knowledge, based solely on review of the copies of such reports and any amendments thereto furnished to us during or with respect to our most recent fiscal year, all Section 16(a) filing requirements applicable to our executive officers, directors and persons who own more than 10% of a registered class of our equity securities were satisfied, with the exception of Mr. Mathias who inadvertently failed to timely file a Form 4 relating to an award of LTIP units on June 17, 2016. The Form 4 relating to this award of LTIP units was subsequently filed on June 29, 2016.</w:t>
      </w:r>
    </w:p>
    <w:p>
      <w:pPr>
        <w:spacing w:after="0" w:line="178" w:lineRule="exact"/>
        <w:rPr>
          <w:sz w:val="20"/>
          <w:szCs w:val="20"/>
          <w:color w:val="auto"/>
        </w:rPr>
      </w:pPr>
    </w:p>
    <w:p>
      <w:pPr>
        <w:ind w:left="265" w:hanging="265"/>
        <w:spacing w:after="0"/>
        <w:tabs>
          <w:tab w:leader="none" w:pos="265" w:val="left"/>
        </w:tabs>
        <w:numPr>
          <w:ilvl w:val="0"/>
          <w:numId w:val="79"/>
        </w:numPr>
        <w:rPr>
          <w:rFonts w:ascii="Arial" w:cs="Arial" w:eastAsia="Arial" w:hAnsi="Arial"/>
          <w:sz w:val="15"/>
          <w:szCs w:val="15"/>
          <w:color w:val="325889"/>
        </w:rPr>
      </w:pPr>
      <w:r>
        <w:rPr>
          <w:rFonts w:ascii="Arial" w:cs="Arial" w:eastAsia="Arial" w:hAnsi="Arial"/>
          <w:sz w:val="15"/>
          <w:szCs w:val="15"/>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83450" cy="203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385"/>
          </w:cols>
          <w:pgMar w:left="235" w:top="528" w:right="279" w:bottom="1440" w:gutter="0" w:footer="0" w:header="0"/>
        </w:sectPr>
      </w:pPr>
    </w:p>
    <w:bookmarkStart w:id="60" w:name="page61"/>
    <w:bookmarkEnd w:id="60"/>
    <w:p>
      <w:pPr>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178" w:lineRule="exact"/>
        <w:rPr>
          <w:sz w:val="20"/>
          <w:szCs w:val="20"/>
          <w:color w:val="auto"/>
        </w:rPr>
      </w:pPr>
    </w:p>
    <w:p>
      <w:pPr>
        <w:spacing w:after="0"/>
        <w:rPr>
          <w:sz w:val="20"/>
          <w:szCs w:val="20"/>
          <w:color w:val="auto"/>
        </w:rPr>
      </w:pPr>
      <w:r>
        <w:rPr>
          <w:rFonts w:ascii="Arial" w:cs="Arial" w:eastAsia="Arial" w:hAnsi="Arial"/>
          <w:sz w:val="28"/>
          <w:szCs w:val="28"/>
          <w:b w:val="1"/>
          <w:bCs w:val="1"/>
          <w:color w:val="325889"/>
        </w:rPr>
        <w:t>CERTAIN RELATIONSHIPS AND RELATED PARTY TRANSACTIONS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325889"/>
        </w:rPr>
        <w:t>Policies and Procedures With Respect to Related Party Transactions</w:t>
      </w:r>
    </w:p>
    <w:p>
      <w:pPr>
        <w:spacing w:after="0" w:line="212" w:lineRule="exact"/>
        <w:rPr>
          <w:sz w:val="20"/>
          <w:szCs w:val="20"/>
          <w:color w:val="auto"/>
        </w:rPr>
      </w:pPr>
    </w:p>
    <w:p>
      <w:pPr>
        <w:jc w:val="both"/>
        <w:ind w:right="680"/>
        <w:spacing w:after="0" w:line="256" w:lineRule="auto"/>
        <w:rPr>
          <w:sz w:val="20"/>
          <w:szCs w:val="20"/>
          <w:color w:val="auto"/>
        </w:rPr>
      </w:pPr>
      <w:r>
        <w:rPr>
          <w:rFonts w:ascii="Arial" w:cs="Arial" w:eastAsia="Arial" w:hAnsi="Arial"/>
          <w:sz w:val="15"/>
          <w:szCs w:val="15"/>
          <w:color w:val="auto"/>
        </w:rPr>
        <w:t>All related party transactions (generally, transactions involving amounts exceeding $120,000 in which directors and executive officers or their immediate family members, or stockholders owning 5% of more of our outstanding common stock have an interest) are subject to approval or ratification in accordance with the procedures described below.</w:t>
      </w:r>
    </w:p>
    <w:p>
      <w:pPr>
        <w:spacing w:after="0" w:line="172" w:lineRule="exact"/>
        <w:rPr>
          <w:sz w:val="20"/>
          <w:szCs w:val="20"/>
          <w:color w:val="auto"/>
        </w:rPr>
      </w:pPr>
    </w:p>
    <w:p>
      <w:pPr>
        <w:ind w:right="140"/>
        <w:spacing w:after="0" w:line="251" w:lineRule="auto"/>
        <w:rPr>
          <w:sz w:val="20"/>
          <w:szCs w:val="20"/>
          <w:color w:val="auto"/>
        </w:rPr>
      </w:pPr>
      <w:r>
        <w:rPr>
          <w:rFonts w:ascii="Arial" w:cs="Arial" w:eastAsia="Arial" w:hAnsi="Arial"/>
          <w:sz w:val="15"/>
          <w:szCs w:val="15"/>
          <w:color w:val="auto"/>
        </w:rPr>
        <w:t>Our Nominating and Corporate Governance Committee reviews the material facts of all related party transactions and either approves or disapproves the entry into such related party transaction. If advance approval of a related party transaction is not feasible, then the related party transaction will be considered and, if our Nominating and Corporate Governance Committee determines it to be appropriate, ratified, at the next regularly scheduled meeting of our Nominating and Corporate Governance Committee. In determining whether to approve or ratify a related party transaction, our Nominating and Corporate Governance Committee takes into account, among other factors it deems appropriate, whether the related party transaction is on terms no less favorable than terms generally available to an unaffiliated third-party under the same or similar circumstances and the extent of the related party’s interest in the transaction.</w:t>
      </w:r>
    </w:p>
    <w:p>
      <w:pPr>
        <w:spacing w:after="0" w:line="175" w:lineRule="exact"/>
        <w:rPr>
          <w:sz w:val="20"/>
          <w:szCs w:val="20"/>
          <w:color w:val="auto"/>
        </w:rPr>
      </w:pPr>
    </w:p>
    <w:p>
      <w:pPr>
        <w:ind w:right="280"/>
        <w:spacing w:after="0" w:line="265" w:lineRule="auto"/>
        <w:rPr>
          <w:sz w:val="20"/>
          <w:szCs w:val="20"/>
          <w:color w:val="auto"/>
        </w:rPr>
      </w:pPr>
      <w:r>
        <w:rPr>
          <w:rFonts w:ascii="Arial" w:cs="Arial" w:eastAsia="Arial" w:hAnsi="Arial"/>
          <w:sz w:val="15"/>
          <w:szCs w:val="15"/>
          <w:color w:val="auto"/>
        </w:rPr>
        <w:t>No director may participate in any discussion or approval of a related party transaction for which he or she is a related party, except that the director must provide all material information concerning the related party transaction to our Nominating and Corporate Governance Committee.</w:t>
      </w:r>
    </w:p>
    <w:p>
      <w:pPr>
        <w:spacing w:after="0" w:line="165" w:lineRule="exact"/>
        <w:rPr>
          <w:sz w:val="20"/>
          <w:szCs w:val="20"/>
          <w:color w:val="auto"/>
        </w:rPr>
      </w:pPr>
    </w:p>
    <w:p>
      <w:pPr>
        <w:ind w:right="80"/>
        <w:spacing w:after="0" w:line="253" w:lineRule="auto"/>
        <w:rPr>
          <w:sz w:val="20"/>
          <w:szCs w:val="20"/>
          <w:color w:val="auto"/>
        </w:rPr>
      </w:pPr>
      <w:r>
        <w:rPr>
          <w:rFonts w:ascii="Arial" w:cs="Arial" w:eastAsia="Arial" w:hAnsi="Arial"/>
          <w:sz w:val="15"/>
          <w:szCs w:val="15"/>
          <w:color w:val="auto"/>
        </w:rPr>
        <w:t>If a related party transaction will be ongoing, our Nominating and Corporate Governance Committee may establish guidelines for our management to follow in its ongoing dealings with the related party. Thereafter, our Nominating and Corporate Governance Committee, on at least an annual basis, reviews and assesses ongoing relationships with such related party to see that our management is in compliance with our Nominating and Corporate Governance Committee’s guidelines and that such related party transaction remains appropriate.</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Related party transactions are disclosed in our SEC filings.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325889"/>
        </w:rPr>
        <w:t>One Vanderbilt Investment</w:t>
      </w:r>
    </w:p>
    <w:p>
      <w:pPr>
        <w:spacing w:after="0" w:line="212" w:lineRule="exact"/>
        <w:rPr>
          <w:sz w:val="20"/>
          <w:szCs w:val="20"/>
          <w:color w:val="auto"/>
        </w:rPr>
      </w:pPr>
    </w:p>
    <w:p>
      <w:pPr>
        <w:ind w:right="180"/>
        <w:spacing w:after="0" w:line="256" w:lineRule="auto"/>
        <w:rPr>
          <w:sz w:val="20"/>
          <w:szCs w:val="20"/>
          <w:color w:val="auto"/>
        </w:rPr>
      </w:pPr>
      <w:r>
        <w:rPr>
          <w:rFonts w:ascii="Arial" w:cs="Arial" w:eastAsia="Arial" w:hAnsi="Arial"/>
          <w:sz w:val="15"/>
          <w:szCs w:val="15"/>
          <w:color w:val="auto"/>
        </w:rPr>
        <w:t>In December 2016, we entered into agreements with entities owned and controlled by Messrs. Holliday and Mathias, pursuant to which they agreed to make an investment in our One Vanderbilt project at appraised fair market value for the interests acquired. We entered into these agreements in order to further strengthen the alignment of the interests of Messrs. Holliday and Mathias with those of our company in the successful completion and stabilization of this long-term project.</w:t>
      </w:r>
    </w:p>
    <w:p>
      <w:pPr>
        <w:spacing w:after="0" w:line="172" w:lineRule="exact"/>
        <w:rPr>
          <w:sz w:val="20"/>
          <w:szCs w:val="20"/>
          <w:color w:val="auto"/>
        </w:rPr>
      </w:pPr>
    </w:p>
    <w:p>
      <w:pPr>
        <w:ind w:right="200"/>
        <w:spacing w:after="0" w:line="252" w:lineRule="auto"/>
        <w:rPr>
          <w:sz w:val="20"/>
          <w:szCs w:val="20"/>
          <w:color w:val="auto"/>
        </w:rPr>
      </w:pPr>
      <w:r>
        <w:rPr>
          <w:rFonts w:ascii="Arial" w:cs="Arial" w:eastAsia="Arial" w:hAnsi="Arial"/>
          <w:sz w:val="15"/>
          <w:szCs w:val="15"/>
          <w:color w:val="auto"/>
        </w:rPr>
        <w:t>Pursuant to these agreements, the entities owned and controlled by Messrs. Holliday and Mathias agreed to purchase interests in the One Vanderbilt project that will entitle them to receive approximately 1.50% – 1.80% and 1.00% – 1.20%, respectively, of the profit generated from this project in excess of capital contributions. Fifty percent of these interests were purchased on December 31, 2016 and the remaining fifty percent will be purchased on December 31, 2017. The entities owned and controlled by Messrs. Holliday and Mathias will pay $1,440,000 and $960,000, respectively, which equals the fair market value of the interests acquired as of the date the investment agreements were entered into as determined by an independent third party appraisal that we obtained.</w:t>
      </w:r>
    </w:p>
    <w:p>
      <w:pPr>
        <w:spacing w:after="0" w:line="174" w:lineRule="exact"/>
        <w:rPr>
          <w:sz w:val="20"/>
          <w:szCs w:val="20"/>
          <w:color w:val="auto"/>
        </w:rPr>
      </w:pPr>
    </w:p>
    <w:p>
      <w:pPr>
        <w:ind w:right="20"/>
        <w:spacing w:after="0" w:line="249" w:lineRule="auto"/>
        <w:rPr>
          <w:sz w:val="20"/>
          <w:szCs w:val="20"/>
          <w:color w:val="auto"/>
        </w:rPr>
      </w:pPr>
      <w:r>
        <w:rPr>
          <w:rFonts w:ascii="Arial" w:cs="Arial" w:eastAsia="Arial" w:hAnsi="Arial"/>
          <w:sz w:val="15"/>
          <w:szCs w:val="15"/>
          <w:color w:val="auto"/>
        </w:rPr>
        <w:t>The entities owned and controlled by Messrs. Holliday and Mathias cannot monetize their interests until after the stabilization of the project, estimated to occur in 2023. Thereafter, such entities may require us to repurchase 50% of the interests within three years after stabilization and 100% following such period. In addition, the agreement calls for us to repurchase these interests in the event of a sale of One Vanderbilt or a transactional change of control of our company. We also have the right to repurchase these interests on the seven-year anniversary of the stabilization of the project or, prior to the stabilization of the project, upon the occurrence of certain separation events relating to each of Messrs. Holliday’s and Mathias’s continued service with us. The price paid upon an exercise of the various rights described above will equal the liquidation value of the interests at the time, with the value of One Vanderbilt being based on its sale price, if applicable, or fair market value as determined by an independent third party appraiser. Messrs. Holliday and Mathias generally have the right to elect whether to receive any amounts paid upon the repurchase of these interests in cash or common units of our operating partnership. In addition, upon the exercise of the rights described above, we may elect to pay the purchase price in shares of our common stock in lieu of paying in cash, subject to a cap on the maximum number of common units and shares of our common stock that we will be required to pay in these circumstances. We have agreed to provide resale registration rights to the entities owned and controlled by Messrs. Holliday and Mathias for any shares of our common stock that are issued.</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2017 Proxy Statement </w:t>
      </w:r>
      <w:r>
        <w:rPr>
          <w:rFonts w:ascii="Arial" w:cs="Arial" w:eastAsia="Arial" w:hAnsi="Arial"/>
          <w:sz w:val="15"/>
          <w:szCs w:val="15"/>
          <w:color w:val="325889"/>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83450" cy="203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0"/>
          </w:cols>
          <w:pgMar w:left="240" w:top="528" w:right="219" w:bottom="1440" w:gutter="0" w:footer="0" w:header="0"/>
        </w:sectPr>
      </w:pPr>
    </w:p>
    <w:bookmarkStart w:id="61" w:name="page62"/>
    <w:bookmarkEnd w:id="61"/>
    <w:p>
      <w:pPr>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u w:val="single" w:color="auto"/>
          <w:color w:val="325889"/>
        </w:rPr>
        <w:t>CERTAIN RELATIONSHIPS AND RELATED PARTY TRANSACTIONS</w:t>
      </w:r>
    </w:p>
    <w:p>
      <w:pPr>
        <w:spacing w:after="0" w:line="195" w:lineRule="exact"/>
        <w:rPr>
          <w:sz w:val="20"/>
          <w:szCs w:val="20"/>
          <w:color w:val="auto"/>
        </w:rPr>
      </w:pPr>
    </w:p>
    <w:p>
      <w:pPr>
        <w:ind w:right="20"/>
        <w:spacing w:after="0" w:line="253" w:lineRule="auto"/>
        <w:rPr>
          <w:sz w:val="20"/>
          <w:szCs w:val="20"/>
          <w:color w:val="auto"/>
        </w:rPr>
      </w:pPr>
      <w:r>
        <w:rPr>
          <w:rFonts w:ascii="Arial" w:cs="Arial" w:eastAsia="Arial" w:hAnsi="Arial"/>
          <w:sz w:val="15"/>
          <w:szCs w:val="15"/>
          <w:color w:val="auto"/>
        </w:rPr>
        <w:t>In accordance with our policies and procedures with respect to related party transactions described above, this investment was reviewed in detail and approved by our Nominating and Corporate Governance Committee. In addition, this investment was also reviewed by the Chairman of the Board, our Lead Independent Director and the Chairman of our Audit Committee as well as the other members of the Board and was approved by the Board as well as our Nominating and Corporate Governance Committee.</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325889"/>
        </w:rPr>
        <w:t>Cleaning/Security/Messenger and Restoration Services</w:t>
      </w:r>
    </w:p>
    <w:p>
      <w:pPr>
        <w:spacing w:after="0" w:line="212" w:lineRule="exact"/>
        <w:rPr>
          <w:sz w:val="20"/>
          <w:szCs w:val="20"/>
          <w:color w:val="auto"/>
        </w:rPr>
      </w:pPr>
    </w:p>
    <w:p>
      <w:pPr>
        <w:ind w:right="80"/>
        <w:spacing w:after="0" w:line="249" w:lineRule="auto"/>
        <w:rPr>
          <w:sz w:val="20"/>
          <w:szCs w:val="20"/>
          <w:color w:val="auto"/>
        </w:rPr>
      </w:pPr>
      <w:r>
        <w:rPr>
          <w:rFonts w:ascii="Arial" w:cs="Arial" w:eastAsia="Arial" w:hAnsi="Arial"/>
          <w:sz w:val="15"/>
          <w:szCs w:val="15"/>
          <w:color w:val="auto"/>
        </w:rPr>
        <w:t>Through Alliance Building Services, or Alliance, First Quality Maintenance, L.P., or First Quality, provides cleaning, extermination and related services, Classic Security LLC provides security services, Bright Star Couriers LLC provides messenger services, and Onyx Restoration Works provides restoration services with respect to certain properties owned by us. Alliance is partially owned by Gary Green, a son of Stephen L. Green, the chairman of the Board. In addition, First Quality has the non-exclusive opportunity to provide cleaning and related services to individual tenants at our properties on a basis separately negotiated with any tenant seeking such additional services. A subsidiary through which we realize income from management, leasing and construction contracts with third parties and joint venture properties has entered into an arrangement with Alliance whereby it will receive profit participation above a certain threshold for services provided by Alliance to certain tenants at certain buildings above the base services specified in their lease agreements. Income earned from profit participation was approximately $3.5 million, $3.8 million and $3.8 million for the years ended December 31, 2016, 2015 and 2014, respectively. We also recorded expenses of approximately $23.4 million, $21.3 million and $21.5 million for the years ended December 31, 2016, 2015 and 2014, respectively, for these services (excluding services provided directly to tenants).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325889"/>
        </w:rPr>
        <w:t>Management Fees</w:t>
      </w:r>
    </w:p>
    <w:p>
      <w:pPr>
        <w:spacing w:after="0" w:line="212" w:lineRule="exact"/>
        <w:rPr>
          <w:sz w:val="20"/>
          <w:szCs w:val="20"/>
          <w:color w:val="auto"/>
        </w:rPr>
      </w:pPr>
    </w:p>
    <w:p>
      <w:pPr>
        <w:ind w:right="360"/>
        <w:spacing w:after="0" w:line="265" w:lineRule="auto"/>
        <w:rPr>
          <w:sz w:val="20"/>
          <w:szCs w:val="20"/>
          <w:color w:val="auto"/>
        </w:rPr>
      </w:pPr>
      <w:r>
        <w:rPr>
          <w:rFonts w:ascii="Arial" w:cs="Arial" w:eastAsia="Arial" w:hAnsi="Arial"/>
          <w:sz w:val="15"/>
          <w:szCs w:val="15"/>
          <w:color w:val="auto"/>
        </w:rPr>
        <w:t>S.L. Green Management Corp., a consolidated entity, receives property management fees from an entity in which Stephen L. Green owns an interest. We received management fees from such entity of approximately $701,751, $480,600 and $444,300 for the years ended December 31, 2016, 2015 and 2014,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325889"/>
        </w:rPr>
        <w:t>Marketing Services</w:t>
      </w:r>
    </w:p>
    <w:p>
      <w:pPr>
        <w:spacing w:after="0" w:line="212" w:lineRule="exact"/>
        <w:rPr>
          <w:sz w:val="20"/>
          <w:szCs w:val="20"/>
          <w:color w:val="auto"/>
        </w:rPr>
      </w:pPr>
    </w:p>
    <w:p>
      <w:pPr>
        <w:ind w:right="420"/>
        <w:spacing w:after="0" w:line="265" w:lineRule="auto"/>
        <w:rPr>
          <w:sz w:val="20"/>
          <w:szCs w:val="20"/>
          <w:color w:val="auto"/>
        </w:rPr>
      </w:pPr>
      <w:r>
        <w:rPr>
          <w:rFonts w:ascii="Arial" w:cs="Arial" w:eastAsia="Arial" w:hAnsi="Arial"/>
          <w:sz w:val="15"/>
          <w:szCs w:val="15"/>
          <w:color w:val="auto"/>
        </w:rPr>
        <w:t>A-List Marketing, LLC, or A-List, provided marketing services to us. Deena Wolff, a sister of Marc Holliday, our Chief Executive Officer, is the founder of A-List. We recorded approximately $281,851, $286,900 and $221,100 for the years ended December 31, 2016, 2015 and 2014,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325889"/>
        </w:rPr>
        <w:t>Other</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Amounts due from related parties at December 31, 2016 and 2015 consisted of the following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325889"/>
              </w:rPr>
              <w:t>2016</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325889"/>
              </w:rPr>
              <w:t>2015</w:t>
            </w:r>
          </w:p>
        </w:tc>
      </w:tr>
      <w:tr>
        <w:trPr>
          <w:trHeight w:val="41"/>
        </w:trPr>
        <w:tc>
          <w:tcPr>
            <w:tcW w:w="9560" w:type="dxa"/>
            <w:vAlign w:val="bottom"/>
            <w:tcBorders>
              <w:bottom w:val="single" w:sz="8" w:color="325889"/>
            </w:tcBorders>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Borders>
              <w:bottom w:val="single" w:sz="8" w:color="325889"/>
            </w:tcBorders>
          </w:tcPr>
          <w:p>
            <w:pPr>
              <w:spacing w:after="0"/>
              <w:rPr>
                <w:sz w:val="3"/>
                <w:szCs w:val="3"/>
                <w:color w:val="auto"/>
              </w:rPr>
            </w:pPr>
          </w:p>
        </w:tc>
        <w:tc>
          <w:tcPr>
            <w:tcW w:w="540" w:type="dxa"/>
            <w:vAlign w:val="bottom"/>
            <w:tcBorders>
              <w:bottom w:val="single" w:sz="8" w:color="325889"/>
            </w:tcBorders>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Borders>
              <w:bottom w:val="single" w:sz="8" w:color="325889"/>
            </w:tcBorders>
          </w:tcPr>
          <w:p>
            <w:pPr>
              <w:spacing w:after="0"/>
              <w:rPr>
                <w:sz w:val="3"/>
                <w:szCs w:val="3"/>
                <w:color w:val="auto"/>
              </w:rPr>
            </w:pPr>
          </w:p>
        </w:tc>
        <w:tc>
          <w:tcPr>
            <w:tcW w:w="540" w:type="dxa"/>
            <w:vAlign w:val="bottom"/>
            <w:tcBorders>
              <w:bottom w:val="single" w:sz="8" w:color="325889"/>
            </w:tcBorders>
          </w:tcPr>
          <w:p>
            <w:pPr>
              <w:spacing w:after="0"/>
              <w:rPr>
                <w:sz w:val="3"/>
                <w:szCs w:val="3"/>
                <w:color w:val="auto"/>
              </w:rPr>
            </w:pPr>
          </w:p>
        </w:tc>
      </w:tr>
      <w:tr>
        <w:trPr>
          <w:trHeight w:val="207"/>
        </w:trPr>
        <w:tc>
          <w:tcPr>
            <w:tcW w:w="9560" w:type="dxa"/>
            <w:vAlign w:val="bottom"/>
          </w:tcPr>
          <w:p>
            <w:pPr>
              <w:spacing w:after="0"/>
              <w:rPr>
                <w:sz w:val="20"/>
                <w:szCs w:val="20"/>
                <w:color w:val="auto"/>
              </w:rPr>
            </w:pPr>
            <w:r>
              <w:rPr>
                <w:rFonts w:ascii="Arial" w:cs="Arial" w:eastAsia="Arial" w:hAnsi="Arial"/>
                <w:sz w:val="15"/>
                <w:szCs w:val="15"/>
                <w:color w:val="auto"/>
              </w:rPr>
              <w:t>Due from joint ventures</w:t>
            </w:r>
          </w:p>
        </w:tc>
        <w:tc>
          <w:tcPr>
            <w:tcW w:w="4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1,240</w:t>
            </w:r>
          </w:p>
        </w:tc>
        <w:tc>
          <w:tcPr>
            <w:tcW w:w="24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1,334</w:t>
            </w:r>
          </w:p>
        </w:tc>
      </w:tr>
      <w:tr>
        <w:trPr>
          <w:trHeight w:val="205"/>
        </w:trPr>
        <w:tc>
          <w:tcPr>
            <w:tcW w:w="9560" w:type="dxa"/>
            <w:vAlign w:val="bottom"/>
            <w:tcBorders>
              <w:top w:val="single" w:sz="8" w:color="98A3B8"/>
              <w:bottom w:val="single" w:sz="8" w:color="98A3B8"/>
            </w:tcBorders>
          </w:tcPr>
          <w:p>
            <w:pPr>
              <w:spacing w:after="0"/>
              <w:rPr>
                <w:sz w:val="20"/>
                <w:szCs w:val="20"/>
                <w:color w:val="auto"/>
              </w:rPr>
            </w:pPr>
            <w:r>
              <w:rPr>
                <w:rFonts w:ascii="Arial" w:cs="Arial" w:eastAsia="Arial" w:hAnsi="Arial"/>
                <w:sz w:val="15"/>
                <w:szCs w:val="15"/>
                <w:color w:val="auto"/>
              </w:rPr>
              <w:t>Other</w:t>
            </w:r>
          </w:p>
        </w:tc>
        <w:tc>
          <w:tcPr>
            <w:tcW w:w="240" w:type="dxa"/>
            <w:vAlign w:val="bottom"/>
          </w:tcPr>
          <w:p>
            <w:pPr>
              <w:spacing w:after="0"/>
              <w:rPr>
                <w:sz w:val="17"/>
                <w:szCs w:val="17"/>
                <w:color w:val="auto"/>
              </w:rPr>
            </w:pPr>
          </w:p>
        </w:tc>
        <w:tc>
          <w:tcPr>
            <w:tcW w:w="160" w:type="dxa"/>
            <w:vAlign w:val="bottom"/>
            <w:tcBorders>
              <w:top w:val="single" w:sz="8" w:color="98A3B8"/>
              <w:bottom w:val="single" w:sz="8" w:color="98A3B8"/>
            </w:tcBorders>
          </w:tcPr>
          <w:p>
            <w:pPr>
              <w:spacing w:after="0"/>
              <w:rPr>
                <w:sz w:val="17"/>
                <w:szCs w:val="17"/>
                <w:color w:val="auto"/>
              </w:rPr>
            </w:pPr>
          </w:p>
        </w:tc>
        <w:tc>
          <w:tcPr>
            <w:tcW w:w="540" w:type="dxa"/>
            <w:vAlign w:val="bottom"/>
            <w:tcBorders>
              <w:top w:val="single" w:sz="8" w:color="98A3B8"/>
              <w:bottom w:val="single" w:sz="8" w:color="98A3B8"/>
            </w:tcBorders>
          </w:tcPr>
          <w:p>
            <w:pPr>
              <w:jc w:val="right"/>
              <w:spacing w:after="0"/>
              <w:rPr>
                <w:sz w:val="20"/>
                <w:szCs w:val="20"/>
                <w:color w:val="auto"/>
              </w:rPr>
            </w:pPr>
            <w:r>
              <w:rPr>
                <w:rFonts w:ascii="Arial" w:cs="Arial" w:eastAsia="Arial" w:hAnsi="Arial"/>
                <w:sz w:val="15"/>
                <w:szCs w:val="15"/>
                <w:color w:val="auto"/>
              </w:rPr>
              <w:t>14,616</w:t>
            </w:r>
          </w:p>
        </w:tc>
        <w:tc>
          <w:tcPr>
            <w:tcW w:w="240" w:type="dxa"/>
            <w:vAlign w:val="bottom"/>
          </w:tcPr>
          <w:p>
            <w:pPr>
              <w:spacing w:after="0"/>
              <w:rPr>
                <w:sz w:val="17"/>
                <w:szCs w:val="17"/>
                <w:color w:val="auto"/>
              </w:rPr>
            </w:pPr>
          </w:p>
        </w:tc>
        <w:tc>
          <w:tcPr>
            <w:tcW w:w="160" w:type="dxa"/>
            <w:vAlign w:val="bottom"/>
            <w:tcBorders>
              <w:top w:val="single" w:sz="8" w:color="98A3B8"/>
              <w:bottom w:val="single" w:sz="8" w:color="98A3B8"/>
            </w:tcBorders>
          </w:tcPr>
          <w:p>
            <w:pPr>
              <w:spacing w:after="0"/>
              <w:rPr>
                <w:sz w:val="17"/>
                <w:szCs w:val="17"/>
                <w:color w:val="auto"/>
              </w:rPr>
            </w:pPr>
          </w:p>
        </w:tc>
        <w:tc>
          <w:tcPr>
            <w:tcW w:w="540" w:type="dxa"/>
            <w:vAlign w:val="bottom"/>
            <w:tcBorders>
              <w:top w:val="single" w:sz="8" w:color="98A3B8"/>
              <w:bottom w:val="single" w:sz="8" w:color="98A3B8"/>
            </w:tcBorders>
          </w:tcPr>
          <w:p>
            <w:pPr>
              <w:jc w:val="right"/>
              <w:spacing w:after="0"/>
              <w:rPr>
                <w:sz w:val="20"/>
                <w:szCs w:val="20"/>
                <w:color w:val="auto"/>
              </w:rPr>
            </w:pPr>
            <w:r>
              <w:rPr>
                <w:rFonts w:ascii="Arial" w:cs="Arial" w:eastAsia="Arial" w:hAnsi="Arial"/>
                <w:sz w:val="15"/>
                <w:szCs w:val="15"/>
                <w:color w:val="auto"/>
              </w:rPr>
              <w:t>9,316</w:t>
            </w:r>
          </w:p>
        </w:tc>
      </w:tr>
      <w:tr>
        <w:trPr>
          <w:trHeight w:val="205"/>
        </w:trPr>
        <w:tc>
          <w:tcPr>
            <w:tcW w:w="9560" w:type="dxa"/>
            <w:vAlign w:val="bottom"/>
          </w:tcPr>
          <w:p>
            <w:pPr>
              <w:spacing w:after="0"/>
              <w:rPr>
                <w:sz w:val="20"/>
                <w:szCs w:val="20"/>
                <w:color w:val="auto"/>
              </w:rPr>
            </w:pPr>
            <w:r>
              <w:rPr>
                <w:rFonts w:ascii="Arial" w:cs="Arial" w:eastAsia="Arial" w:hAnsi="Arial"/>
                <w:sz w:val="15"/>
                <w:szCs w:val="15"/>
                <w:color w:val="auto"/>
              </w:rPr>
              <w:t>Related party receivables</w:t>
            </w:r>
          </w:p>
        </w:tc>
        <w:tc>
          <w:tcPr>
            <w:tcW w:w="4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15,856</w:t>
            </w:r>
          </w:p>
        </w:tc>
        <w:tc>
          <w:tcPr>
            <w:tcW w:w="24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10,650</w:t>
            </w:r>
          </w:p>
        </w:tc>
      </w:tr>
      <w:tr>
        <w:trPr>
          <w:trHeight w:val="30"/>
        </w:trPr>
        <w:tc>
          <w:tcPr>
            <w:tcW w:w="9560" w:type="dxa"/>
            <w:vAlign w:val="bottom"/>
            <w:shd w:val="clear" w:color="auto" w:fill="325889"/>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325889"/>
          </w:tcPr>
          <w:p>
            <w:pPr>
              <w:spacing w:after="0"/>
              <w:rPr>
                <w:sz w:val="2"/>
                <w:szCs w:val="2"/>
                <w:color w:val="auto"/>
              </w:rPr>
            </w:pPr>
          </w:p>
        </w:tc>
        <w:tc>
          <w:tcPr>
            <w:tcW w:w="540" w:type="dxa"/>
            <w:vAlign w:val="bottom"/>
            <w:shd w:val="clear" w:color="auto" w:fill="325889"/>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325889"/>
          </w:tcPr>
          <w:p>
            <w:pPr>
              <w:spacing w:after="0"/>
              <w:rPr>
                <w:sz w:val="2"/>
                <w:szCs w:val="2"/>
                <w:color w:val="auto"/>
              </w:rPr>
            </w:pPr>
          </w:p>
        </w:tc>
        <w:tc>
          <w:tcPr>
            <w:tcW w:w="540" w:type="dxa"/>
            <w:vAlign w:val="bottom"/>
            <w:shd w:val="clear" w:color="auto" w:fill="325889"/>
          </w:tcPr>
          <w:p>
            <w:pPr>
              <w:spacing w:after="0"/>
              <w:rPr>
                <w:sz w:val="2"/>
                <w:szCs w:val="2"/>
                <w:color w:val="auto"/>
              </w:rPr>
            </w:pP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325889"/>
        </w:rPr>
        <w:t xml:space="preserve">60 </w:t>
      </w:r>
      <w:r>
        <w:rPr>
          <w:rFonts w:ascii="Arial" w:cs="Arial" w:eastAsia="Arial" w:hAnsi="Arial"/>
          <w:sz w:val="15"/>
          <w:szCs w:val="15"/>
          <w:color w:val="000000"/>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83450" cy="203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0"/>
          </w:cols>
          <w:pgMar w:left="240" w:top="528" w:right="219" w:bottom="1440" w:gutter="0" w:footer="0" w:header="0"/>
        </w:sectPr>
      </w:pPr>
    </w:p>
    <w:bookmarkStart w:id="62" w:name="page63"/>
    <w:bookmarkEnd w:id="62"/>
    <w:p>
      <w:pPr>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178" w:lineRule="exact"/>
        <w:rPr>
          <w:sz w:val="20"/>
          <w:szCs w:val="20"/>
          <w:color w:val="auto"/>
        </w:rPr>
      </w:pPr>
    </w:p>
    <w:p>
      <w:pPr>
        <w:spacing w:after="0"/>
        <w:rPr>
          <w:sz w:val="20"/>
          <w:szCs w:val="20"/>
          <w:color w:val="auto"/>
        </w:rPr>
      </w:pPr>
      <w:r>
        <w:rPr>
          <w:rFonts w:ascii="Arial" w:cs="Arial" w:eastAsia="Arial" w:hAnsi="Arial"/>
          <w:sz w:val="28"/>
          <w:szCs w:val="28"/>
          <w:b w:val="1"/>
          <w:bCs w:val="1"/>
          <w:color w:val="325889"/>
        </w:rPr>
        <w:t>OTHER INFORMATION</w:t>
      </w:r>
    </w:p>
    <w:p>
      <w:pPr>
        <w:spacing w:after="0" w:line="236" w:lineRule="exact"/>
        <w:rPr>
          <w:sz w:val="20"/>
          <w:szCs w:val="20"/>
          <w:color w:val="auto"/>
        </w:rPr>
      </w:pPr>
    </w:p>
    <w:p>
      <w:pPr>
        <w:ind w:right="80"/>
        <w:spacing w:after="0" w:line="256" w:lineRule="auto"/>
        <w:rPr>
          <w:sz w:val="20"/>
          <w:szCs w:val="20"/>
          <w:color w:val="auto"/>
        </w:rPr>
      </w:pPr>
      <w:r>
        <w:rPr>
          <w:rFonts w:ascii="Arial" w:cs="Arial" w:eastAsia="Arial" w:hAnsi="Arial"/>
          <w:sz w:val="15"/>
          <w:szCs w:val="15"/>
          <w:color w:val="auto"/>
        </w:rPr>
        <w:t>These proxy materials are being made available in connection with the solicitation of proxies by the Board of Directors, or the Board, of SL Green Realty Corp., a Maryland corporation, for use at our 2017 annual meeting of stockholders to be held on Thursday, June 1, 2017 at 10:00 a.m., local time, at the Grand Hyatt New York, 109 East 42nd Street, New York, New York, 10017, or at any postponement or adjournment of the annual meeting.</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Questions and Answers 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7263130" cy="152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3130" cy="1524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325889"/>
        </w:rPr>
        <w:t>Who is entitled to vote at the annual meeting?</w:t>
      </w:r>
    </w:p>
    <w:p>
      <w:pPr>
        <w:spacing w:after="0" w:line="212" w:lineRule="exact"/>
        <w:rPr>
          <w:sz w:val="20"/>
          <w:szCs w:val="20"/>
          <w:color w:val="auto"/>
        </w:rPr>
      </w:pPr>
    </w:p>
    <w:p>
      <w:pPr>
        <w:ind w:right="200"/>
        <w:spacing w:after="0" w:line="252" w:lineRule="auto"/>
        <w:rPr>
          <w:sz w:val="20"/>
          <w:szCs w:val="20"/>
          <w:color w:val="auto"/>
        </w:rPr>
      </w:pPr>
      <w:r>
        <w:rPr>
          <w:rFonts w:ascii="Arial" w:cs="Arial" w:eastAsia="Arial" w:hAnsi="Arial"/>
          <w:sz w:val="15"/>
          <w:szCs w:val="15"/>
          <w:color w:val="auto"/>
        </w:rPr>
        <w:t>Holders of record of our common stock, $0.01 par value per share, at the close of business on March 31, 2017, the record date for the annual meeting, are entitled to receive notice of the annual meeting and to vote at the annual meeting. If you are a holder of record of our common stock as of the record date, you may vote the shares that you held on the record date even if you sell such shares after the record date. Each outstanding share as of the record date entitles its holder to cast one vote for each matter to be voted upon and, with respect to the election of directors, one vote for each director to be elected. Stockholders do not have the right to cumulate voting for the election of directors.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325889"/>
        </w:rPr>
        <w:t>What is the purpose of the annual meeting?</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At the annual meeting, you will be asked to vote on the following proposals:</w:t>
      </w:r>
    </w:p>
    <w:p>
      <w:pPr>
        <w:spacing w:after="0" w:line="179" w:lineRule="exact"/>
        <w:rPr>
          <w:sz w:val="20"/>
          <w:szCs w:val="20"/>
          <w:color w:val="auto"/>
        </w:rPr>
      </w:pPr>
    </w:p>
    <w:p>
      <w:pPr>
        <w:ind w:left="460" w:right="680" w:hanging="228"/>
        <w:spacing w:after="0" w:line="288" w:lineRule="auto"/>
        <w:tabs>
          <w:tab w:leader="none" w:pos="460" w:val="left"/>
        </w:tabs>
        <w:numPr>
          <w:ilvl w:val="0"/>
          <w:numId w:val="80"/>
        </w:numPr>
        <w:rPr>
          <w:rFonts w:ascii="Arial" w:cs="Arial" w:eastAsia="Arial" w:hAnsi="Arial"/>
          <w:sz w:val="15"/>
          <w:szCs w:val="15"/>
          <w:color w:val="325889"/>
        </w:rPr>
      </w:pPr>
      <w:r>
        <w:rPr>
          <w:rFonts w:ascii="Arial" w:cs="Arial" w:eastAsia="Arial" w:hAnsi="Arial"/>
          <w:sz w:val="15"/>
          <w:szCs w:val="15"/>
          <w:i w:val="1"/>
          <w:iCs w:val="1"/>
          <w:color w:val="auto"/>
        </w:rPr>
        <w:t>Proposal 1</w:t>
      </w:r>
      <w:r>
        <w:rPr>
          <w:rFonts w:ascii="Arial" w:cs="Arial" w:eastAsia="Arial" w:hAnsi="Arial"/>
          <w:sz w:val="15"/>
          <w:szCs w:val="15"/>
          <w:color w:val="auto"/>
        </w:rPr>
        <w:t>: the election of the three Class II director nominees named in this proxy statement to serve on the Board for a three-year term and until their</w:t>
      </w:r>
      <w:r>
        <w:rPr>
          <w:rFonts w:ascii="Arial" w:cs="Arial" w:eastAsia="Arial" w:hAnsi="Arial"/>
          <w:sz w:val="15"/>
          <w:szCs w:val="15"/>
          <w:i w:val="1"/>
          <w:iCs w:val="1"/>
          <w:color w:val="auto"/>
        </w:rPr>
        <w:t xml:space="preserve"> </w:t>
      </w:r>
      <w:r>
        <w:rPr>
          <w:rFonts w:ascii="Arial" w:cs="Arial" w:eastAsia="Arial" w:hAnsi="Arial"/>
          <w:sz w:val="15"/>
          <w:szCs w:val="15"/>
          <w:color w:val="auto"/>
        </w:rPr>
        <w:t>successors are duly elected and qualify</w:t>
      </w:r>
    </w:p>
    <w:p>
      <w:pPr>
        <w:spacing w:after="0" w:line="119" w:lineRule="exact"/>
        <w:rPr>
          <w:rFonts w:ascii="Arial" w:cs="Arial" w:eastAsia="Arial" w:hAnsi="Arial"/>
          <w:sz w:val="15"/>
          <w:szCs w:val="15"/>
          <w:color w:val="325889"/>
        </w:rPr>
      </w:pPr>
    </w:p>
    <w:p>
      <w:pPr>
        <w:ind w:left="460" w:right="140" w:hanging="228"/>
        <w:spacing w:after="0" w:line="288" w:lineRule="auto"/>
        <w:tabs>
          <w:tab w:leader="none" w:pos="460" w:val="left"/>
        </w:tabs>
        <w:numPr>
          <w:ilvl w:val="0"/>
          <w:numId w:val="80"/>
        </w:numPr>
        <w:rPr>
          <w:rFonts w:ascii="Arial" w:cs="Arial" w:eastAsia="Arial" w:hAnsi="Arial"/>
          <w:sz w:val="15"/>
          <w:szCs w:val="15"/>
          <w:color w:val="325889"/>
        </w:rPr>
      </w:pPr>
      <w:r>
        <w:rPr>
          <w:rFonts w:ascii="Arial" w:cs="Arial" w:eastAsia="Arial" w:hAnsi="Arial"/>
          <w:sz w:val="15"/>
          <w:szCs w:val="15"/>
          <w:i w:val="1"/>
          <w:iCs w:val="1"/>
          <w:color w:val="auto"/>
        </w:rPr>
        <w:t>Proposal 2</w:t>
      </w:r>
      <w:r>
        <w:rPr>
          <w:rFonts w:ascii="Arial" w:cs="Arial" w:eastAsia="Arial" w:hAnsi="Arial"/>
          <w:sz w:val="15"/>
          <w:szCs w:val="15"/>
          <w:color w:val="auto"/>
        </w:rPr>
        <w:t>: the approval of an advisory resolution approving the compensation of our named executive officers as disclosed in this proxy statement pursuant to</w:t>
      </w:r>
      <w:r>
        <w:rPr>
          <w:rFonts w:ascii="Arial" w:cs="Arial" w:eastAsia="Arial" w:hAnsi="Arial"/>
          <w:sz w:val="15"/>
          <w:szCs w:val="15"/>
          <w:i w:val="1"/>
          <w:iCs w:val="1"/>
          <w:color w:val="auto"/>
        </w:rPr>
        <w:t xml:space="preserve"> </w:t>
      </w:r>
      <w:r>
        <w:rPr>
          <w:rFonts w:ascii="Arial" w:cs="Arial" w:eastAsia="Arial" w:hAnsi="Arial"/>
          <w:sz w:val="15"/>
          <w:szCs w:val="15"/>
          <w:color w:val="auto"/>
        </w:rPr>
        <w:t>Item 402 of Regulation S-K</w:t>
      </w:r>
    </w:p>
    <w:p>
      <w:pPr>
        <w:spacing w:after="0" w:line="119" w:lineRule="exact"/>
        <w:rPr>
          <w:rFonts w:ascii="Arial" w:cs="Arial" w:eastAsia="Arial" w:hAnsi="Arial"/>
          <w:sz w:val="15"/>
          <w:szCs w:val="15"/>
          <w:color w:val="325889"/>
        </w:rPr>
      </w:pPr>
    </w:p>
    <w:p>
      <w:pPr>
        <w:ind w:left="460" w:hanging="228"/>
        <w:spacing w:after="0"/>
        <w:tabs>
          <w:tab w:leader="none" w:pos="460" w:val="left"/>
        </w:tabs>
        <w:numPr>
          <w:ilvl w:val="0"/>
          <w:numId w:val="80"/>
        </w:numPr>
        <w:rPr>
          <w:rFonts w:ascii="Arial" w:cs="Arial" w:eastAsia="Arial" w:hAnsi="Arial"/>
          <w:sz w:val="15"/>
          <w:szCs w:val="15"/>
          <w:color w:val="325889"/>
        </w:rPr>
      </w:pPr>
      <w:r>
        <w:rPr>
          <w:rFonts w:ascii="Arial" w:cs="Arial" w:eastAsia="Arial" w:hAnsi="Arial"/>
          <w:sz w:val="15"/>
          <w:szCs w:val="15"/>
          <w:i w:val="1"/>
          <w:iCs w:val="1"/>
          <w:color w:val="auto"/>
        </w:rPr>
        <w:t>Proposal 3</w:t>
      </w:r>
      <w:r>
        <w:rPr>
          <w:rFonts w:ascii="Arial" w:cs="Arial" w:eastAsia="Arial" w:hAnsi="Arial"/>
          <w:sz w:val="15"/>
          <w:szCs w:val="15"/>
          <w:color w:val="auto"/>
        </w:rPr>
        <w:t>: the amendment of our Articles of Restatement to effect the declassification of our Board of Directors</w:t>
      </w:r>
    </w:p>
    <w:p>
      <w:pPr>
        <w:spacing w:after="0" w:line="183" w:lineRule="exact"/>
        <w:rPr>
          <w:rFonts w:ascii="Arial" w:cs="Arial" w:eastAsia="Arial" w:hAnsi="Arial"/>
          <w:sz w:val="15"/>
          <w:szCs w:val="15"/>
          <w:color w:val="325889"/>
        </w:rPr>
      </w:pPr>
    </w:p>
    <w:p>
      <w:pPr>
        <w:ind w:left="460" w:right="260" w:hanging="228"/>
        <w:spacing w:after="0" w:line="288" w:lineRule="auto"/>
        <w:tabs>
          <w:tab w:leader="none" w:pos="460" w:val="left"/>
        </w:tabs>
        <w:numPr>
          <w:ilvl w:val="0"/>
          <w:numId w:val="80"/>
        </w:numPr>
        <w:rPr>
          <w:rFonts w:ascii="Arial" w:cs="Arial" w:eastAsia="Arial" w:hAnsi="Arial"/>
          <w:sz w:val="15"/>
          <w:szCs w:val="15"/>
          <w:color w:val="325889"/>
        </w:rPr>
      </w:pPr>
      <w:r>
        <w:rPr>
          <w:rFonts w:ascii="Arial" w:cs="Arial" w:eastAsia="Arial" w:hAnsi="Arial"/>
          <w:sz w:val="15"/>
          <w:szCs w:val="15"/>
          <w:i w:val="1"/>
          <w:iCs w:val="1"/>
          <w:color w:val="auto"/>
        </w:rPr>
        <w:t>Proposal 4</w:t>
      </w:r>
      <w:r>
        <w:rPr>
          <w:rFonts w:ascii="Arial" w:cs="Arial" w:eastAsia="Arial" w:hAnsi="Arial"/>
          <w:sz w:val="15"/>
          <w:szCs w:val="15"/>
          <w:color w:val="auto"/>
        </w:rPr>
        <w:t>: the ratification of the appointment of Ernst &amp; Young LLP as our independent registered public accounting firm for the fiscal year ending December</w:t>
      </w:r>
      <w:r>
        <w:rPr>
          <w:rFonts w:ascii="Arial" w:cs="Arial" w:eastAsia="Arial" w:hAnsi="Arial"/>
          <w:sz w:val="15"/>
          <w:szCs w:val="15"/>
          <w:i w:val="1"/>
          <w:iCs w:val="1"/>
          <w:color w:val="auto"/>
        </w:rPr>
        <w:t xml:space="preserve"> </w:t>
      </w:r>
      <w:r>
        <w:rPr>
          <w:rFonts w:ascii="Arial" w:cs="Arial" w:eastAsia="Arial" w:hAnsi="Arial"/>
          <w:sz w:val="15"/>
          <w:szCs w:val="15"/>
          <w:color w:val="auto"/>
        </w:rPr>
        <w:t>31, 2017</w:t>
      </w:r>
    </w:p>
    <w:p>
      <w:pPr>
        <w:spacing w:after="0" w:line="119" w:lineRule="exact"/>
        <w:rPr>
          <w:rFonts w:ascii="Arial" w:cs="Arial" w:eastAsia="Arial" w:hAnsi="Arial"/>
          <w:sz w:val="15"/>
          <w:szCs w:val="15"/>
          <w:color w:val="325889"/>
        </w:rPr>
      </w:pPr>
    </w:p>
    <w:p>
      <w:pPr>
        <w:ind w:left="460" w:hanging="228"/>
        <w:spacing w:after="0"/>
        <w:tabs>
          <w:tab w:leader="none" w:pos="460" w:val="left"/>
        </w:tabs>
        <w:numPr>
          <w:ilvl w:val="0"/>
          <w:numId w:val="80"/>
        </w:numPr>
        <w:rPr>
          <w:rFonts w:ascii="Arial" w:cs="Arial" w:eastAsia="Arial" w:hAnsi="Arial"/>
          <w:sz w:val="15"/>
          <w:szCs w:val="15"/>
          <w:color w:val="325889"/>
        </w:rPr>
      </w:pPr>
      <w:r>
        <w:rPr>
          <w:rFonts w:ascii="Arial" w:cs="Arial" w:eastAsia="Arial" w:hAnsi="Arial"/>
          <w:sz w:val="15"/>
          <w:szCs w:val="15"/>
          <w:i w:val="1"/>
          <w:iCs w:val="1"/>
          <w:color w:val="auto"/>
        </w:rPr>
        <w:t>Proposal 5</w:t>
      </w:r>
      <w:r>
        <w:rPr>
          <w:rFonts w:ascii="Arial" w:cs="Arial" w:eastAsia="Arial" w:hAnsi="Arial"/>
          <w:sz w:val="15"/>
          <w:szCs w:val="15"/>
          <w:color w:val="auto"/>
        </w:rPr>
        <w:t>: whether an advisory vote on executive compensation should be held every one, two or three years</w:t>
      </w:r>
    </w:p>
    <w:p>
      <w:pPr>
        <w:spacing w:after="0" w:line="183" w:lineRule="exact"/>
        <w:rPr>
          <w:rFonts w:ascii="Arial" w:cs="Arial" w:eastAsia="Arial" w:hAnsi="Arial"/>
          <w:sz w:val="15"/>
          <w:szCs w:val="15"/>
          <w:color w:val="325889"/>
        </w:rPr>
      </w:pPr>
    </w:p>
    <w:p>
      <w:pPr>
        <w:ind w:left="460" w:hanging="228"/>
        <w:spacing w:after="0"/>
        <w:tabs>
          <w:tab w:leader="none" w:pos="460" w:val="left"/>
        </w:tabs>
        <w:numPr>
          <w:ilvl w:val="0"/>
          <w:numId w:val="80"/>
        </w:numPr>
        <w:rPr>
          <w:rFonts w:ascii="Arial" w:cs="Arial" w:eastAsia="Arial" w:hAnsi="Arial"/>
          <w:sz w:val="15"/>
          <w:szCs w:val="15"/>
          <w:color w:val="325889"/>
        </w:rPr>
      </w:pPr>
      <w:r>
        <w:rPr>
          <w:rFonts w:ascii="Arial" w:cs="Arial" w:eastAsia="Arial" w:hAnsi="Arial"/>
          <w:sz w:val="15"/>
          <w:szCs w:val="15"/>
          <w:i w:val="1"/>
          <w:iCs w:val="1"/>
          <w:color w:val="auto"/>
        </w:rPr>
        <w:t>Proposal 6</w:t>
      </w:r>
      <w:r>
        <w:rPr>
          <w:rFonts w:ascii="Arial" w:cs="Arial" w:eastAsia="Arial" w:hAnsi="Arial"/>
          <w:sz w:val="15"/>
          <w:szCs w:val="15"/>
          <w:color w:val="auto"/>
        </w:rPr>
        <w:t>: a stockholder proposal regarding setting target amounts for CEO compensation</w:t>
      </w:r>
    </w:p>
    <w:p>
      <w:pPr>
        <w:spacing w:after="0" w:line="200" w:lineRule="exact"/>
        <w:rPr>
          <w:sz w:val="20"/>
          <w:szCs w:val="20"/>
          <w:color w:val="auto"/>
        </w:rPr>
      </w:pPr>
    </w:p>
    <w:p>
      <w:pPr>
        <w:spacing w:after="0" w:line="225" w:lineRule="exact"/>
        <w:rPr>
          <w:sz w:val="20"/>
          <w:szCs w:val="20"/>
          <w:color w:val="auto"/>
        </w:rPr>
      </w:pPr>
    </w:p>
    <w:p>
      <w:pPr>
        <w:ind w:right="20"/>
        <w:spacing w:after="0" w:line="265" w:lineRule="auto"/>
        <w:rPr>
          <w:sz w:val="20"/>
          <w:szCs w:val="20"/>
          <w:color w:val="auto"/>
        </w:rPr>
      </w:pPr>
      <w:r>
        <w:rPr>
          <w:rFonts w:ascii="Arial" w:cs="Arial" w:eastAsia="Arial" w:hAnsi="Arial"/>
          <w:sz w:val="15"/>
          <w:szCs w:val="15"/>
          <w:color w:val="auto"/>
        </w:rPr>
        <w:t>You also may be asked to consider and act upon any other matters that may properly be brought before the annual meeting and at any adjournments or postponements thereof.</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325889"/>
        </w:rPr>
        <w:t>What constitutes a quorum?</w:t>
      </w:r>
    </w:p>
    <w:p>
      <w:pPr>
        <w:spacing w:after="0" w:line="212" w:lineRule="exact"/>
        <w:rPr>
          <w:sz w:val="20"/>
          <w:szCs w:val="20"/>
          <w:color w:val="auto"/>
        </w:rPr>
      </w:pPr>
    </w:p>
    <w:p>
      <w:pPr>
        <w:ind w:right="20"/>
        <w:spacing w:after="0" w:line="256" w:lineRule="auto"/>
        <w:rPr>
          <w:sz w:val="20"/>
          <w:szCs w:val="20"/>
          <w:color w:val="auto"/>
        </w:rPr>
      </w:pPr>
      <w:r>
        <w:rPr>
          <w:rFonts w:ascii="Arial" w:cs="Arial" w:eastAsia="Arial" w:hAnsi="Arial"/>
          <w:sz w:val="15"/>
          <w:szCs w:val="15"/>
          <w:color w:val="auto"/>
        </w:rPr>
        <w:t>The presence, in person or by proxy, of holders of a majority of the total number of outstanding shares entitled to vote at the annual meeting is necessary to constitute a quorum for the transaction of any business at the annual meeting. As of the record date, there were 101,831,845 shares outstanding and entitled to vote at the annual meeting.</w:t>
      </w:r>
    </w:p>
    <w:p>
      <w:pPr>
        <w:spacing w:after="0" w:line="172"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Each share of our common stock outstanding on the record date is entitled to one vote on each matter properly submitted at the annual meeting and, with respect to the election of directors, one vote for each director to be elected. Abstentions and “broker non-votes” (i.e., shares represented at the meeting held by brokers, as to which instructions have not been received from the beneficial owners or persons entitled to vote such shares and with respect to which, on a particular matter, the broker does not have discretionary voting power to vote such shares) will be counted for purposes of determining whether a quorum is present for the transaction of business at the annual meeting.</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325889"/>
        </w:rPr>
        <w:t>What vote is required to approve each proposal?</w:t>
      </w:r>
    </w:p>
    <w:p>
      <w:pPr>
        <w:spacing w:after="0" w:line="212" w:lineRule="exact"/>
        <w:rPr>
          <w:sz w:val="20"/>
          <w:szCs w:val="20"/>
          <w:color w:val="auto"/>
        </w:rPr>
      </w:pPr>
    </w:p>
    <w:p>
      <w:pPr>
        <w:ind w:right="200"/>
        <w:spacing w:after="0" w:line="252" w:lineRule="auto"/>
        <w:rPr>
          <w:sz w:val="20"/>
          <w:szCs w:val="20"/>
          <w:color w:val="auto"/>
        </w:rPr>
      </w:pPr>
      <w:r>
        <w:rPr>
          <w:rFonts w:ascii="Arial" w:cs="Arial" w:eastAsia="Arial" w:hAnsi="Arial"/>
          <w:sz w:val="15"/>
          <w:szCs w:val="15"/>
          <w:color w:val="auto"/>
        </w:rPr>
        <w:t>For Proposal 1, a majority of all the votes cast with respect to a nominee’s election is required for such nominee to be elected to serve on the Board. This means that the number of votes cast “for” a nominee must exceed the number of votes cast “against” such nominee. Abstentions and broker non-votes are not counted as a vote cast either “for” or “against” a nominee, and therefore, will have no effect on the election of directors. For more information on the operation of our majority voting standard in director elections, see the section entitled “Our Board of Directors and Corporate Governance—Corporate Governance—Majority Voting Standard and Director Resignation Policy.”</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2017 Proxy Statement </w:t>
      </w:r>
      <w:r>
        <w:rPr>
          <w:rFonts w:ascii="Arial" w:cs="Arial" w:eastAsia="Arial" w:hAnsi="Arial"/>
          <w:sz w:val="15"/>
          <w:szCs w:val="15"/>
          <w:color w:val="325889"/>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83450" cy="203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0"/>
          </w:cols>
          <w:pgMar w:left="240" w:top="528" w:right="219" w:bottom="1440" w:gutter="0" w:footer="0" w:header="0"/>
        </w:sectPr>
      </w:pPr>
    </w:p>
    <w:bookmarkStart w:id="63" w:name="page64"/>
    <w:bookmarkEnd w:id="63"/>
    <w:p>
      <w:pPr>
        <w:ind w:left="5"/>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ind w:left="5"/>
        <w:spacing w:after="0"/>
        <w:rPr>
          <w:sz w:val="20"/>
          <w:szCs w:val="20"/>
          <w:color w:val="auto"/>
        </w:rPr>
      </w:pPr>
      <w:r>
        <w:rPr>
          <w:rFonts w:ascii="Arial" w:cs="Arial" w:eastAsia="Arial" w:hAnsi="Arial"/>
          <w:sz w:val="15"/>
          <w:szCs w:val="15"/>
          <w:u w:val="single" w:color="auto"/>
          <w:color w:val="325889"/>
        </w:rPr>
        <w:t>OTHER INFORMATION</w:t>
      </w:r>
    </w:p>
    <w:p>
      <w:pPr>
        <w:spacing w:after="0" w:line="195" w:lineRule="exact"/>
        <w:rPr>
          <w:sz w:val="20"/>
          <w:szCs w:val="20"/>
          <w:color w:val="auto"/>
        </w:rPr>
      </w:pPr>
    </w:p>
    <w:p>
      <w:pPr>
        <w:ind w:left="5" w:right="40"/>
        <w:spacing w:after="0" w:line="253" w:lineRule="auto"/>
        <w:rPr>
          <w:sz w:val="20"/>
          <w:szCs w:val="20"/>
          <w:color w:val="auto"/>
        </w:rPr>
      </w:pPr>
      <w:r>
        <w:rPr>
          <w:rFonts w:ascii="Arial" w:cs="Arial" w:eastAsia="Arial" w:hAnsi="Arial"/>
          <w:sz w:val="15"/>
          <w:szCs w:val="15"/>
          <w:color w:val="auto"/>
        </w:rPr>
        <w:t>A majority of all of the votes cast with respect to the proposal is required for approval of each of Proposals 2, 4 and 6. For Proposal 3, the Articles of Restatement will be amended only if approved by the affirmative vote of two-thirds of all the votes entitled to be cast on the matter. For Proposal 5, in order for any of the three alternative frequencies to be approved, it must receive a majority of the votes cast. In the event that no option receives a majority of the votes cast, we will consider the option that receives the most votes to be the option selected by the stockholders.</w:t>
      </w:r>
    </w:p>
    <w:p>
      <w:pPr>
        <w:spacing w:after="0" w:line="174" w:lineRule="exact"/>
        <w:rPr>
          <w:sz w:val="20"/>
          <w:szCs w:val="20"/>
          <w:color w:val="auto"/>
        </w:rPr>
      </w:pPr>
    </w:p>
    <w:p>
      <w:pPr>
        <w:ind w:left="5" w:right="700"/>
        <w:spacing w:after="0" w:line="265" w:lineRule="auto"/>
        <w:rPr>
          <w:sz w:val="20"/>
          <w:szCs w:val="20"/>
          <w:color w:val="auto"/>
        </w:rPr>
      </w:pPr>
      <w:r>
        <w:rPr>
          <w:rFonts w:ascii="Arial" w:cs="Arial" w:eastAsia="Arial" w:hAnsi="Arial"/>
          <w:sz w:val="15"/>
          <w:szCs w:val="15"/>
          <w:color w:val="auto"/>
        </w:rPr>
        <w:t>In respect of Proposals 2, 4, 5 and 6, abstentions and broker non-votes are not counted as votes cast, and therefore will have no effect on the votes for these proposals. In respect of Proposal 3, abstentions and broker non-votes, if any, will have the same effect as votes against the proposal.</w:t>
      </w:r>
    </w:p>
    <w:p>
      <w:pPr>
        <w:spacing w:after="0" w:line="137"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325889"/>
        </w:rPr>
        <w:t>Can I change my vote after I submit my proxy card?</w:t>
      </w:r>
    </w:p>
    <w:p>
      <w:pPr>
        <w:spacing w:after="0" w:line="212" w:lineRule="exact"/>
        <w:rPr>
          <w:sz w:val="20"/>
          <w:szCs w:val="20"/>
          <w:color w:val="auto"/>
        </w:rPr>
      </w:pPr>
    </w:p>
    <w:p>
      <w:pPr>
        <w:ind w:left="5"/>
        <w:spacing w:after="0"/>
        <w:rPr>
          <w:sz w:val="20"/>
          <w:szCs w:val="20"/>
          <w:color w:val="auto"/>
        </w:rPr>
      </w:pPr>
      <w:r>
        <w:rPr>
          <w:rFonts w:ascii="Arial" w:cs="Arial" w:eastAsia="Arial" w:hAnsi="Arial"/>
          <w:sz w:val="15"/>
          <w:szCs w:val="15"/>
          <w:color w:val="auto"/>
        </w:rPr>
        <w:t>If you cast a vote by proxy, you may revoke it at any time before it is voted by:</w:t>
      </w:r>
    </w:p>
    <w:p>
      <w:pPr>
        <w:spacing w:after="0" w:line="195" w:lineRule="exact"/>
        <w:rPr>
          <w:sz w:val="20"/>
          <w:szCs w:val="20"/>
          <w:color w:val="auto"/>
        </w:rPr>
      </w:pPr>
    </w:p>
    <w:p>
      <w:pPr>
        <w:ind w:left="465" w:hanging="228"/>
        <w:spacing w:after="0"/>
        <w:tabs>
          <w:tab w:leader="none" w:pos="465" w:val="left"/>
        </w:tabs>
        <w:numPr>
          <w:ilvl w:val="0"/>
          <w:numId w:val="81"/>
        </w:numPr>
        <w:rPr>
          <w:rFonts w:ascii="Arial" w:cs="Arial" w:eastAsia="Arial" w:hAnsi="Arial"/>
          <w:sz w:val="15"/>
          <w:szCs w:val="15"/>
          <w:color w:val="325889"/>
        </w:rPr>
      </w:pPr>
      <w:r>
        <w:rPr>
          <w:rFonts w:ascii="Arial" w:cs="Arial" w:eastAsia="Arial" w:hAnsi="Arial"/>
          <w:sz w:val="15"/>
          <w:szCs w:val="15"/>
          <w:color w:val="auto"/>
        </w:rPr>
        <w:t>filing a written notice revoking the proxy with our Secretary at our address</w:t>
      </w:r>
    </w:p>
    <w:p>
      <w:pPr>
        <w:spacing w:after="0" w:line="183" w:lineRule="exact"/>
        <w:rPr>
          <w:rFonts w:ascii="Arial" w:cs="Arial" w:eastAsia="Arial" w:hAnsi="Arial"/>
          <w:sz w:val="15"/>
          <w:szCs w:val="15"/>
          <w:color w:val="325889"/>
        </w:rPr>
      </w:pPr>
    </w:p>
    <w:p>
      <w:pPr>
        <w:ind w:left="465" w:hanging="228"/>
        <w:spacing w:after="0"/>
        <w:tabs>
          <w:tab w:leader="none" w:pos="465" w:val="left"/>
        </w:tabs>
        <w:numPr>
          <w:ilvl w:val="0"/>
          <w:numId w:val="81"/>
        </w:numPr>
        <w:rPr>
          <w:rFonts w:ascii="Arial" w:cs="Arial" w:eastAsia="Arial" w:hAnsi="Arial"/>
          <w:sz w:val="15"/>
          <w:szCs w:val="15"/>
          <w:color w:val="325889"/>
        </w:rPr>
      </w:pPr>
      <w:r>
        <w:rPr>
          <w:rFonts w:ascii="Arial" w:cs="Arial" w:eastAsia="Arial" w:hAnsi="Arial"/>
          <w:sz w:val="15"/>
          <w:szCs w:val="15"/>
          <w:color w:val="auto"/>
        </w:rPr>
        <w:t>properly signing and forwarding to us a proxy with a later date</w:t>
      </w:r>
    </w:p>
    <w:p>
      <w:pPr>
        <w:spacing w:after="0" w:line="183" w:lineRule="exact"/>
        <w:rPr>
          <w:rFonts w:ascii="Arial" w:cs="Arial" w:eastAsia="Arial" w:hAnsi="Arial"/>
          <w:sz w:val="15"/>
          <w:szCs w:val="15"/>
          <w:color w:val="325889"/>
        </w:rPr>
      </w:pPr>
    </w:p>
    <w:p>
      <w:pPr>
        <w:ind w:left="465" w:hanging="228"/>
        <w:spacing w:after="0"/>
        <w:tabs>
          <w:tab w:leader="none" w:pos="465" w:val="left"/>
        </w:tabs>
        <w:numPr>
          <w:ilvl w:val="0"/>
          <w:numId w:val="81"/>
        </w:numPr>
        <w:rPr>
          <w:rFonts w:ascii="Arial" w:cs="Arial" w:eastAsia="Arial" w:hAnsi="Arial"/>
          <w:sz w:val="15"/>
          <w:szCs w:val="15"/>
          <w:color w:val="325889"/>
        </w:rPr>
      </w:pPr>
      <w:r>
        <w:rPr>
          <w:rFonts w:ascii="Arial" w:cs="Arial" w:eastAsia="Arial" w:hAnsi="Arial"/>
          <w:sz w:val="15"/>
          <w:szCs w:val="15"/>
          <w:color w:val="auto"/>
        </w:rPr>
        <w:t>appearing in person and voting by ballot at the annual meeting</w:t>
      </w:r>
    </w:p>
    <w:p>
      <w:pPr>
        <w:spacing w:after="0" w:line="200" w:lineRule="exact"/>
        <w:rPr>
          <w:sz w:val="20"/>
          <w:szCs w:val="20"/>
          <w:color w:val="auto"/>
        </w:rPr>
      </w:pPr>
    </w:p>
    <w:p>
      <w:pPr>
        <w:spacing w:after="0" w:line="209" w:lineRule="exact"/>
        <w:rPr>
          <w:sz w:val="20"/>
          <w:szCs w:val="20"/>
          <w:color w:val="auto"/>
        </w:rPr>
      </w:pPr>
    </w:p>
    <w:p>
      <w:pPr>
        <w:jc w:val="both"/>
        <w:ind w:left="5" w:right="240"/>
        <w:spacing w:after="0" w:line="256" w:lineRule="auto"/>
        <w:rPr>
          <w:sz w:val="20"/>
          <w:szCs w:val="20"/>
          <w:color w:val="auto"/>
        </w:rPr>
      </w:pPr>
      <w:r>
        <w:rPr>
          <w:rFonts w:ascii="Arial" w:cs="Arial" w:eastAsia="Arial" w:hAnsi="Arial"/>
          <w:sz w:val="15"/>
          <w:szCs w:val="15"/>
          <w:color w:val="auto"/>
        </w:rPr>
        <w:t>If you attend the annual meeting, you may vote in person whether or not you previously have given a proxy, but your presence (without further action) at the annual meeting will not constitute revocation of a previously given proxy. Unless you have received a legal proxy to vote the shares, if you hold your shares through a bank, broker or other nominee, that is, in “street name,” only that bank, broker or other nominee can revoke your proxy on your behalf.</w:t>
      </w:r>
    </w:p>
    <w:p>
      <w:pPr>
        <w:spacing w:after="0" w:line="172" w:lineRule="exact"/>
        <w:rPr>
          <w:sz w:val="20"/>
          <w:szCs w:val="20"/>
          <w:color w:val="auto"/>
        </w:rPr>
      </w:pPr>
    </w:p>
    <w:p>
      <w:pPr>
        <w:ind w:left="5"/>
        <w:spacing w:after="0" w:line="256" w:lineRule="auto"/>
        <w:rPr>
          <w:sz w:val="20"/>
          <w:szCs w:val="20"/>
          <w:color w:val="auto"/>
        </w:rPr>
      </w:pPr>
      <w:r>
        <w:rPr>
          <w:rFonts w:ascii="Arial" w:cs="Arial" w:eastAsia="Arial" w:hAnsi="Arial"/>
          <w:sz w:val="15"/>
          <w:szCs w:val="15"/>
          <w:color w:val="auto"/>
        </w:rPr>
        <w:t>You may revoke a proxy for shares held by a bank, broker or other nominee by submitting new voting instructions to the bank, broker or other nominee or, if you have obtained a legal proxy from the bank, broker or other nominee giving you the right to vote the shares at the annual meeting, by attending the annual meeting and voting in person.</w:t>
      </w:r>
    </w:p>
    <w:p>
      <w:pPr>
        <w:spacing w:after="0" w:line="144"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325889"/>
        </w:rPr>
        <w:t>How do I vote?</w:t>
      </w:r>
    </w:p>
    <w:p>
      <w:pPr>
        <w:spacing w:after="0" w:line="196" w:lineRule="exact"/>
        <w:rPr>
          <w:sz w:val="20"/>
          <w:szCs w:val="20"/>
          <w:color w:val="auto"/>
        </w:rPr>
      </w:pPr>
    </w:p>
    <w:p>
      <w:pPr>
        <w:ind w:left="5" w:right="60"/>
        <w:spacing w:after="0" w:line="267" w:lineRule="auto"/>
        <w:rPr>
          <w:sz w:val="20"/>
          <w:szCs w:val="20"/>
          <w:color w:val="auto"/>
        </w:rPr>
      </w:pPr>
      <w:r>
        <w:rPr>
          <w:rFonts w:ascii="Arial" w:cs="Arial" w:eastAsia="Arial" w:hAnsi="Arial"/>
          <w:sz w:val="15"/>
          <w:szCs w:val="15"/>
          <w:i w:val="1"/>
          <w:iCs w:val="1"/>
          <w:color w:val="auto"/>
        </w:rPr>
        <w:t>Voting in Person at the Annual Meeting</w:t>
      </w:r>
      <w:r>
        <w:rPr>
          <w:rFonts w:ascii="Arial" w:cs="Arial" w:eastAsia="Arial" w:hAnsi="Arial"/>
          <w:sz w:val="15"/>
          <w:szCs w:val="15"/>
          <w:color w:val="auto"/>
        </w:rPr>
        <w:t>. If you hold your shares in your own name as a holder of record with our transfer agent, Computershare, and attend the annual</w:t>
      </w:r>
      <w:r>
        <w:rPr>
          <w:rFonts w:ascii="Arial" w:cs="Arial" w:eastAsia="Arial" w:hAnsi="Arial"/>
          <w:sz w:val="15"/>
          <w:szCs w:val="15"/>
          <w:i w:val="1"/>
          <w:iCs w:val="1"/>
          <w:color w:val="auto"/>
        </w:rPr>
        <w:t xml:space="preserve"> </w:t>
      </w:r>
      <w:r>
        <w:rPr>
          <w:rFonts w:ascii="Arial" w:cs="Arial" w:eastAsia="Arial" w:hAnsi="Arial"/>
          <w:sz w:val="15"/>
          <w:szCs w:val="15"/>
          <w:color w:val="auto"/>
        </w:rPr>
        <w:t>meeting, you may vote in person at the annual meeting. If your shares are held by a bank, broker or other nominee, that is, in “street name,” and you wish to vote in person at the annual meeting, you will need to obtain a “legal proxy” from the bank, broker or other nominee that holds your shares of record.</w:t>
      </w:r>
    </w:p>
    <w:p>
      <w:pPr>
        <w:spacing w:after="0" w:line="148" w:lineRule="exact"/>
        <w:rPr>
          <w:sz w:val="20"/>
          <w:szCs w:val="20"/>
          <w:color w:val="auto"/>
        </w:rPr>
      </w:pPr>
    </w:p>
    <w:p>
      <w:pPr>
        <w:ind w:left="5" w:right="160"/>
        <w:spacing w:after="0" w:line="267" w:lineRule="auto"/>
        <w:rPr>
          <w:sz w:val="20"/>
          <w:szCs w:val="20"/>
          <w:color w:val="auto"/>
        </w:rPr>
      </w:pPr>
      <w:r>
        <w:rPr>
          <w:rFonts w:ascii="Arial" w:cs="Arial" w:eastAsia="Arial" w:hAnsi="Arial"/>
          <w:sz w:val="15"/>
          <w:szCs w:val="15"/>
          <w:i w:val="1"/>
          <w:iCs w:val="1"/>
          <w:color w:val="auto"/>
        </w:rPr>
        <w:t>Voting by Proxy</w:t>
      </w:r>
      <w:r>
        <w:rPr>
          <w:rFonts w:ascii="Arial" w:cs="Arial" w:eastAsia="Arial" w:hAnsi="Arial"/>
          <w:sz w:val="15"/>
          <w:szCs w:val="15"/>
          <w:color w:val="auto"/>
        </w:rPr>
        <w:t>. You should submit your proxy or voting instructions as soon as possible. You can vote by valid proxy received by telephone, electronically via the</w:t>
      </w:r>
      <w:r>
        <w:rPr>
          <w:rFonts w:ascii="Arial" w:cs="Arial" w:eastAsia="Arial" w:hAnsi="Arial"/>
          <w:sz w:val="15"/>
          <w:szCs w:val="15"/>
          <w:i w:val="1"/>
          <w:iCs w:val="1"/>
          <w:color w:val="auto"/>
        </w:rPr>
        <w:t xml:space="preserve"> </w:t>
      </w:r>
      <w:r>
        <w:rPr>
          <w:rFonts w:ascii="Arial" w:cs="Arial" w:eastAsia="Arial" w:hAnsi="Arial"/>
          <w:sz w:val="15"/>
          <w:szCs w:val="15"/>
          <w:color w:val="auto"/>
        </w:rPr>
        <w:t>Internet or by mail. The deadline for voting by telephone or electronically via the Internet is 11:59 p.m., Eastern Daylight Time, on May 31, 2017. If voting by mail, you must:</w:t>
      </w:r>
    </w:p>
    <w:p>
      <w:pPr>
        <w:spacing w:after="0" w:line="164" w:lineRule="exact"/>
        <w:rPr>
          <w:sz w:val="20"/>
          <w:szCs w:val="20"/>
          <w:color w:val="auto"/>
        </w:rPr>
      </w:pPr>
    </w:p>
    <w:p>
      <w:pPr>
        <w:ind w:left="465" w:hanging="228"/>
        <w:spacing w:after="0"/>
        <w:tabs>
          <w:tab w:leader="none" w:pos="465" w:val="left"/>
        </w:tabs>
        <w:numPr>
          <w:ilvl w:val="0"/>
          <w:numId w:val="82"/>
        </w:numPr>
        <w:rPr>
          <w:rFonts w:ascii="Arial" w:cs="Arial" w:eastAsia="Arial" w:hAnsi="Arial"/>
          <w:sz w:val="15"/>
          <w:szCs w:val="15"/>
          <w:color w:val="325889"/>
        </w:rPr>
      </w:pPr>
      <w:r>
        <w:rPr>
          <w:rFonts w:ascii="Arial" w:cs="Arial" w:eastAsia="Arial" w:hAnsi="Arial"/>
          <w:sz w:val="15"/>
          <w:szCs w:val="15"/>
          <w:color w:val="auto"/>
        </w:rPr>
        <w:t>indicate your instructions on the proxy</w:t>
      </w:r>
    </w:p>
    <w:p>
      <w:pPr>
        <w:spacing w:after="0" w:line="183" w:lineRule="exact"/>
        <w:rPr>
          <w:rFonts w:ascii="Arial" w:cs="Arial" w:eastAsia="Arial" w:hAnsi="Arial"/>
          <w:sz w:val="15"/>
          <w:szCs w:val="15"/>
          <w:color w:val="325889"/>
        </w:rPr>
      </w:pPr>
    </w:p>
    <w:p>
      <w:pPr>
        <w:ind w:left="465" w:hanging="228"/>
        <w:spacing w:after="0"/>
        <w:tabs>
          <w:tab w:leader="none" w:pos="465" w:val="left"/>
        </w:tabs>
        <w:numPr>
          <w:ilvl w:val="0"/>
          <w:numId w:val="82"/>
        </w:numPr>
        <w:rPr>
          <w:rFonts w:ascii="Arial" w:cs="Arial" w:eastAsia="Arial" w:hAnsi="Arial"/>
          <w:sz w:val="15"/>
          <w:szCs w:val="15"/>
          <w:color w:val="325889"/>
        </w:rPr>
      </w:pPr>
      <w:r>
        <w:rPr>
          <w:rFonts w:ascii="Arial" w:cs="Arial" w:eastAsia="Arial" w:hAnsi="Arial"/>
          <w:sz w:val="15"/>
          <w:szCs w:val="15"/>
          <w:color w:val="auto"/>
        </w:rPr>
        <w:t>date and sign the proxy</w:t>
      </w:r>
    </w:p>
    <w:p>
      <w:pPr>
        <w:spacing w:after="0" w:line="183" w:lineRule="exact"/>
        <w:rPr>
          <w:rFonts w:ascii="Arial" w:cs="Arial" w:eastAsia="Arial" w:hAnsi="Arial"/>
          <w:sz w:val="15"/>
          <w:szCs w:val="15"/>
          <w:color w:val="325889"/>
        </w:rPr>
      </w:pPr>
    </w:p>
    <w:p>
      <w:pPr>
        <w:ind w:left="465" w:hanging="228"/>
        <w:spacing w:after="0"/>
        <w:tabs>
          <w:tab w:leader="none" w:pos="465" w:val="left"/>
        </w:tabs>
        <w:numPr>
          <w:ilvl w:val="0"/>
          <w:numId w:val="82"/>
        </w:numPr>
        <w:rPr>
          <w:rFonts w:ascii="Arial" w:cs="Arial" w:eastAsia="Arial" w:hAnsi="Arial"/>
          <w:sz w:val="15"/>
          <w:szCs w:val="15"/>
          <w:color w:val="325889"/>
        </w:rPr>
      </w:pPr>
      <w:r>
        <w:rPr>
          <w:rFonts w:ascii="Arial" w:cs="Arial" w:eastAsia="Arial" w:hAnsi="Arial"/>
          <w:sz w:val="15"/>
          <w:szCs w:val="15"/>
          <w:color w:val="auto"/>
        </w:rPr>
        <w:t>promptly mail the proxy in the enclosed envelope</w:t>
      </w:r>
    </w:p>
    <w:p>
      <w:pPr>
        <w:spacing w:after="0" w:line="183" w:lineRule="exact"/>
        <w:rPr>
          <w:rFonts w:ascii="Arial" w:cs="Arial" w:eastAsia="Arial" w:hAnsi="Arial"/>
          <w:sz w:val="15"/>
          <w:szCs w:val="15"/>
          <w:color w:val="325889"/>
        </w:rPr>
      </w:pPr>
    </w:p>
    <w:p>
      <w:pPr>
        <w:ind w:left="465" w:hanging="228"/>
        <w:spacing w:after="0"/>
        <w:tabs>
          <w:tab w:leader="none" w:pos="465" w:val="left"/>
        </w:tabs>
        <w:numPr>
          <w:ilvl w:val="0"/>
          <w:numId w:val="82"/>
        </w:numPr>
        <w:rPr>
          <w:rFonts w:ascii="Arial" w:cs="Arial" w:eastAsia="Arial" w:hAnsi="Arial"/>
          <w:sz w:val="15"/>
          <w:szCs w:val="15"/>
          <w:color w:val="325889"/>
        </w:rPr>
      </w:pPr>
      <w:r>
        <w:rPr>
          <w:rFonts w:ascii="Arial" w:cs="Arial" w:eastAsia="Arial" w:hAnsi="Arial"/>
          <w:sz w:val="15"/>
          <w:szCs w:val="15"/>
          <w:color w:val="auto"/>
        </w:rPr>
        <w:t>allow sufficient time for the proxy to be received before the date of the annual meeting</w:t>
      </w:r>
    </w:p>
    <w:p>
      <w:pPr>
        <w:spacing w:after="0" w:line="200" w:lineRule="exact"/>
        <w:rPr>
          <w:sz w:val="20"/>
          <w:szCs w:val="20"/>
          <w:color w:val="auto"/>
        </w:rPr>
      </w:pPr>
    </w:p>
    <w:p>
      <w:pPr>
        <w:spacing w:after="0" w:line="209" w:lineRule="exact"/>
        <w:rPr>
          <w:sz w:val="20"/>
          <w:szCs w:val="20"/>
          <w:color w:val="auto"/>
        </w:rPr>
      </w:pPr>
    </w:p>
    <w:p>
      <w:pPr>
        <w:ind w:left="5" w:right="40"/>
        <w:spacing w:after="0" w:line="265" w:lineRule="auto"/>
        <w:rPr>
          <w:sz w:val="20"/>
          <w:szCs w:val="20"/>
          <w:color w:val="auto"/>
        </w:rPr>
      </w:pPr>
      <w:r>
        <w:rPr>
          <w:rFonts w:ascii="Arial" w:cs="Arial" w:eastAsia="Arial" w:hAnsi="Arial"/>
          <w:sz w:val="15"/>
          <w:szCs w:val="15"/>
          <w:color w:val="auto"/>
        </w:rPr>
        <w:t>If your shares are held in “street name” such as in a stock brokerage account, by a bank or other nominee, please follow the instructions you received from your broker or with respect to the voting of your shares.</w:t>
      </w:r>
    </w:p>
    <w:p>
      <w:pPr>
        <w:spacing w:after="0" w:line="165" w:lineRule="exact"/>
        <w:rPr>
          <w:sz w:val="20"/>
          <w:szCs w:val="20"/>
          <w:color w:val="auto"/>
        </w:rPr>
      </w:pPr>
    </w:p>
    <w:p>
      <w:pPr>
        <w:ind w:left="5" w:right="220"/>
        <w:spacing w:after="0" w:line="265" w:lineRule="auto"/>
        <w:rPr>
          <w:sz w:val="20"/>
          <w:szCs w:val="20"/>
          <w:color w:val="auto"/>
        </w:rPr>
      </w:pPr>
      <w:r>
        <w:rPr>
          <w:rFonts w:ascii="Arial" w:cs="Arial" w:eastAsia="Arial" w:hAnsi="Arial"/>
          <w:sz w:val="15"/>
          <w:szCs w:val="15"/>
          <w:color w:val="auto"/>
        </w:rPr>
        <w:t>If you have any questions regarding how to authorize your proxy by telephone or via the Internet, please call MacKenzie Partners, Inc., toll-free at (800) 322-2885 or collect at (212) 929-5500.</w:t>
      </w:r>
    </w:p>
    <w:p>
      <w:pPr>
        <w:spacing w:after="0" w:line="165" w:lineRule="exact"/>
        <w:rPr>
          <w:sz w:val="20"/>
          <w:szCs w:val="20"/>
          <w:color w:val="auto"/>
        </w:rPr>
      </w:pPr>
    </w:p>
    <w:p>
      <w:pPr>
        <w:ind w:left="5" w:right="120"/>
        <w:spacing w:after="0" w:line="265" w:lineRule="auto"/>
        <w:rPr>
          <w:sz w:val="20"/>
          <w:szCs w:val="20"/>
          <w:color w:val="auto"/>
        </w:rPr>
      </w:pPr>
      <w:r>
        <w:rPr>
          <w:rFonts w:ascii="Arial" w:cs="Arial" w:eastAsia="Arial" w:hAnsi="Arial"/>
          <w:sz w:val="15"/>
          <w:szCs w:val="15"/>
          <w:color w:val="auto"/>
        </w:rPr>
        <w:t>Even if you plan to attend the annual meeting, we recommend that you submit a proxy to vote your shares in advance so that your vote will be counted if you later are unable to attend the annual meeting.</w:t>
      </w:r>
    </w:p>
    <w:p>
      <w:pPr>
        <w:spacing w:after="0" w:line="137"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325889"/>
        </w:rPr>
        <w:t>How is my vote counted?</w:t>
      </w:r>
    </w:p>
    <w:p>
      <w:pPr>
        <w:spacing w:after="0" w:line="212" w:lineRule="exact"/>
        <w:rPr>
          <w:sz w:val="20"/>
          <w:szCs w:val="20"/>
          <w:color w:val="auto"/>
        </w:rPr>
      </w:pPr>
    </w:p>
    <w:p>
      <w:pPr>
        <w:ind w:left="5" w:right="40"/>
        <w:spacing w:after="0" w:line="250" w:lineRule="auto"/>
        <w:rPr>
          <w:sz w:val="20"/>
          <w:szCs w:val="20"/>
          <w:color w:val="auto"/>
        </w:rPr>
      </w:pPr>
      <w:r>
        <w:rPr>
          <w:rFonts w:ascii="Arial" w:cs="Arial" w:eastAsia="Arial" w:hAnsi="Arial"/>
          <w:sz w:val="15"/>
          <w:szCs w:val="15"/>
          <w:color w:val="auto"/>
        </w:rPr>
        <w:t>If you authorize your proxy to vote your shares electronically via the Internet or by telephone, or, if you received a proxy card by mail and you properly marked, signed, dated and returned it, the shares that the proxy represents will be voted in the manner specified on the proxy. If no specification is made, your shares will be voted “for” the election of the nominees for the Class I directors named in this proxy statement, “for” advisory approval of the compensation of our named executive officers, “for” the approval of the amendment of our Articles of Restatement to effect the declassification of our Board of Directors, “for” ratification of the appointment of Ernst &amp; Young LLP as our independent registered public accounting firm for the fiscal year ending December 31, 2017, “for” a frequency of every one year for future advisory votes on the compensation of our named executive officers and against the stockholder proposal regarding setting target amounts for CEO compensation. It is not anticipated that any matters other than those set forth in this proxy statement will be presented at the annual meeting. If other matters are presented, proxies will be voted in accordance with the discretion of the proxy holders.</w:t>
      </w:r>
    </w:p>
    <w:p>
      <w:pPr>
        <w:spacing w:after="0" w:line="176" w:lineRule="exact"/>
        <w:rPr>
          <w:sz w:val="20"/>
          <w:szCs w:val="20"/>
          <w:color w:val="auto"/>
        </w:rPr>
      </w:pPr>
    </w:p>
    <w:p>
      <w:pPr>
        <w:ind w:left="265" w:hanging="265"/>
        <w:spacing w:after="0"/>
        <w:tabs>
          <w:tab w:leader="none" w:pos="265" w:val="left"/>
        </w:tabs>
        <w:numPr>
          <w:ilvl w:val="0"/>
          <w:numId w:val="83"/>
        </w:numPr>
        <w:rPr>
          <w:rFonts w:ascii="Arial" w:cs="Arial" w:eastAsia="Arial" w:hAnsi="Arial"/>
          <w:sz w:val="15"/>
          <w:szCs w:val="15"/>
          <w:color w:val="325889"/>
        </w:rPr>
      </w:pPr>
      <w:r>
        <w:rPr>
          <w:rFonts w:ascii="Arial" w:cs="Arial" w:eastAsia="Arial" w:hAnsi="Arial"/>
          <w:sz w:val="15"/>
          <w:szCs w:val="15"/>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83450" cy="203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05"/>
          </w:cols>
          <w:pgMar w:left="235" w:top="528" w:right="259" w:bottom="1440" w:gutter="0" w:footer="0" w:header="0"/>
        </w:sectPr>
      </w:pPr>
    </w:p>
    <w:bookmarkStart w:id="64" w:name="page65"/>
    <w:bookmarkEnd w:id="64"/>
    <w:p>
      <w:pPr>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325889"/>
        </w:rPr>
        <w:t>OTHER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325889"/>
        </w:rPr>
        <w:t>How does the Board recommend that I vote on each of the proposals?</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The Board recommends that you vote:</w:t>
      </w:r>
    </w:p>
    <w:p>
      <w:pPr>
        <w:spacing w:after="0" w:line="177" w:lineRule="exact"/>
        <w:rPr>
          <w:sz w:val="20"/>
          <w:szCs w:val="20"/>
          <w:color w:val="auto"/>
        </w:rPr>
      </w:pPr>
    </w:p>
    <w:p>
      <w:pPr>
        <w:ind w:left="460" w:right="320" w:hanging="228"/>
        <w:spacing w:after="0" w:line="290" w:lineRule="auto"/>
        <w:tabs>
          <w:tab w:leader="none" w:pos="460" w:val="left"/>
        </w:tabs>
        <w:numPr>
          <w:ilvl w:val="0"/>
          <w:numId w:val="84"/>
        </w:numPr>
        <w:rPr>
          <w:rFonts w:ascii="Arial" w:cs="Arial" w:eastAsia="Arial" w:hAnsi="Arial"/>
          <w:sz w:val="15"/>
          <w:szCs w:val="15"/>
          <w:color w:val="325889"/>
        </w:rPr>
      </w:pPr>
      <w:r>
        <w:rPr>
          <w:rFonts w:ascii="Arial" w:cs="Arial" w:eastAsia="Arial" w:hAnsi="Arial"/>
          <w:sz w:val="15"/>
          <w:szCs w:val="15"/>
          <w:b w:val="1"/>
          <w:bCs w:val="1"/>
          <w:color w:val="auto"/>
        </w:rPr>
        <w:t xml:space="preserve">FOR </w:t>
      </w:r>
      <w:r>
        <w:rPr>
          <w:rFonts w:ascii="Arial" w:cs="Arial" w:eastAsia="Arial" w:hAnsi="Arial"/>
          <w:sz w:val="15"/>
          <w:szCs w:val="15"/>
          <w:i w:val="1"/>
          <w:iCs w:val="1"/>
          <w:color w:val="auto"/>
        </w:rPr>
        <w:t>Proposal 1</w:t>
      </w:r>
      <w:r>
        <w:rPr>
          <w:rFonts w:ascii="Arial" w:cs="Arial" w:eastAsia="Arial" w:hAnsi="Arial"/>
          <w:sz w:val="15"/>
          <w:szCs w:val="15"/>
          <w:color w:val="auto"/>
        </w:rPr>
        <w:t>: the election of Betsy Atkins, Marc Holliday, and John S. Levy as Class II directors to serve on the Board for a three-year term and until their</w:t>
      </w:r>
      <w:r>
        <w:rPr>
          <w:rFonts w:ascii="Arial" w:cs="Arial" w:eastAsia="Arial" w:hAnsi="Arial"/>
          <w:sz w:val="15"/>
          <w:szCs w:val="15"/>
          <w:b w:val="1"/>
          <w:bCs w:val="1"/>
          <w:color w:val="auto"/>
        </w:rPr>
        <w:t xml:space="preserve"> </w:t>
      </w:r>
      <w:r>
        <w:rPr>
          <w:rFonts w:ascii="Arial" w:cs="Arial" w:eastAsia="Arial" w:hAnsi="Arial"/>
          <w:sz w:val="15"/>
          <w:szCs w:val="15"/>
          <w:color w:val="auto"/>
        </w:rPr>
        <w:t>successors are duly elected and qualify</w:t>
      </w:r>
    </w:p>
    <w:p>
      <w:pPr>
        <w:spacing w:after="0" w:line="117" w:lineRule="exact"/>
        <w:rPr>
          <w:rFonts w:ascii="Arial" w:cs="Arial" w:eastAsia="Arial" w:hAnsi="Arial"/>
          <w:sz w:val="15"/>
          <w:szCs w:val="15"/>
          <w:color w:val="325889"/>
        </w:rPr>
      </w:pPr>
    </w:p>
    <w:p>
      <w:pPr>
        <w:ind w:left="460" w:right="580" w:hanging="228"/>
        <w:spacing w:after="0" w:line="290" w:lineRule="auto"/>
        <w:tabs>
          <w:tab w:leader="none" w:pos="460" w:val="left"/>
        </w:tabs>
        <w:numPr>
          <w:ilvl w:val="0"/>
          <w:numId w:val="84"/>
        </w:numPr>
        <w:rPr>
          <w:rFonts w:ascii="Arial" w:cs="Arial" w:eastAsia="Arial" w:hAnsi="Arial"/>
          <w:sz w:val="15"/>
          <w:szCs w:val="15"/>
          <w:color w:val="325889"/>
        </w:rPr>
      </w:pPr>
      <w:r>
        <w:rPr>
          <w:rFonts w:ascii="Arial" w:cs="Arial" w:eastAsia="Arial" w:hAnsi="Arial"/>
          <w:sz w:val="15"/>
          <w:szCs w:val="15"/>
          <w:b w:val="1"/>
          <w:bCs w:val="1"/>
          <w:color w:val="auto"/>
        </w:rPr>
        <w:t xml:space="preserve">FOR </w:t>
      </w:r>
      <w:r>
        <w:rPr>
          <w:rFonts w:ascii="Arial" w:cs="Arial" w:eastAsia="Arial" w:hAnsi="Arial"/>
          <w:sz w:val="15"/>
          <w:szCs w:val="15"/>
          <w:i w:val="1"/>
          <w:iCs w:val="1"/>
          <w:color w:val="auto"/>
        </w:rPr>
        <w:t>Proposal 2</w:t>
      </w:r>
      <w:r>
        <w:rPr>
          <w:rFonts w:ascii="Arial" w:cs="Arial" w:eastAsia="Arial" w:hAnsi="Arial"/>
          <w:sz w:val="15"/>
          <w:szCs w:val="15"/>
          <w:color w:val="auto"/>
        </w:rPr>
        <w:t>: the approval of an advisory resolution approving the compensation of our named executive officers as disclosed in this proxy statement</w:t>
      </w:r>
      <w:r>
        <w:rPr>
          <w:rFonts w:ascii="Arial" w:cs="Arial" w:eastAsia="Arial" w:hAnsi="Arial"/>
          <w:sz w:val="15"/>
          <w:szCs w:val="15"/>
          <w:b w:val="1"/>
          <w:bCs w:val="1"/>
          <w:color w:val="auto"/>
        </w:rPr>
        <w:t xml:space="preserve"> </w:t>
      </w:r>
      <w:r>
        <w:rPr>
          <w:rFonts w:ascii="Arial" w:cs="Arial" w:eastAsia="Arial" w:hAnsi="Arial"/>
          <w:sz w:val="15"/>
          <w:szCs w:val="15"/>
          <w:color w:val="auto"/>
        </w:rPr>
        <w:t>pursuant to Item 402 of Regulation S-K</w:t>
      </w:r>
    </w:p>
    <w:p>
      <w:pPr>
        <w:spacing w:after="0" w:line="117" w:lineRule="exact"/>
        <w:rPr>
          <w:rFonts w:ascii="Arial" w:cs="Arial" w:eastAsia="Arial" w:hAnsi="Arial"/>
          <w:sz w:val="15"/>
          <w:szCs w:val="15"/>
          <w:color w:val="325889"/>
        </w:rPr>
      </w:pPr>
    </w:p>
    <w:p>
      <w:pPr>
        <w:ind w:left="460" w:hanging="228"/>
        <w:spacing w:after="0"/>
        <w:tabs>
          <w:tab w:leader="none" w:pos="460" w:val="left"/>
        </w:tabs>
        <w:numPr>
          <w:ilvl w:val="0"/>
          <w:numId w:val="84"/>
        </w:numPr>
        <w:rPr>
          <w:rFonts w:ascii="Arial" w:cs="Arial" w:eastAsia="Arial" w:hAnsi="Arial"/>
          <w:sz w:val="15"/>
          <w:szCs w:val="15"/>
          <w:color w:val="325889"/>
        </w:rPr>
      </w:pPr>
      <w:r>
        <w:rPr>
          <w:rFonts w:ascii="Arial" w:cs="Arial" w:eastAsia="Arial" w:hAnsi="Arial"/>
          <w:sz w:val="15"/>
          <w:szCs w:val="15"/>
          <w:b w:val="1"/>
          <w:bCs w:val="1"/>
          <w:color w:val="auto"/>
        </w:rPr>
        <w:t xml:space="preserve">FOR </w:t>
      </w:r>
      <w:r>
        <w:rPr>
          <w:rFonts w:ascii="Arial" w:cs="Arial" w:eastAsia="Arial" w:hAnsi="Arial"/>
          <w:sz w:val="15"/>
          <w:szCs w:val="15"/>
          <w:i w:val="1"/>
          <w:iCs w:val="1"/>
          <w:color w:val="auto"/>
        </w:rPr>
        <w:t>Proposal 3</w:t>
      </w:r>
      <w:r>
        <w:rPr>
          <w:rFonts w:ascii="Arial" w:cs="Arial" w:eastAsia="Arial" w:hAnsi="Arial"/>
          <w:sz w:val="15"/>
          <w:szCs w:val="15"/>
          <w:color w:val="auto"/>
        </w:rPr>
        <w:t>: the amendment of our Articles of Restatement to effect the declassification of our Board of Directors</w:t>
      </w:r>
    </w:p>
    <w:p>
      <w:pPr>
        <w:spacing w:after="0" w:line="183" w:lineRule="exact"/>
        <w:rPr>
          <w:rFonts w:ascii="Arial" w:cs="Arial" w:eastAsia="Arial" w:hAnsi="Arial"/>
          <w:sz w:val="15"/>
          <w:szCs w:val="15"/>
          <w:color w:val="325889"/>
        </w:rPr>
      </w:pPr>
    </w:p>
    <w:p>
      <w:pPr>
        <w:ind w:left="460" w:right="640" w:hanging="228"/>
        <w:spacing w:after="0" w:line="290" w:lineRule="auto"/>
        <w:tabs>
          <w:tab w:leader="none" w:pos="460" w:val="left"/>
        </w:tabs>
        <w:numPr>
          <w:ilvl w:val="0"/>
          <w:numId w:val="84"/>
        </w:numPr>
        <w:rPr>
          <w:rFonts w:ascii="Arial" w:cs="Arial" w:eastAsia="Arial" w:hAnsi="Arial"/>
          <w:sz w:val="15"/>
          <w:szCs w:val="15"/>
          <w:color w:val="325889"/>
        </w:rPr>
      </w:pPr>
      <w:r>
        <w:rPr>
          <w:rFonts w:ascii="Arial" w:cs="Arial" w:eastAsia="Arial" w:hAnsi="Arial"/>
          <w:sz w:val="15"/>
          <w:szCs w:val="15"/>
          <w:b w:val="1"/>
          <w:bCs w:val="1"/>
          <w:color w:val="auto"/>
        </w:rPr>
        <w:t xml:space="preserve">FOR </w:t>
      </w:r>
      <w:r>
        <w:rPr>
          <w:rFonts w:ascii="Arial" w:cs="Arial" w:eastAsia="Arial" w:hAnsi="Arial"/>
          <w:sz w:val="15"/>
          <w:szCs w:val="15"/>
          <w:i w:val="1"/>
          <w:iCs w:val="1"/>
          <w:color w:val="auto"/>
        </w:rPr>
        <w:t>Proposal 4</w:t>
      </w:r>
      <w:r>
        <w:rPr>
          <w:rFonts w:ascii="Arial" w:cs="Arial" w:eastAsia="Arial" w:hAnsi="Arial"/>
          <w:sz w:val="15"/>
          <w:szCs w:val="15"/>
          <w:color w:val="auto"/>
        </w:rPr>
        <w:t>: the ratification of the appointment of Ernst &amp; Young LLP as our independent registered public accounting firm for the fiscal year ending</w:t>
      </w:r>
      <w:r>
        <w:rPr>
          <w:rFonts w:ascii="Arial" w:cs="Arial" w:eastAsia="Arial" w:hAnsi="Arial"/>
          <w:sz w:val="15"/>
          <w:szCs w:val="15"/>
          <w:b w:val="1"/>
          <w:bCs w:val="1"/>
          <w:color w:val="auto"/>
        </w:rPr>
        <w:t xml:space="preserve"> </w:t>
      </w:r>
      <w:r>
        <w:rPr>
          <w:rFonts w:ascii="Arial" w:cs="Arial" w:eastAsia="Arial" w:hAnsi="Arial"/>
          <w:sz w:val="15"/>
          <w:szCs w:val="15"/>
          <w:color w:val="auto"/>
        </w:rPr>
        <w:t>December 31, 2017</w:t>
      </w:r>
    </w:p>
    <w:p>
      <w:pPr>
        <w:spacing w:after="0" w:line="117" w:lineRule="exact"/>
        <w:rPr>
          <w:rFonts w:ascii="Arial" w:cs="Arial" w:eastAsia="Arial" w:hAnsi="Arial"/>
          <w:sz w:val="15"/>
          <w:szCs w:val="15"/>
          <w:color w:val="325889"/>
        </w:rPr>
      </w:pPr>
    </w:p>
    <w:p>
      <w:pPr>
        <w:ind w:left="460" w:right="180" w:hanging="228"/>
        <w:spacing w:after="0" w:line="290" w:lineRule="auto"/>
        <w:tabs>
          <w:tab w:leader="none" w:pos="460" w:val="left"/>
        </w:tabs>
        <w:numPr>
          <w:ilvl w:val="0"/>
          <w:numId w:val="84"/>
        </w:numPr>
        <w:rPr>
          <w:rFonts w:ascii="Arial" w:cs="Arial" w:eastAsia="Arial" w:hAnsi="Arial"/>
          <w:sz w:val="15"/>
          <w:szCs w:val="15"/>
          <w:color w:val="325889"/>
        </w:rPr>
      </w:pPr>
      <w:r>
        <w:rPr>
          <w:rFonts w:ascii="Arial" w:cs="Arial" w:eastAsia="Arial" w:hAnsi="Arial"/>
          <w:sz w:val="15"/>
          <w:szCs w:val="15"/>
          <w:b w:val="1"/>
          <w:bCs w:val="1"/>
          <w:color w:val="auto"/>
        </w:rPr>
        <w:t xml:space="preserve">FOR </w:t>
      </w:r>
      <w:r>
        <w:rPr>
          <w:rFonts w:ascii="Arial" w:cs="Arial" w:eastAsia="Arial" w:hAnsi="Arial"/>
          <w:sz w:val="15"/>
          <w:szCs w:val="15"/>
          <w:color w:val="auto"/>
        </w:rPr>
        <w:t>“ONE YEAR” in respect of</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Proposal 5</w:t>
      </w:r>
      <w:r>
        <w:rPr>
          <w:rFonts w:ascii="Arial" w:cs="Arial" w:eastAsia="Arial" w:hAnsi="Arial"/>
          <w:sz w:val="15"/>
          <w:szCs w:val="15"/>
          <w:color w:val="auto"/>
        </w:rPr>
        <w:t>: the recommendation, on an advisory basis of whether an advisory vote on executive compensation should be held</w:t>
      </w:r>
      <w:r>
        <w:rPr>
          <w:rFonts w:ascii="Arial" w:cs="Arial" w:eastAsia="Arial" w:hAnsi="Arial"/>
          <w:sz w:val="15"/>
          <w:szCs w:val="15"/>
          <w:b w:val="1"/>
          <w:bCs w:val="1"/>
          <w:color w:val="auto"/>
        </w:rPr>
        <w:t xml:space="preserve"> </w:t>
      </w:r>
      <w:r>
        <w:rPr>
          <w:rFonts w:ascii="Arial" w:cs="Arial" w:eastAsia="Arial" w:hAnsi="Arial"/>
          <w:sz w:val="15"/>
          <w:szCs w:val="15"/>
          <w:color w:val="auto"/>
        </w:rPr>
        <w:t>every one, two or three years</w:t>
      </w:r>
    </w:p>
    <w:p>
      <w:pPr>
        <w:spacing w:after="0" w:line="117" w:lineRule="exact"/>
        <w:rPr>
          <w:rFonts w:ascii="Arial" w:cs="Arial" w:eastAsia="Arial" w:hAnsi="Arial"/>
          <w:sz w:val="15"/>
          <w:szCs w:val="15"/>
          <w:color w:val="325889"/>
        </w:rPr>
      </w:pPr>
    </w:p>
    <w:p>
      <w:pPr>
        <w:ind w:left="460" w:hanging="228"/>
        <w:spacing w:after="0"/>
        <w:tabs>
          <w:tab w:leader="none" w:pos="460" w:val="left"/>
        </w:tabs>
        <w:numPr>
          <w:ilvl w:val="0"/>
          <w:numId w:val="84"/>
        </w:numPr>
        <w:rPr>
          <w:rFonts w:ascii="Arial" w:cs="Arial" w:eastAsia="Arial" w:hAnsi="Arial"/>
          <w:sz w:val="15"/>
          <w:szCs w:val="15"/>
          <w:color w:val="325889"/>
        </w:rPr>
      </w:pPr>
      <w:r>
        <w:rPr>
          <w:rFonts w:ascii="Arial" w:cs="Arial" w:eastAsia="Arial" w:hAnsi="Arial"/>
          <w:sz w:val="15"/>
          <w:szCs w:val="15"/>
          <w:b w:val="1"/>
          <w:bCs w:val="1"/>
          <w:color w:val="auto"/>
        </w:rPr>
        <w:t xml:space="preserve">AGAINST </w:t>
      </w:r>
      <w:r>
        <w:rPr>
          <w:rFonts w:ascii="Arial" w:cs="Arial" w:eastAsia="Arial" w:hAnsi="Arial"/>
          <w:sz w:val="15"/>
          <w:szCs w:val="15"/>
          <w:i w:val="1"/>
          <w:iCs w:val="1"/>
          <w:color w:val="auto"/>
        </w:rPr>
        <w:t>Proposal 6</w:t>
      </w:r>
      <w:r>
        <w:rPr>
          <w:rFonts w:ascii="Arial" w:cs="Arial" w:eastAsia="Arial" w:hAnsi="Arial"/>
          <w:sz w:val="15"/>
          <w:szCs w:val="15"/>
          <w:color w:val="auto"/>
        </w:rPr>
        <w:t>: a stockholder proposal regarding setting target amounts for CEO compensation</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b w:val="1"/>
          <w:bCs w:val="1"/>
          <w:color w:val="325889"/>
        </w:rPr>
        <w:t>What other information should I review before voting?</w:t>
      </w:r>
    </w:p>
    <w:p>
      <w:pPr>
        <w:spacing w:after="0" w:line="212" w:lineRule="exact"/>
        <w:rPr>
          <w:sz w:val="20"/>
          <w:szCs w:val="20"/>
          <w:color w:val="auto"/>
        </w:rPr>
      </w:pPr>
    </w:p>
    <w:p>
      <w:pPr>
        <w:ind w:right="160"/>
        <w:spacing w:after="0" w:line="251" w:lineRule="auto"/>
        <w:rPr>
          <w:sz w:val="20"/>
          <w:szCs w:val="20"/>
          <w:color w:val="auto"/>
        </w:rPr>
      </w:pPr>
      <w:r>
        <w:rPr>
          <w:rFonts w:ascii="Arial" w:cs="Arial" w:eastAsia="Arial" w:hAnsi="Arial"/>
          <w:sz w:val="15"/>
          <w:szCs w:val="15"/>
          <w:color w:val="auto"/>
        </w:rPr>
        <w:t>Our 2016 annual report, including financial statements for the fiscal year ended December 31, 2016, is being made available to you along with this proxy statement. You may obtain, free of charge, copies of our 2016 annual report and our Annual Report on Form 10-K for the fiscal year ended December 31, 2016, which contains additional information about the Company, on our website at http://www.slgreen.com or by directing your request in writing to SL Green Realty Corp., 420 Lexington Avenue, New York, New York 10170-1881, Attention: Investor Relations. The 2016 annual report and the Annual Report on Form 10-K, however, are not part of the proxy solicitation materials, and the information found on, or accessible through, our website is not incorporated into, and does not form a part of, this proxy statement or any other report or document we file with or furnish to the SEC.</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325889"/>
        </w:rPr>
        <w:t>How do I change how I receive proxy materials in the future?</w:t>
      </w:r>
    </w:p>
    <w:p>
      <w:pPr>
        <w:spacing w:after="0" w:line="212" w:lineRule="exact"/>
        <w:rPr>
          <w:sz w:val="20"/>
          <w:szCs w:val="20"/>
          <w:color w:val="auto"/>
        </w:rPr>
      </w:pPr>
    </w:p>
    <w:p>
      <w:pPr>
        <w:ind w:right="20"/>
        <w:spacing w:after="0" w:line="251" w:lineRule="auto"/>
        <w:rPr>
          <w:sz w:val="20"/>
          <w:szCs w:val="20"/>
          <w:color w:val="auto"/>
        </w:rPr>
      </w:pPr>
      <w:r>
        <w:rPr>
          <w:rFonts w:ascii="Arial" w:cs="Arial" w:eastAsia="Arial" w:hAnsi="Arial"/>
          <w:sz w:val="15"/>
          <w:szCs w:val="15"/>
          <w:color w:val="auto"/>
        </w:rPr>
        <w:t>For this year’s meeting, stockholders will receive paper copies of the proxy materials by mail and will not receive a Notice of Internet Availability of Proxy Materials. For future meetings, stockholders may elect to receive links to proxy materials by e-mail or to receive a paper copy of the proxy materials and a paper proxy card by mail, in each case, instead of receiving a Notice of Internet Availability of Proxy Materials by mail, as applicable. If you elect to receive proxy materials by e-mail, you will not receive proxy materials in the mail (including, if applicable, a Notice of Internet Availability of Proxy Materials). Instead, you will receive an e-mail with links to proxy materials and online voting. If you received a paper copy of the proxy materials in the mail, you can eliminate all such paper mailings (including, if applicable, a Notice of Internet Availability of Proxy Materials) in the future by electing to receive an e-mail that will provide Internet links to these documents.</w:t>
      </w:r>
    </w:p>
    <w:p>
      <w:pPr>
        <w:spacing w:after="0" w:line="175" w:lineRule="exact"/>
        <w:rPr>
          <w:sz w:val="20"/>
          <w:szCs w:val="20"/>
          <w:color w:val="auto"/>
        </w:rPr>
      </w:pPr>
    </w:p>
    <w:p>
      <w:pPr>
        <w:ind w:right="120"/>
        <w:spacing w:after="0" w:line="253" w:lineRule="auto"/>
        <w:rPr>
          <w:sz w:val="20"/>
          <w:szCs w:val="20"/>
          <w:color w:val="auto"/>
        </w:rPr>
      </w:pPr>
      <w:r>
        <w:rPr>
          <w:rFonts w:ascii="Arial" w:cs="Arial" w:eastAsia="Arial" w:hAnsi="Arial"/>
          <w:sz w:val="15"/>
          <w:szCs w:val="15"/>
          <w:color w:val="auto"/>
        </w:rPr>
        <w:t>Opting to receive all future proxy materials online will save us the cost of producing and mailing such documents to you and help us conserve natural resources. You can change your election by directing your request in writing to SL Green Realty Corp., 420 Lexington Avenue, New York, New York 10170-1881, Attention: Investor Relations, by sending a blank e-mail with the 16-digit control number on your proxy card to sendmaterial@proxyvote.com, via the internet at http://www.proxyvote.com or by telephone at (800) 579-7639. Your election will remain in effect until you change it.</w:t>
      </w:r>
    </w:p>
    <w:p>
      <w:pPr>
        <w:spacing w:after="0" w:line="156" w:lineRule="exact"/>
        <w:rPr>
          <w:sz w:val="20"/>
          <w:szCs w:val="20"/>
          <w:color w:val="auto"/>
        </w:rPr>
      </w:pPr>
    </w:p>
    <w:p>
      <w:pPr>
        <w:ind w:right="140"/>
        <w:spacing w:after="0" w:line="269" w:lineRule="auto"/>
        <w:rPr>
          <w:sz w:val="20"/>
          <w:szCs w:val="20"/>
          <w:color w:val="auto"/>
        </w:rPr>
      </w:pPr>
      <w:r>
        <w:rPr>
          <w:rFonts w:ascii="Arial" w:cs="Arial" w:eastAsia="Arial" w:hAnsi="Arial"/>
          <w:sz w:val="15"/>
          <w:szCs w:val="15"/>
          <w:b w:val="1"/>
          <w:bCs w:val="1"/>
          <w:color w:val="auto"/>
        </w:rPr>
        <w:t>No person is authorized on our behalf to give any information or to make any representations with respect to the proposals other than the information and the representations contained in this proxy statement, and, if given or made, such information and/or representations must not be relied upon as having been authorized.</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7263130" cy="152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3130" cy="1524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325889"/>
        </w:rPr>
        <w:t>Solicitation of Proxies</w:t>
      </w:r>
    </w:p>
    <w:p>
      <w:pPr>
        <w:spacing w:after="0" w:line="212" w:lineRule="exact"/>
        <w:rPr>
          <w:sz w:val="20"/>
          <w:szCs w:val="20"/>
          <w:color w:val="auto"/>
        </w:rPr>
      </w:pPr>
    </w:p>
    <w:p>
      <w:pPr>
        <w:ind w:right="20"/>
        <w:spacing w:after="0" w:line="253" w:lineRule="auto"/>
        <w:rPr>
          <w:sz w:val="20"/>
          <w:szCs w:val="20"/>
          <w:color w:val="auto"/>
        </w:rPr>
      </w:pPr>
      <w:r>
        <w:rPr>
          <w:rFonts w:ascii="Arial" w:cs="Arial" w:eastAsia="Arial" w:hAnsi="Arial"/>
          <w:sz w:val="15"/>
          <w:szCs w:val="15"/>
          <w:color w:val="auto"/>
        </w:rPr>
        <w:t>We will pay the cost of solicitation of proxies. Our directors, officers and employees may solicit proxies personally, by telephone, via the Internet or by mail without additional compensation for such activities. We also will request persons, firms and corporations holding shares in their names or in the names of their nominees, which are beneficially owned by others, to send a Proxy Statement to and obtain proxies from such beneficial owners. We will reimburse such holders for their reasonable expenses. In addition, we intend to utilize the proxy solicitation services of MacKenzie Partners, Inc. at an aggregate estimated cost of $10,000 plus out-of-pocket expenses.</w:t>
      </w:r>
    </w:p>
    <w:p>
      <w:pPr>
        <w:spacing w:after="0" w:line="35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2017 Proxy Statement </w:t>
      </w:r>
      <w:r>
        <w:rPr>
          <w:rFonts w:ascii="Arial" w:cs="Arial" w:eastAsia="Arial" w:hAnsi="Arial"/>
          <w:sz w:val="15"/>
          <w:szCs w:val="15"/>
          <w:color w:val="325889"/>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83450" cy="203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0"/>
          </w:cols>
          <w:pgMar w:left="240" w:top="528" w:right="219" w:bottom="1440" w:gutter="0" w:footer="0" w:header="0"/>
        </w:sectPr>
      </w:pPr>
    </w:p>
    <w:bookmarkStart w:id="65" w:name="page66"/>
    <w:bookmarkEnd w:id="65"/>
    <w:p>
      <w:pPr>
        <w:ind w:left="5"/>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ind w:left="5"/>
        <w:spacing w:after="0"/>
        <w:rPr>
          <w:sz w:val="20"/>
          <w:szCs w:val="20"/>
          <w:color w:val="auto"/>
        </w:rPr>
      </w:pPr>
      <w:r>
        <w:rPr>
          <w:rFonts w:ascii="Arial" w:cs="Arial" w:eastAsia="Arial" w:hAnsi="Arial"/>
          <w:sz w:val="15"/>
          <w:szCs w:val="15"/>
          <w:u w:val="single" w:color="auto"/>
          <w:color w:val="325889"/>
        </w:rPr>
        <w:t>OTHER INFORMATION</w:t>
      </w:r>
    </w:p>
    <w:p>
      <w:pPr>
        <w:spacing w:after="0" w:line="167"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325889"/>
        </w:rPr>
        <w:t>Stockholder Proposals and Nominations</w:t>
      </w:r>
    </w:p>
    <w:p>
      <w:pPr>
        <w:spacing w:after="0" w:line="195" w:lineRule="exact"/>
        <w:rPr>
          <w:sz w:val="20"/>
          <w:szCs w:val="20"/>
          <w:color w:val="auto"/>
        </w:rPr>
      </w:pPr>
    </w:p>
    <w:p>
      <w:pPr>
        <w:ind w:left="5"/>
        <w:spacing w:after="0"/>
        <w:rPr>
          <w:sz w:val="20"/>
          <w:szCs w:val="20"/>
          <w:color w:val="auto"/>
        </w:rPr>
      </w:pPr>
      <w:r>
        <w:rPr>
          <w:rFonts w:ascii="Arial" w:cs="Arial" w:eastAsia="Arial" w:hAnsi="Arial"/>
          <w:sz w:val="12"/>
          <w:szCs w:val="12"/>
          <w:b w:val="1"/>
          <w:bCs w:val="1"/>
          <w:color w:val="325889"/>
        </w:rPr>
        <w:t>Proposals for Inclusion in our 2018 Proxy Materials</w:t>
      </w:r>
    </w:p>
    <w:p>
      <w:pPr>
        <w:spacing w:after="0" w:line="200" w:lineRule="exact"/>
        <w:rPr>
          <w:sz w:val="20"/>
          <w:szCs w:val="20"/>
          <w:color w:val="auto"/>
        </w:rPr>
      </w:pPr>
    </w:p>
    <w:p>
      <w:pPr>
        <w:ind w:left="5" w:right="200"/>
        <w:spacing w:after="0" w:line="256" w:lineRule="auto"/>
        <w:rPr>
          <w:sz w:val="20"/>
          <w:szCs w:val="20"/>
          <w:color w:val="auto"/>
        </w:rPr>
      </w:pPr>
      <w:r>
        <w:rPr>
          <w:rFonts w:ascii="Arial" w:cs="Arial" w:eastAsia="Arial" w:hAnsi="Arial"/>
          <w:sz w:val="15"/>
          <w:szCs w:val="15"/>
          <w:color w:val="auto"/>
        </w:rPr>
        <w:t>SEC rules permit stockholders to submit proposals to be included in our proxy materials if the stockholder and the proposal satisfy the requirements specified in Rule 14a-8 under the Exchange Act. For a stockholder proposal to be considered for inclusion in our proxy materials for the 2018 annual meeting, the proposal must be delivered to our Secretary at the address provided below by January 1, 2018.</w:t>
      </w:r>
    </w:p>
    <w:p>
      <w:pPr>
        <w:spacing w:after="0" w:line="154" w:lineRule="exact"/>
        <w:rPr>
          <w:sz w:val="20"/>
          <w:szCs w:val="20"/>
          <w:color w:val="auto"/>
        </w:rPr>
      </w:pPr>
    </w:p>
    <w:p>
      <w:pPr>
        <w:ind w:left="5"/>
        <w:spacing w:after="0"/>
        <w:rPr>
          <w:sz w:val="20"/>
          <w:szCs w:val="20"/>
          <w:color w:val="auto"/>
        </w:rPr>
      </w:pPr>
      <w:r>
        <w:rPr>
          <w:rFonts w:ascii="Arial" w:cs="Arial" w:eastAsia="Arial" w:hAnsi="Arial"/>
          <w:sz w:val="12"/>
          <w:szCs w:val="12"/>
          <w:b w:val="1"/>
          <w:bCs w:val="1"/>
          <w:color w:val="325889"/>
        </w:rPr>
        <w:t>Director Nominations for Inclusion in our 2018 Proxy Materials (Proxy Access)</w:t>
      </w:r>
    </w:p>
    <w:p>
      <w:pPr>
        <w:spacing w:after="0" w:line="200" w:lineRule="exact"/>
        <w:rPr>
          <w:sz w:val="20"/>
          <w:szCs w:val="20"/>
          <w:color w:val="auto"/>
        </w:rPr>
      </w:pPr>
    </w:p>
    <w:p>
      <w:pPr>
        <w:ind w:left="5"/>
        <w:spacing w:after="0" w:line="253" w:lineRule="auto"/>
        <w:rPr>
          <w:sz w:val="20"/>
          <w:szCs w:val="20"/>
          <w:color w:val="auto"/>
        </w:rPr>
      </w:pPr>
      <w:r>
        <w:rPr>
          <w:rFonts w:ascii="Arial" w:cs="Arial" w:eastAsia="Arial" w:hAnsi="Arial"/>
          <w:sz w:val="15"/>
          <w:szCs w:val="15"/>
          <w:color w:val="auto"/>
        </w:rPr>
        <w:t>Our proxy access bylaw permits a stockholder (or a group of up to 20 stockholders) owning 3% or more of our outstanding common stock continuously for at least three years to nominate and include in the Company’s proxy materials director candidates constituting up to the greater of two individuals or 20% of the Board, if the nominating stockholder(s) and the nominee(s) satisfy the requirements specified in our bylaws. For the 2018 annual meeting, notice of a proxy access nomination must be delivered to our Secretary at the address provided below no later than January 1, 2018 and no earlier than December 2, 2017.</w:t>
      </w:r>
    </w:p>
    <w:p>
      <w:pPr>
        <w:spacing w:after="0" w:line="157" w:lineRule="exact"/>
        <w:rPr>
          <w:sz w:val="20"/>
          <w:szCs w:val="20"/>
          <w:color w:val="auto"/>
        </w:rPr>
      </w:pPr>
    </w:p>
    <w:p>
      <w:pPr>
        <w:ind w:left="5"/>
        <w:spacing w:after="0"/>
        <w:rPr>
          <w:sz w:val="20"/>
          <w:szCs w:val="20"/>
          <w:color w:val="auto"/>
        </w:rPr>
      </w:pPr>
      <w:r>
        <w:rPr>
          <w:rFonts w:ascii="Arial" w:cs="Arial" w:eastAsia="Arial" w:hAnsi="Arial"/>
          <w:sz w:val="12"/>
          <w:szCs w:val="12"/>
          <w:b w:val="1"/>
          <w:bCs w:val="1"/>
          <w:color w:val="325889"/>
        </w:rPr>
        <w:t>Other Proposals or Nominations to be brought before our 2018 Annual Meeting</w:t>
      </w:r>
    </w:p>
    <w:p>
      <w:pPr>
        <w:spacing w:after="0" w:line="200" w:lineRule="exact"/>
        <w:rPr>
          <w:sz w:val="20"/>
          <w:szCs w:val="20"/>
          <w:color w:val="auto"/>
        </w:rPr>
      </w:pPr>
    </w:p>
    <w:p>
      <w:pPr>
        <w:ind w:left="5" w:right="360"/>
        <w:spacing w:after="0" w:line="256" w:lineRule="auto"/>
        <w:rPr>
          <w:sz w:val="20"/>
          <w:szCs w:val="20"/>
          <w:color w:val="auto"/>
        </w:rPr>
      </w:pPr>
      <w:r>
        <w:rPr>
          <w:rFonts w:ascii="Arial" w:cs="Arial" w:eastAsia="Arial" w:hAnsi="Arial"/>
          <w:sz w:val="15"/>
          <w:szCs w:val="15"/>
          <w:color w:val="auto"/>
        </w:rPr>
        <w:t>Our bylaws permit a stockholder to propose items of business and/or nominate director candidates that are not intended to be included in our proxy materials if the stockholder complies with the procedures set forth in our bylaws. For the 2018 annual meeting, notice of such proposals or nominations must be delivered to our Secretary at the address provided below no later than March 3, 2018 and no earlier than February 1, 2018.</w:t>
      </w:r>
    </w:p>
    <w:p>
      <w:pPr>
        <w:spacing w:after="0" w:line="172" w:lineRule="exact"/>
        <w:rPr>
          <w:sz w:val="20"/>
          <w:szCs w:val="20"/>
          <w:color w:val="auto"/>
        </w:rPr>
      </w:pPr>
    </w:p>
    <w:p>
      <w:pPr>
        <w:ind w:left="5" w:right="220"/>
        <w:spacing w:after="0" w:line="256" w:lineRule="auto"/>
        <w:rPr>
          <w:sz w:val="20"/>
          <w:szCs w:val="20"/>
          <w:color w:val="auto"/>
        </w:rPr>
      </w:pPr>
      <w:r>
        <w:rPr>
          <w:rFonts w:ascii="Arial" w:cs="Arial" w:eastAsia="Arial" w:hAnsi="Arial"/>
          <w:sz w:val="15"/>
          <w:szCs w:val="15"/>
          <w:color w:val="auto"/>
        </w:rPr>
        <w:t>If the Company moves the 2018 annual meeting to a date that is more than 25 days before or after the date which is the one year anniversary of this year’s annual meeting date (i.e., June 1, 2018), the Company must receive such notice no later than the close of business on the 10th day following the earlier of the day on which the Company makes a public announcement of the meeting date or they day on which notice of the meeting date is first distributed to stockholders.</w:t>
      </w:r>
    </w:p>
    <w:p>
      <w:pPr>
        <w:spacing w:after="0" w:line="154" w:lineRule="exact"/>
        <w:rPr>
          <w:sz w:val="20"/>
          <w:szCs w:val="20"/>
          <w:color w:val="auto"/>
        </w:rPr>
      </w:pPr>
    </w:p>
    <w:p>
      <w:pPr>
        <w:ind w:left="5"/>
        <w:spacing w:after="0"/>
        <w:rPr>
          <w:sz w:val="20"/>
          <w:szCs w:val="20"/>
          <w:color w:val="auto"/>
        </w:rPr>
      </w:pPr>
      <w:r>
        <w:rPr>
          <w:rFonts w:ascii="Arial" w:cs="Arial" w:eastAsia="Arial" w:hAnsi="Arial"/>
          <w:sz w:val="12"/>
          <w:szCs w:val="12"/>
          <w:b w:val="1"/>
          <w:bCs w:val="1"/>
          <w:color w:val="325889"/>
        </w:rPr>
        <w:t>Address for Submission of Notices and Additional Information</w:t>
      </w:r>
    </w:p>
    <w:p>
      <w:pPr>
        <w:spacing w:after="0" w:line="200" w:lineRule="exact"/>
        <w:rPr>
          <w:sz w:val="20"/>
          <w:szCs w:val="20"/>
          <w:color w:val="auto"/>
        </w:rPr>
      </w:pPr>
    </w:p>
    <w:p>
      <w:pPr>
        <w:ind w:left="5" w:right="80"/>
        <w:spacing w:after="0" w:line="256" w:lineRule="auto"/>
        <w:rPr>
          <w:sz w:val="20"/>
          <w:szCs w:val="20"/>
          <w:color w:val="auto"/>
        </w:rPr>
      </w:pPr>
      <w:r>
        <w:rPr>
          <w:rFonts w:ascii="Arial" w:cs="Arial" w:eastAsia="Arial" w:hAnsi="Arial"/>
          <w:sz w:val="15"/>
          <w:szCs w:val="15"/>
          <w:color w:val="auto"/>
        </w:rPr>
        <w:t>All stockholder nominations of individuals for election as directors or proposals of other items of business to be considered by stockholders at the 2018 annual meeting (whether or not intended for inclusion in our proxy materials) must be submitted in writing to SL Green Realty Corp., 420 Lexington Avenue, New York, New York 10170-1881, Attention: Andrew S. Levine, Secretary.</w:t>
      </w:r>
    </w:p>
    <w:p>
      <w:pPr>
        <w:spacing w:after="0" w:line="172" w:lineRule="exact"/>
        <w:rPr>
          <w:sz w:val="20"/>
          <w:szCs w:val="20"/>
          <w:color w:val="auto"/>
        </w:rPr>
      </w:pPr>
    </w:p>
    <w:p>
      <w:pPr>
        <w:jc w:val="both"/>
        <w:ind w:left="5" w:right="180"/>
        <w:spacing w:after="0" w:line="256" w:lineRule="auto"/>
        <w:rPr>
          <w:sz w:val="20"/>
          <w:szCs w:val="20"/>
          <w:color w:val="auto"/>
        </w:rPr>
      </w:pPr>
      <w:r>
        <w:rPr>
          <w:rFonts w:ascii="Arial" w:cs="Arial" w:eastAsia="Arial" w:hAnsi="Arial"/>
          <w:sz w:val="15"/>
          <w:szCs w:val="15"/>
          <w:color w:val="auto"/>
        </w:rPr>
        <w:t>In addition, both the proxy access and the advance notice provisions of our bylaws require a stockholder’s notice of a nomination or other item of business to include certain information. Director nominees must also meet certain eligibility requirements. Any stockholder considering introducing a nomination or other item of business should carefully review our bylaws.</w:t>
      </w:r>
    </w:p>
    <w:p>
      <w:pPr>
        <w:spacing w:after="0" w:line="144"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325889"/>
        </w:rPr>
        <w:t>Householding of Proxy Materials</w:t>
      </w:r>
    </w:p>
    <w:p>
      <w:pPr>
        <w:spacing w:after="0" w:line="212" w:lineRule="exact"/>
        <w:rPr>
          <w:sz w:val="20"/>
          <w:szCs w:val="20"/>
          <w:color w:val="auto"/>
        </w:rPr>
      </w:pPr>
    </w:p>
    <w:p>
      <w:pPr>
        <w:ind w:left="5" w:right="40"/>
        <w:spacing w:after="0" w:line="253" w:lineRule="auto"/>
        <w:rPr>
          <w:sz w:val="20"/>
          <w:szCs w:val="20"/>
          <w:color w:val="auto"/>
        </w:rPr>
      </w:pPr>
      <w:r>
        <w:rPr>
          <w:rFonts w:ascii="Arial" w:cs="Arial" w:eastAsia="Arial" w:hAnsi="Arial"/>
          <w:sz w:val="15"/>
          <w:szCs w:val="15"/>
          <w:color w:val="auto"/>
        </w:rPr>
        <w:t>The SEC adopted rules that permit companies and intermediaries (such as banks and brokers) to satisfy the delivery requirements for proxy materials with respect to two or more stockholders sharing the same address by delivering a single proxy statement, annual report or Notice of Internet Availability of Proxy Materials, as applicable, addressed to those stockholders. This process, which is commonly referred to as “householding,” potentially means extra convenience for stockholders and cost savings for companies.</w:t>
      </w:r>
    </w:p>
    <w:p>
      <w:pPr>
        <w:spacing w:after="0" w:line="174" w:lineRule="exact"/>
        <w:rPr>
          <w:sz w:val="20"/>
          <w:szCs w:val="20"/>
          <w:color w:val="auto"/>
        </w:rPr>
      </w:pPr>
    </w:p>
    <w:p>
      <w:pPr>
        <w:ind w:left="5" w:right="140"/>
        <w:spacing w:after="0" w:line="253" w:lineRule="auto"/>
        <w:rPr>
          <w:sz w:val="20"/>
          <w:szCs w:val="20"/>
          <w:color w:val="auto"/>
        </w:rPr>
      </w:pPr>
      <w:r>
        <w:rPr>
          <w:rFonts w:ascii="Arial" w:cs="Arial" w:eastAsia="Arial" w:hAnsi="Arial"/>
          <w:sz w:val="15"/>
          <w:szCs w:val="15"/>
          <w:color w:val="auto"/>
        </w:rPr>
        <w:t>This year, a number of brokers with account holders who are our stockholders will be “householding” our proxy materials. A single proxy statement will be delivered to multiple stockholders sharing an address unless contrary instructions have been received from the affected stockholders. Once you have received notice from your broker that such broker will be “householding” communications, including the proxy materials, to your address, “householding” will continue until you are notified otherwise or until you revoke your consent.</w:t>
      </w:r>
    </w:p>
    <w:p>
      <w:pPr>
        <w:spacing w:after="0" w:line="174" w:lineRule="exact"/>
        <w:rPr>
          <w:sz w:val="20"/>
          <w:szCs w:val="20"/>
          <w:color w:val="auto"/>
        </w:rPr>
      </w:pPr>
    </w:p>
    <w:p>
      <w:pPr>
        <w:ind w:left="5" w:right="100"/>
        <w:spacing w:after="0" w:line="255" w:lineRule="auto"/>
        <w:rPr>
          <w:sz w:val="20"/>
          <w:szCs w:val="20"/>
          <w:color w:val="auto"/>
        </w:rPr>
      </w:pPr>
      <w:r>
        <w:rPr>
          <w:rFonts w:ascii="Arial" w:cs="Arial" w:eastAsia="Arial" w:hAnsi="Arial"/>
          <w:sz w:val="15"/>
          <w:szCs w:val="15"/>
          <w:color w:val="auto"/>
        </w:rPr>
        <w:t>Stockholders who currently receive only one copy of the proxy materials at their address and would like to receive additional copies and/or stockholders who no longer wish to participate in “householding” and would prefer to receive separate proxy materials in the future should direct their request either to their broker or to the Company in writing to SL Green Realty Corp., 420 Lexington Avenue, New York, New York 10170-1881, Attention: Investor Relations or by telephone at (212) 594-2700.</w:t>
      </w:r>
    </w:p>
    <w:p>
      <w:pPr>
        <w:spacing w:after="0" w:line="352" w:lineRule="exact"/>
        <w:rPr>
          <w:sz w:val="20"/>
          <w:szCs w:val="20"/>
          <w:color w:val="auto"/>
        </w:rPr>
      </w:pPr>
    </w:p>
    <w:p>
      <w:pPr>
        <w:ind w:left="5" w:right="420"/>
        <w:spacing w:after="0" w:line="265" w:lineRule="auto"/>
        <w:rPr>
          <w:sz w:val="20"/>
          <w:szCs w:val="20"/>
          <w:color w:val="auto"/>
        </w:rPr>
      </w:pPr>
      <w:r>
        <w:rPr>
          <w:rFonts w:ascii="Arial" w:cs="Arial" w:eastAsia="Arial" w:hAnsi="Arial"/>
          <w:sz w:val="15"/>
          <w:szCs w:val="15"/>
          <w:color w:val="auto"/>
        </w:rPr>
        <w:t>Stockholders who currently receive multiple copies of the proxy materials at their address and would like to request “householding” of their future communications should direct their request either to their broker or to the Company at the address of telephone number above.</w:t>
      </w:r>
    </w:p>
    <w:p>
      <w:pPr>
        <w:spacing w:after="0" w:line="165" w:lineRule="exact"/>
        <w:rPr>
          <w:sz w:val="20"/>
          <w:szCs w:val="20"/>
          <w:color w:val="auto"/>
        </w:rPr>
      </w:pPr>
    </w:p>
    <w:p>
      <w:pPr>
        <w:ind w:left="5"/>
        <w:spacing w:after="0"/>
        <w:rPr>
          <w:sz w:val="20"/>
          <w:szCs w:val="20"/>
          <w:color w:val="auto"/>
        </w:rPr>
      </w:pPr>
      <w:r>
        <w:rPr>
          <w:rFonts w:ascii="Arial" w:cs="Arial" w:eastAsia="Arial" w:hAnsi="Arial"/>
          <w:sz w:val="15"/>
          <w:szCs w:val="15"/>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911860" cy="2559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911860" cy="255905"/>
                    </a:xfrm>
                    <a:prstGeom prst="rect">
                      <a:avLst/>
                    </a:prstGeom>
                    <a:noFill/>
                  </pic:spPr>
                </pic:pic>
              </a:graphicData>
            </a:graphic>
          </wp:anchor>
        </w:drawing>
      </w:r>
    </w:p>
    <w:p>
      <w:pPr>
        <w:spacing w:after="0" w:line="389" w:lineRule="exact"/>
        <w:rPr>
          <w:sz w:val="20"/>
          <w:szCs w:val="20"/>
          <w:color w:val="auto"/>
        </w:rPr>
      </w:pPr>
    </w:p>
    <w:p>
      <w:pPr>
        <w:ind w:left="5"/>
        <w:spacing w:after="0"/>
        <w:rPr>
          <w:sz w:val="20"/>
          <w:szCs w:val="20"/>
          <w:color w:val="auto"/>
        </w:rPr>
      </w:pPr>
      <w:r>
        <w:rPr>
          <w:rFonts w:ascii="Arial" w:cs="Arial" w:eastAsia="Arial" w:hAnsi="Arial"/>
          <w:sz w:val="15"/>
          <w:szCs w:val="15"/>
          <w:color w:val="auto"/>
        </w:rPr>
        <w:t>Andrew S. Levine</w:t>
      </w:r>
    </w:p>
    <w:p>
      <w:pPr>
        <w:spacing w:after="0" w:line="5" w:lineRule="exact"/>
        <w:rPr>
          <w:sz w:val="20"/>
          <w:szCs w:val="20"/>
          <w:color w:val="auto"/>
        </w:rPr>
      </w:pPr>
    </w:p>
    <w:p>
      <w:pPr>
        <w:ind w:left="5"/>
        <w:spacing w:after="0"/>
        <w:rPr>
          <w:sz w:val="20"/>
          <w:szCs w:val="20"/>
          <w:color w:val="auto"/>
        </w:rPr>
      </w:pPr>
      <w:r>
        <w:rPr>
          <w:rFonts w:ascii="Arial" w:cs="Arial" w:eastAsia="Arial" w:hAnsi="Arial"/>
          <w:sz w:val="15"/>
          <w:szCs w:val="15"/>
          <w:color w:val="auto"/>
        </w:rPr>
        <w:t>Secretary</w:t>
      </w:r>
    </w:p>
    <w:p>
      <w:pPr>
        <w:spacing w:after="0" w:line="195" w:lineRule="exact"/>
        <w:rPr>
          <w:sz w:val="20"/>
          <w:szCs w:val="20"/>
          <w:color w:val="auto"/>
        </w:rPr>
      </w:pPr>
    </w:p>
    <w:p>
      <w:pPr>
        <w:ind w:left="5"/>
        <w:spacing w:after="0"/>
        <w:rPr>
          <w:sz w:val="20"/>
          <w:szCs w:val="20"/>
          <w:color w:val="auto"/>
        </w:rPr>
      </w:pPr>
      <w:r>
        <w:rPr>
          <w:rFonts w:ascii="Arial" w:cs="Arial" w:eastAsia="Arial" w:hAnsi="Arial"/>
          <w:sz w:val="15"/>
          <w:szCs w:val="15"/>
          <w:color w:val="auto"/>
        </w:rPr>
        <w:t>New York, New York</w:t>
      </w:r>
    </w:p>
    <w:p>
      <w:pPr>
        <w:spacing w:after="0" w:line="5" w:lineRule="exact"/>
        <w:rPr>
          <w:sz w:val="20"/>
          <w:szCs w:val="20"/>
          <w:color w:val="auto"/>
        </w:rPr>
      </w:pPr>
    </w:p>
    <w:p>
      <w:pPr>
        <w:ind w:left="5"/>
        <w:spacing w:after="0"/>
        <w:rPr>
          <w:sz w:val="20"/>
          <w:szCs w:val="20"/>
          <w:color w:val="auto"/>
        </w:rPr>
      </w:pPr>
      <w:r>
        <w:rPr>
          <w:rFonts w:ascii="Arial" w:cs="Arial" w:eastAsia="Arial" w:hAnsi="Arial"/>
          <w:sz w:val="15"/>
          <w:szCs w:val="15"/>
          <w:color w:val="auto"/>
        </w:rPr>
        <w:t>May 1, 2017</w:t>
      </w:r>
    </w:p>
    <w:p>
      <w:pPr>
        <w:spacing w:after="0" w:line="195" w:lineRule="exact"/>
        <w:rPr>
          <w:sz w:val="20"/>
          <w:szCs w:val="20"/>
          <w:color w:val="auto"/>
        </w:rPr>
      </w:pPr>
    </w:p>
    <w:p>
      <w:pPr>
        <w:ind w:left="265" w:hanging="265"/>
        <w:spacing w:after="0"/>
        <w:tabs>
          <w:tab w:leader="none" w:pos="265" w:val="left"/>
        </w:tabs>
        <w:numPr>
          <w:ilvl w:val="0"/>
          <w:numId w:val="85"/>
        </w:numPr>
        <w:rPr>
          <w:rFonts w:ascii="Arial" w:cs="Arial" w:eastAsia="Arial" w:hAnsi="Arial"/>
          <w:sz w:val="15"/>
          <w:szCs w:val="15"/>
          <w:color w:val="325889"/>
        </w:rPr>
      </w:pPr>
      <w:r>
        <w:rPr>
          <w:rFonts w:ascii="Arial" w:cs="Arial" w:eastAsia="Arial" w:hAnsi="Arial"/>
          <w:sz w:val="15"/>
          <w:szCs w:val="15"/>
          <w:color w:val="auto"/>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83450" cy="203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25"/>
          </w:cols>
          <w:pgMar w:left="235" w:top="528" w:right="239" w:bottom="1440" w:gutter="0" w:footer="0" w:header="0"/>
        </w:sectPr>
      </w:pPr>
    </w:p>
    <w:bookmarkStart w:id="66" w:name="page67"/>
    <w:bookmarkEnd w:id="66"/>
    <w:p>
      <w:pPr>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178" w:lineRule="exact"/>
        <w:rPr>
          <w:sz w:val="20"/>
          <w:szCs w:val="20"/>
          <w:color w:val="auto"/>
        </w:rPr>
      </w:pPr>
    </w:p>
    <w:p>
      <w:pPr>
        <w:spacing w:after="0"/>
        <w:rPr>
          <w:sz w:val="20"/>
          <w:szCs w:val="20"/>
          <w:color w:val="auto"/>
        </w:rPr>
      </w:pPr>
      <w:r>
        <w:rPr>
          <w:rFonts w:ascii="Arial" w:cs="Arial" w:eastAsia="Arial" w:hAnsi="Arial"/>
          <w:sz w:val="28"/>
          <w:szCs w:val="28"/>
          <w:b w:val="1"/>
          <w:bCs w:val="1"/>
          <w:color w:val="325889"/>
        </w:rPr>
        <w:t>APPENDIX A:</w:t>
      </w:r>
    </w:p>
    <w:p>
      <w:pPr>
        <w:spacing w:after="0" w:line="46" w:lineRule="exact"/>
        <w:rPr>
          <w:sz w:val="20"/>
          <w:szCs w:val="20"/>
          <w:color w:val="auto"/>
        </w:rPr>
      </w:pPr>
    </w:p>
    <w:p>
      <w:pPr>
        <w:spacing w:after="0"/>
        <w:rPr>
          <w:sz w:val="20"/>
          <w:szCs w:val="20"/>
          <w:color w:val="auto"/>
        </w:rPr>
      </w:pPr>
      <w:r>
        <w:rPr>
          <w:rFonts w:ascii="Arial" w:cs="Arial" w:eastAsia="Arial" w:hAnsi="Arial"/>
          <w:sz w:val="28"/>
          <w:szCs w:val="28"/>
          <w:b w:val="1"/>
          <w:bCs w:val="1"/>
          <w:color w:val="325889"/>
        </w:rPr>
        <w:t>INFORMATION REGARDING CERTAIN</w:t>
      </w:r>
    </w:p>
    <w:p>
      <w:pPr>
        <w:spacing w:after="0" w:line="10" w:lineRule="exact"/>
        <w:rPr>
          <w:sz w:val="20"/>
          <w:szCs w:val="20"/>
          <w:color w:val="auto"/>
        </w:rPr>
      </w:pPr>
    </w:p>
    <w:p>
      <w:pPr>
        <w:spacing w:after="0"/>
        <w:rPr>
          <w:sz w:val="20"/>
          <w:szCs w:val="20"/>
          <w:color w:val="auto"/>
        </w:rPr>
      </w:pPr>
      <w:r>
        <w:rPr>
          <w:rFonts w:ascii="Arial" w:cs="Arial" w:eastAsia="Arial" w:hAnsi="Arial"/>
          <w:sz w:val="28"/>
          <w:szCs w:val="28"/>
          <w:b w:val="1"/>
          <w:bCs w:val="1"/>
          <w:color w:val="325889"/>
        </w:rPr>
        <w:t>FINANCIAL MEASURES</w:t>
      </w:r>
    </w:p>
    <w:p>
      <w:pPr>
        <w:spacing w:after="0" w:line="200" w:lineRule="exact"/>
        <w:rPr>
          <w:sz w:val="20"/>
          <w:szCs w:val="20"/>
          <w:color w:val="auto"/>
        </w:rPr>
      </w:pPr>
    </w:p>
    <w:p>
      <w:pPr>
        <w:ind w:right="420"/>
        <w:spacing w:after="0" w:line="265" w:lineRule="auto"/>
        <w:rPr>
          <w:sz w:val="20"/>
          <w:szCs w:val="20"/>
          <w:color w:val="auto"/>
        </w:rPr>
      </w:pPr>
      <w:r>
        <w:rPr>
          <w:rFonts w:ascii="Arial" w:cs="Arial" w:eastAsia="Arial" w:hAnsi="Arial"/>
          <w:sz w:val="15"/>
          <w:szCs w:val="15"/>
          <w:color w:val="auto"/>
        </w:rPr>
        <w:t>Below are reconciliations of net income attributable to our stockholders to Normalized FFO per share and FFO per share for the years ended December 31, 2016, 2015, 2014, 2013 and 2012 (amounts in thousands, except per share data).</w:t>
      </w:r>
    </w:p>
    <w:p>
      <w:pPr>
        <w:sectPr>
          <w:pgSz w:w="11900" w:h="16838" w:orient="portrait"/>
          <w:cols w:equalWidth="0" w:num="1">
            <w:col w:w="11440"/>
          </w:cols>
          <w:pgMar w:left="240" w:top="528"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FFO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4633595"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63359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-129540</wp:posOffset>
            </wp:positionV>
            <wp:extent cx="4633595" cy="152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633595" cy="1524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color w:val="auto"/>
        </w:rPr>
        <w:t>Net income attributable to SL Green</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4633595"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633595" cy="762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color w:val="auto"/>
        </w:rPr>
        <w:t>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4633595"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633595" cy="7620"/>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4633595"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633595" cy="7620"/>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Discontinued operations</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depreciation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4633595"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633595" cy="7620"/>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Joint venture depreciation and</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noncontrolling interest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4633595"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633595" cy="7620"/>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Net income attributable to</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4633595"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633595" cy="7620"/>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4633595"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633595" cy="7620"/>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Gain on sale of real estate and</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discontinued operations,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4633595"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633595" cy="7620"/>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Equity in net gain on sale of interest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in unconsolidated joint venture/</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4633595"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633595" cy="7620"/>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Purchase price fair value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4633595"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633595" cy="7620"/>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Depreciable real estate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4633595"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633595" cy="7620"/>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Depreciation on non-rental real estate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4633595"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633595" cy="7620"/>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Funds From Operations attributable</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to SL Green common stockholders and</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4633595"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633595" cy="7620"/>
                    </a:xfrm>
                    <a:prstGeom prst="rect">
                      <a:avLst/>
                    </a:prstGeom>
                    <a:noFill/>
                  </pic:spPr>
                </pic:pic>
              </a:graphicData>
            </a:graphic>
          </wp:anchor>
        </w:drawing>
      </w:r>
    </w:p>
    <w:p>
      <w:pPr>
        <w:spacing w:after="0" w:line="45" w:lineRule="exact"/>
        <w:rPr>
          <w:sz w:val="20"/>
          <w:szCs w:val="20"/>
          <w:color w:val="auto"/>
        </w:rPr>
      </w:pPr>
    </w:p>
    <w:p>
      <w:pPr>
        <w:ind w:right="120"/>
        <w:spacing w:after="0" w:line="265" w:lineRule="auto"/>
        <w:rPr>
          <w:sz w:val="20"/>
          <w:szCs w:val="20"/>
          <w:color w:val="auto"/>
        </w:rPr>
      </w:pPr>
      <w:r>
        <w:rPr>
          <w:rFonts w:ascii="Arial" w:cs="Arial" w:eastAsia="Arial" w:hAnsi="Arial"/>
          <w:sz w:val="15"/>
          <w:szCs w:val="15"/>
          <w:color w:val="auto"/>
        </w:rPr>
        <w:t>FFO attributable to the write-off of accounting related balances and the 2017 portion of the lease termination fee related to the sale of 388-390 Greenwich Street to Citigroup, Inc.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4633595"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633595" cy="7620"/>
                    </a:xfrm>
                    <a:prstGeom prst="rect">
                      <a:avLst/>
                    </a:prstGeom>
                    <a:noFill/>
                  </pic:spPr>
                </pic:pic>
              </a:graphicData>
            </a:graphic>
          </wp:anchor>
        </w:drawing>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auto"/>
        </w:rPr>
        <w:t>FFO attributable to the additional</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cash income from the recapitalization</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of 717 Fifth Avenue in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4633595"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633595" cy="7620"/>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Normalized Funds From Operations</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attributable to SL Green</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common stockholders and</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4633595"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633595" cy="7620"/>
                    </a:xfrm>
                    <a:prstGeom prst="rect">
                      <a:avLst/>
                    </a:prstGeom>
                    <a:noFill/>
                  </pic:spPr>
                </pic:pic>
              </a:graphicData>
            </a:graphic>
          </wp:anchor>
        </w:drawing>
      </w:r>
    </w:p>
    <w:p>
      <w:pPr>
        <w:spacing w:after="0" w:line="116" w:lineRule="exact"/>
        <w:rPr>
          <w:sz w:val="20"/>
          <w:szCs w:val="20"/>
          <w:color w:val="auto"/>
        </w:rPr>
      </w:pPr>
    </w:p>
    <w:p>
      <w:pPr>
        <w:ind w:right="2920"/>
        <w:spacing w:after="0" w:line="348" w:lineRule="auto"/>
        <w:rPr>
          <w:sz w:val="20"/>
          <w:szCs w:val="20"/>
          <w:color w:val="auto"/>
        </w:rPr>
      </w:pPr>
      <w:r>
        <w:rPr>
          <w:rFonts w:ascii="Arial" w:cs="Arial" w:eastAsia="Arial" w:hAnsi="Arial"/>
          <w:sz w:val="15"/>
          <w:szCs w:val="15"/>
          <w:color w:val="auto"/>
        </w:rPr>
        <w:t xml:space="preserve">Diluted weighted average shares and units outstanding </w:t>
      </w:r>
      <w:r>
        <w:rPr>
          <w:rFonts w:ascii="Arial" w:cs="Arial" w:eastAsia="Arial" w:hAnsi="Arial"/>
          <w:sz w:val="15"/>
          <w:szCs w:val="15"/>
          <w:b w:val="1"/>
          <w:bCs w:val="1"/>
          <w:color w:val="auto"/>
        </w:rPr>
        <w:t>Normalized FFO / FFO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-40005</wp:posOffset>
            </wp:positionV>
            <wp:extent cx="4633595" cy="152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63359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-190500</wp:posOffset>
            </wp:positionV>
            <wp:extent cx="4633595"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63359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12"/>
          <w:szCs w:val="12"/>
          <w:b w:val="1"/>
          <w:bCs w:val="1"/>
          <w:color w:val="325889"/>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2561590" cy="152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561590" cy="15240"/>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 w:type="dxa"/>
            <w:vAlign w:val="bottom"/>
            <w:tcBorders>
              <w:bottom w:val="single" w:sz="8" w:color="325889"/>
            </w:tcBorders>
          </w:tcPr>
          <w:p>
            <w:pPr>
              <w:spacing w:after="0"/>
              <w:rPr>
                <w:sz w:val="15"/>
                <w:szCs w:val="15"/>
                <w:color w:val="auto"/>
              </w:rPr>
            </w:pPr>
          </w:p>
        </w:tc>
        <w:tc>
          <w:tcPr>
            <w:tcW w:w="660" w:type="dxa"/>
            <w:vAlign w:val="bottom"/>
            <w:tcBorders>
              <w:bottom w:val="single" w:sz="8" w:color="325889"/>
            </w:tcBorders>
          </w:tcPr>
          <w:p>
            <w:pPr>
              <w:jc w:val="right"/>
              <w:ind w:right="164"/>
              <w:spacing w:after="0"/>
              <w:rPr>
                <w:sz w:val="20"/>
                <w:szCs w:val="20"/>
                <w:color w:val="auto"/>
              </w:rPr>
            </w:pPr>
            <w:r>
              <w:rPr>
                <w:rFonts w:ascii="Arial" w:cs="Arial" w:eastAsia="Arial" w:hAnsi="Arial"/>
                <w:sz w:val="12"/>
                <w:szCs w:val="12"/>
                <w:b w:val="1"/>
                <w:bCs w:val="1"/>
                <w:color w:val="325889"/>
              </w:rPr>
              <w:t>2016</w:t>
            </w:r>
          </w:p>
        </w:tc>
        <w:tc>
          <w:tcPr>
            <w:tcW w:w="100" w:type="dxa"/>
            <w:vAlign w:val="bottom"/>
            <w:tcBorders>
              <w:bottom w:val="single" w:sz="8" w:color="325889"/>
            </w:tcBorders>
          </w:tcPr>
          <w:p>
            <w:pPr>
              <w:spacing w:after="0"/>
              <w:rPr>
                <w:sz w:val="15"/>
                <w:szCs w:val="15"/>
                <w:color w:val="auto"/>
              </w:rPr>
            </w:pPr>
          </w:p>
        </w:tc>
        <w:tc>
          <w:tcPr>
            <w:tcW w:w="100" w:type="dxa"/>
            <w:vAlign w:val="bottom"/>
            <w:tcBorders>
              <w:bottom w:val="single" w:sz="8" w:color="325889"/>
            </w:tcBorders>
          </w:tcPr>
          <w:p>
            <w:pPr>
              <w:spacing w:after="0"/>
              <w:rPr>
                <w:sz w:val="15"/>
                <w:szCs w:val="15"/>
                <w:color w:val="auto"/>
              </w:rPr>
            </w:pPr>
          </w:p>
        </w:tc>
        <w:tc>
          <w:tcPr>
            <w:tcW w:w="660" w:type="dxa"/>
            <w:vAlign w:val="bottom"/>
            <w:tcBorders>
              <w:bottom w:val="single" w:sz="8" w:color="325889"/>
            </w:tcBorders>
          </w:tcPr>
          <w:p>
            <w:pPr>
              <w:jc w:val="right"/>
              <w:ind w:right="164"/>
              <w:spacing w:after="0"/>
              <w:rPr>
                <w:sz w:val="20"/>
                <w:szCs w:val="20"/>
                <w:color w:val="auto"/>
              </w:rPr>
            </w:pPr>
            <w:r>
              <w:rPr>
                <w:rFonts w:ascii="Arial" w:cs="Arial" w:eastAsia="Arial" w:hAnsi="Arial"/>
                <w:sz w:val="12"/>
                <w:szCs w:val="12"/>
                <w:b w:val="1"/>
                <w:bCs w:val="1"/>
                <w:color w:val="325889"/>
              </w:rPr>
              <w:t>2015</w:t>
            </w:r>
          </w:p>
        </w:tc>
        <w:tc>
          <w:tcPr>
            <w:tcW w:w="120" w:type="dxa"/>
            <w:vAlign w:val="bottom"/>
            <w:tcBorders>
              <w:bottom w:val="single" w:sz="8" w:color="325889"/>
            </w:tcBorders>
          </w:tcPr>
          <w:p>
            <w:pPr>
              <w:spacing w:after="0"/>
              <w:rPr>
                <w:sz w:val="15"/>
                <w:szCs w:val="15"/>
                <w:color w:val="auto"/>
              </w:rPr>
            </w:pPr>
          </w:p>
        </w:tc>
        <w:tc>
          <w:tcPr>
            <w:tcW w:w="80" w:type="dxa"/>
            <w:vAlign w:val="bottom"/>
            <w:tcBorders>
              <w:bottom w:val="single" w:sz="8" w:color="325889"/>
            </w:tcBorders>
          </w:tcPr>
          <w:p>
            <w:pPr>
              <w:spacing w:after="0"/>
              <w:rPr>
                <w:sz w:val="15"/>
                <w:szCs w:val="15"/>
                <w:color w:val="auto"/>
              </w:rPr>
            </w:pPr>
          </w:p>
        </w:tc>
        <w:tc>
          <w:tcPr>
            <w:tcW w:w="580" w:type="dxa"/>
            <w:vAlign w:val="bottom"/>
            <w:tcBorders>
              <w:bottom w:val="single" w:sz="8" w:color="325889"/>
            </w:tcBorders>
          </w:tcPr>
          <w:p>
            <w:pPr>
              <w:jc w:val="right"/>
              <w:ind w:right="124"/>
              <w:spacing w:after="0"/>
              <w:rPr>
                <w:sz w:val="20"/>
                <w:szCs w:val="20"/>
                <w:color w:val="auto"/>
              </w:rPr>
            </w:pPr>
            <w:r>
              <w:rPr>
                <w:rFonts w:ascii="Arial" w:cs="Arial" w:eastAsia="Arial" w:hAnsi="Arial"/>
                <w:sz w:val="12"/>
                <w:szCs w:val="12"/>
                <w:b w:val="1"/>
                <w:bCs w:val="1"/>
                <w:color w:val="325889"/>
              </w:rPr>
              <w:t>2014</w:t>
            </w:r>
          </w:p>
        </w:tc>
        <w:tc>
          <w:tcPr>
            <w:tcW w:w="40" w:type="dxa"/>
            <w:vAlign w:val="bottom"/>
            <w:tcBorders>
              <w:bottom w:val="single" w:sz="8" w:color="325889"/>
            </w:tcBorders>
          </w:tcPr>
          <w:p>
            <w:pPr>
              <w:spacing w:after="0"/>
              <w:rPr>
                <w:sz w:val="15"/>
                <w:szCs w:val="15"/>
                <w:color w:val="auto"/>
              </w:rPr>
            </w:pPr>
          </w:p>
        </w:tc>
        <w:tc>
          <w:tcPr>
            <w:tcW w:w="60" w:type="dxa"/>
            <w:vAlign w:val="bottom"/>
            <w:tcBorders>
              <w:bottom w:val="single" w:sz="8" w:color="325889"/>
            </w:tcBorders>
          </w:tcPr>
          <w:p>
            <w:pPr>
              <w:spacing w:after="0"/>
              <w:rPr>
                <w:sz w:val="15"/>
                <w:szCs w:val="15"/>
                <w:color w:val="auto"/>
              </w:rPr>
            </w:pPr>
          </w:p>
        </w:tc>
        <w:tc>
          <w:tcPr>
            <w:tcW w:w="100" w:type="dxa"/>
            <w:vAlign w:val="bottom"/>
            <w:tcBorders>
              <w:bottom w:val="single" w:sz="8" w:color="325889"/>
            </w:tcBorders>
          </w:tcPr>
          <w:p>
            <w:pPr>
              <w:spacing w:after="0"/>
              <w:rPr>
                <w:sz w:val="15"/>
                <w:szCs w:val="15"/>
                <w:color w:val="auto"/>
              </w:rPr>
            </w:pPr>
          </w:p>
        </w:tc>
        <w:tc>
          <w:tcPr>
            <w:tcW w:w="660" w:type="dxa"/>
            <w:vAlign w:val="bottom"/>
            <w:tcBorders>
              <w:bottom w:val="single" w:sz="8" w:color="325889"/>
            </w:tcBorders>
          </w:tcPr>
          <w:p>
            <w:pPr>
              <w:jc w:val="right"/>
              <w:ind w:right="164"/>
              <w:spacing w:after="0"/>
              <w:rPr>
                <w:sz w:val="20"/>
                <w:szCs w:val="20"/>
                <w:color w:val="auto"/>
              </w:rPr>
            </w:pPr>
            <w:r>
              <w:rPr>
                <w:rFonts w:ascii="Arial" w:cs="Arial" w:eastAsia="Arial" w:hAnsi="Arial"/>
                <w:sz w:val="12"/>
                <w:szCs w:val="12"/>
                <w:b w:val="1"/>
                <w:bCs w:val="1"/>
                <w:color w:val="325889"/>
              </w:rPr>
              <w:t>2013</w:t>
            </w:r>
          </w:p>
        </w:tc>
        <w:tc>
          <w:tcPr>
            <w:tcW w:w="100" w:type="dxa"/>
            <w:vAlign w:val="bottom"/>
            <w:tcBorders>
              <w:bottom w:val="single" w:sz="8" w:color="325889"/>
            </w:tcBorders>
          </w:tcPr>
          <w:p>
            <w:pPr>
              <w:spacing w:after="0"/>
              <w:rPr>
                <w:sz w:val="15"/>
                <w:szCs w:val="15"/>
                <w:color w:val="auto"/>
              </w:rPr>
            </w:pPr>
          </w:p>
        </w:tc>
        <w:tc>
          <w:tcPr>
            <w:tcW w:w="100" w:type="dxa"/>
            <w:vAlign w:val="bottom"/>
            <w:tcBorders>
              <w:bottom w:val="single" w:sz="8" w:color="325889"/>
            </w:tcBorders>
          </w:tcPr>
          <w:p>
            <w:pPr>
              <w:spacing w:after="0"/>
              <w:rPr>
                <w:sz w:val="15"/>
                <w:szCs w:val="15"/>
                <w:color w:val="auto"/>
              </w:rPr>
            </w:pPr>
          </w:p>
        </w:tc>
        <w:tc>
          <w:tcPr>
            <w:tcW w:w="580" w:type="dxa"/>
            <w:vAlign w:val="bottom"/>
            <w:tcBorders>
              <w:bottom w:val="single" w:sz="8" w:color="325889"/>
            </w:tcBorders>
          </w:tcPr>
          <w:p>
            <w:pPr>
              <w:jc w:val="right"/>
              <w:ind w:right="124"/>
              <w:spacing w:after="0"/>
              <w:rPr>
                <w:sz w:val="20"/>
                <w:szCs w:val="20"/>
                <w:color w:val="auto"/>
              </w:rPr>
            </w:pPr>
            <w:r>
              <w:rPr>
                <w:rFonts w:ascii="Arial" w:cs="Arial" w:eastAsia="Arial" w:hAnsi="Arial"/>
                <w:sz w:val="12"/>
                <w:szCs w:val="12"/>
                <w:b w:val="1"/>
                <w:bCs w:val="1"/>
                <w:color w:val="325889"/>
              </w:rPr>
              <w:t>2012</w:t>
            </w:r>
          </w:p>
        </w:tc>
      </w:tr>
      <w:tr>
        <w:trPr>
          <w:trHeight w:val="634"/>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24"/>
              <w:spacing w:after="0"/>
              <w:rPr>
                <w:sz w:val="20"/>
                <w:szCs w:val="20"/>
                <w:color w:val="auto"/>
              </w:rPr>
            </w:pPr>
            <w:r>
              <w:rPr>
                <w:rFonts w:ascii="Arial" w:cs="Arial" w:eastAsia="Arial" w:hAnsi="Arial"/>
                <w:sz w:val="15"/>
                <w:szCs w:val="15"/>
                <w:color w:val="auto"/>
                <w:w w:val="99"/>
              </w:rPr>
              <w:t>234,946</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4"/>
              <w:spacing w:after="0"/>
              <w:rPr>
                <w:sz w:val="20"/>
                <w:szCs w:val="20"/>
                <w:color w:val="auto"/>
              </w:rPr>
            </w:pPr>
            <w:r>
              <w:rPr>
                <w:rFonts w:ascii="Arial" w:cs="Arial" w:eastAsia="Arial" w:hAnsi="Arial"/>
                <w:sz w:val="15"/>
                <w:szCs w:val="15"/>
                <w:color w:val="auto"/>
                <w:w w:val="99"/>
              </w:rPr>
              <w:t>269,132</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503,104</w:t>
            </w:r>
          </w:p>
        </w:tc>
        <w:tc>
          <w:tcPr>
            <w:tcW w:w="4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4"/>
              <w:spacing w:after="0"/>
              <w:rPr>
                <w:sz w:val="20"/>
                <w:szCs w:val="20"/>
                <w:color w:val="auto"/>
              </w:rPr>
            </w:pPr>
            <w:r>
              <w:rPr>
                <w:rFonts w:ascii="Arial" w:cs="Arial" w:eastAsia="Arial" w:hAnsi="Arial"/>
                <w:sz w:val="15"/>
                <w:szCs w:val="15"/>
                <w:color w:val="auto"/>
                <w:w w:val="99"/>
              </w:rPr>
              <w:t>101,330</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155,984</w:t>
            </w:r>
          </w:p>
        </w:tc>
      </w:tr>
      <w:tr>
        <w:trPr>
          <w:trHeight w:val="526"/>
        </w:trPr>
        <w:tc>
          <w:tcPr>
            <w:tcW w:w="100" w:type="dxa"/>
            <w:vAlign w:val="bottom"/>
            <w:tcBorders>
              <w:top w:val="single" w:sz="8" w:color="98A3B8"/>
              <w:bottom w:val="single" w:sz="8" w:color="98A3B8"/>
            </w:tcBorders>
          </w:tcPr>
          <w:p>
            <w:pPr>
              <w:spacing w:after="0"/>
              <w:rPr>
                <w:sz w:val="24"/>
                <w:szCs w:val="24"/>
                <w:color w:val="auto"/>
              </w:rPr>
            </w:pPr>
          </w:p>
        </w:tc>
        <w:tc>
          <w:tcPr>
            <w:tcW w:w="660" w:type="dxa"/>
            <w:vAlign w:val="bottom"/>
            <w:tcBorders>
              <w:top w:val="single" w:sz="8" w:color="98A3B8"/>
              <w:bottom w:val="single" w:sz="8" w:color="98A3B8"/>
            </w:tcBorders>
          </w:tcPr>
          <w:p>
            <w:pPr>
              <w:jc w:val="right"/>
              <w:ind w:right="24"/>
              <w:spacing w:after="0"/>
              <w:rPr>
                <w:sz w:val="20"/>
                <w:szCs w:val="20"/>
                <w:color w:val="auto"/>
              </w:rPr>
            </w:pPr>
            <w:r>
              <w:rPr>
                <w:rFonts w:ascii="Arial" w:cs="Arial" w:eastAsia="Arial" w:hAnsi="Arial"/>
                <w:sz w:val="15"/>
                <w:szCs w:val="15"/>
                <w:color w:val="auto"/>
                <w:w w:val="99"/>
              </w:rPr>
              <w:t>821,041</w:t>
            </w:r>
          </w:p>
        </w:tc>
        <w:tc>
          <w:tcPr>
            <w:tcW w:w="100" w:type="dxa"/>
            <w:vAlign w:val="bottom"/>
          </w:tcPr>
          <w:p>
            <w:pPr>
              <w:spacing w:after="0"/>
              <w:rPr>
                <w:sz w:val="24"/>
                <w:szCs w:val="24"/>
                <w:color w:val="auto"/>
              </w:rPr>
            </w:pPr>
          </w:p>
        </w:tc>
        <w:tc>
          <w:tcPr>
            <w:tcW w:w="100" w:type="dxa"/>
            <w:vAlign w:val="bottom"/>
            <w:tcBorders>
              <w:top w:val="single" w:sz="8" w:color="98A3B8"/>
              <w:bottom w:val="single" w:sz="8" w:color="98A3B8"/>
            </w:tcBorders>
          </w:tcPr>
          <w:p>
            <w:pPr>
              <w:spacing w:after="0"/>
              <w:rPr>
                <w:sz w:val="24"/>
                <w:szCs w:val="24"/>
                <w:color w:val="auto"/>
              </w:rPr>
            </w:pPr>
          </w:p>
        </w:tc>
        <w:tc>
          <w:tcPr>
            <w:tcW w:w="660" w:type="dxa"/>
            <w:vAlign w:val="bottom"/>
            <w:tcBorders>
              <w:top w:val="single" w:sz="8" w:color="98A3B8"/>
              <w:bottom w:val="single" w:sz="8" w:color="98A3B8"/>
            </w:tcBorders>
          </w:tcPr>
          <w:p>
            <w:pPr>
              <w:jc w:val="right"/>
              <w:ind w:right="24"/>
              <w:spacing w:after="0"/>
              <w:rPr>
                <w:sz w:val="20"/>
                <w:szCs w:val="20"/>
                <w:color w:val="auto"/>
              </w:rPr>
            </w:pPr>
            <w:r>
              <w:rPr>
                <w:rFonts w:ascii="Arial" w:cs="Arial" w:eastAsia="Arial" w:hAnsi="Arial"/>
                <w:sz w:val="15"/>
                <w:szCs w:val="15"/>
                <w:color w:val="auto"/>
                <w:w w:val="99"/>
              </w:rPr>
              <w:t>560,887</w:t>
            </w:r>
          </w:p>
        </w:tc>
        <w:tc>
          <w:tcPr>
            <w:tcW w:w="120" w:type="dxa"/>
            <w:vAlign w:val="bottom"/>
          </w:tcPr>
          <w:p>
            <w:pPr>
              <w:spacing w:after="0"/>
              <w:rPr>
                <w:sz w:val="24"/>
                <w:szCs w:val="24"/>
                <w:color w:val="auto"/>
              </w:rPr>
            </w:pPr>
          </w:p>
        </w:tc>
        <w:tc>
          <w:tcPr>
            <w:tcW w:w="80" w:type="dxa"/>
            <w:vAlign w:val="bottom"/>
            <w:tcBorders>
              <w:top w:val="single" w:sz="8" w:color="98A3B8"/>
              <w:bottom w:val="single" w:sz="8" w:color="98A3B8"/>
            </w:tcBorders>
          </w:tcPr>
          <w:p>
            <w:pPr>
              <w:spacing w:after="0"/>
              <w:rPr>
                <w:sz w:val="24"/>
                <w:szCs w:val="24"/>
                <w:color w:val="auto"/>
              </w:rPr>
            </w:pPr>
          </w:p>
        </w:tc>
        <w:tc>
          <w:tcPr>
            <w:tcW w:w="580" w:type="dxa"/>
            <w:vAlign w:val="bottom"/>
            <w:tcBorders>
              <w:top w:val="single" w:sz="8" w:color="98A3B8"/>
              <w:bottom w:val="single" w:sz="8" w:color="98A3B8"/>
            </w:tcBorders>
          </w:tcPr>
          <w:p>
            <w:pPr>
              <w:jc w:val="right"/>
              <w:spacing w:after="0"/>
              <w:rPr>
                <w:sz w:val="20"/>
                <w:szCs w:val="20"/>
                <w:color w:val="auto"/>
              </w:rPr>
            </w:pPr>
            <w:r>
              <w:rPr>
                <w:rFonts w:ascii="Arial" w:cs="Arial" w:eastAsia="Arial" w:hAnsi="Arial"/>
                <w:sz w:val="15"/>
                <w:szCs w:val="15"/>
                <w:color w:val="auto"/>
              </w:rPr>
              <w:t>371,610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98A3B8"/>
              <w:bottom w:val="single" w:sz="8" w:color="98A3B8"/>
            </w:tcBorders>
          </w:tcPr>
          <w:p>
            <w:pPr>
              <w:spacing w:after="0"/>
              <w:rPr>
                <w:sz w:val="24"/>
                <w:szCs w:val="24"/>
                <w:color w:val="auto"/>
              </w:rPr>
            </w:pPr>
          </w:p>
        </w:tc>
        <w:tc>
          <w:tcPr>
            <w:tcW w:w="660" w:type="dxa"/>
            <w:vAlign w:val="bottom"/>
            <w:tcBorders>
              <w:top w:val="single" w:sz="8" w:color="98A3B8"/>
              <w:bottom w:val="single" w:sz="8" w:color="98A3B8"/>
            </w:tcBorders>
          </w:tcPr>
          <w:p>
            <w:pPr>
              <w:jc w:val="right"/>
              <w:ind w:right="24"/>
              <w:spacing w:after="0"/>
              <w:rPr>
                <w:sz w:val="20"/>
                <w:szCs w:val="20"/>
                <w:color w:val="auto"/>
              </w:rPr>
            </w:pPr>
            <w:r>
              <w:rPr>
                <w:rFonts w:ascii="Arial" w:cs="Arial" w:eastAsia="Arial" w:hAnsi="Arial"/>
                <w:sz w:val="15"/>
                <w:szCs w:val="15"/>
                <w:color w:val="auto"/>
                <w:w w:val="99"/>
              </w:rPr>
              <w:t>324,461</w:t>
            </w:r>
          </w:p>
        </w:tc>
        <w:tc>
          <w:tcPr>
            <w:tcW w:w="100" w:type="dxa"/>
            <w:vAlign w:val="bottom"/>
          </w:tcPr>
          <w:p>
            <w:pPr>
              <w:spacing w:after="0"/>
              <w:rPr>
                <w:sz w:val="24"/>
                <w:szCs w:val="24"/>
                <w:color w:val="auto"/>
              </w:rPr>
            </w:pPr>
          </w:p>
        </w:tc>
        <w:tc>
          <w:tcPr>
            <w:tcW w:w="100" w:type="dxa"/>
            <w:vAlign w:val="bottom"/>
            <w:tcBorders>
              <w:top w:val="single" w:sz="8" w:color="98A3B8"/>
              <w:bottom w:val="single" w:sz="8" w:color="98A3B8"/>
            </w:tcBorders>
          </w:tcPr>
          <w:p>
            <w:pPr>
              <w:spacing w:after="0"/>
              <w:rPr>
                <w:sz w:val="24"/>
                <w:szCs w:val="24"/>
                <w:color w:val="auto"/>
              </w:rPr>
            </w:pPr>
          </w:p>
        </w:tc>
        <w:tc>
          <w:tcPr>
            <w:tcW w:w="580" w:type="dxa"/>
            <w:vAlign w:val="bottom"/>
            <w:tcBorders>
              <w:top w:val="single" w:sz="8" w:color="98A3B8"/>
              <w:bottom w:val="single" w:sz="8" w:color="98A3B8"/>
            </w:tcBorders>
          </w:tcPr>
          <w:p>
            <w:pPr>
              <w:jc w:val="right"/>
              <w:spacing w:after="0"/>
              <w:rPr>
                <w:sz w:val="20"/>
                <w:szCs w:val="20"/>
                <w:color w:val="auto"/>
              </w:rPr>
            </w:pPr>
            <w:r>
              <w:rPr>
                <w:rFonts w:ascii="Arial" w:cs="Arial" w:eastAsia="Arial" w:hAnsi="Arial"/>
                <w:sz w:val="15"/>
                <w:szCs w:val="15"/>
                <w:color w:val="auto"/>
              </w:rPr>
              <w:t>325,737</w:t>
            </w:r>
          </w:p>
        </w:tc>
      </w:tr>
      <w:tr>
        <w:trPr>
          <w:trHeight w:val="395"/>
        </w:trPr>
        <w:tc>
          <w:tcPr>
            <w:tcW w:w="100" w:type="dxa"/>
            <w:vAlign w:val="bottom"/>
            <w:tcBorders>
              <w:bottom w:val="single" w:sz="8" w:color="98A3B8"/>
            </w:tcBorders>
          </w:tcPr>
          <w:p>
            <w:pPr>
              <w:spacing w:after="0"/>
              <w:rPr>
                <w:sz w:val="24"/>
                <w:szCs w:val="24"/>
                <w:color w:val="auto"/>
              </w:rPr>
            </w:pPr>
          </w:p>
        </w:tc>
        <w:tc>
          <w:tcPr>
            <w:tcW w:w="660" w:type="dxa"/>
            <w:vAlign w:val="bottom"/>
            <w:tcBorders>
              <w:bottom w:val="single" w:sz="8" w:color="98A3B8"/>
            </w:tcBorders>
          </w:tcPr>
          <w:p>
            <w:pPr>
              <w:jc w:val="right"/>
              <w:ind w:right="2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00" w:type="dxa"/>
            <w:vAlign w:val="bottom"/>
            <w:tcBorders>
              <w:bottom w:val="single" w:sz="8" w:color="98A3B8"/>
            </w:tcBorders>
          </w:tcPr>
          <w:p>
            <w:pPr>
              <w:spacing w:after="0"/>
              <w:rPr>
                <w:sz w:val="24"/>
                <w:szCs w:val="24"/>
                <w:color w:val="auto"/>
              </w:rPr>
            </w:pPr>
          </w:p>
        </w:tc>
        <w:tc>
          <w:tcPr>
            <w:tcW w:w="660" w:type="dxa"/>
            <w:vAlign w:val="bottom"/>
            <w:tcBorders>
              <w:bottom w:val="single" w:sz="8" w:color="98A3B8"/>
            </w:tcBorders>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80" w:type="dxa"/>
            <w:vAlign w:val="bottom"/>
            <w:tcBorders>
              <w:bottom w:val="single" w:sz="8" w:color="98A3B8"/>
            </w:tcBorders>
          </w:tcPr>
          <w:p>
            <w:pPr>
              <w:spacing w:after="0"/>
              <w:rPr>
                <w:sz w:val="24"/>
                <w:szCs w:val="24"/>
                <w:color w:val="auto"/>
              </w:rPr>
            </w:pPr>
          </w:p>
        </w:tc>
        <w:tc>
          <w:tcPr>
            <w:tcW w:w="58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5,581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98A3B8"/>
            </w:tcBorders>
          </w:tcPr>
          <w:p>
            <w:pPr>
              <w:spacing w:after="0"/>
              <w:rPr>
                <w:sz w:val="24"/>
                <w:szCs w:val="24"/>
                <w:color w:val="auto"/>
              </w:rPr>
            </w:pPr>
          </w:p>
        </w:tc>
        <w:tc>
          <w:tcPr>
            <w:tcW w:w="660" w:type="dxa"/>
            <w:vAlign w:val="bottom"/>
            <w:tcBorders>
              <w:bottom w:val="single" w:sz="8" w:color="98A3B8"/>
            </w:tcBorders>
          </w:tcPr>
          <w:p>
            <w:pPr>
              <w:jc w:val="right"/>
              <w:ind w:right="24"/>
              <w:spacing w:after="0"/>
              <w:rPr>
                <w:sz w:val="20"/>
                <w:szCs w:val="20"/>
                <w:color w:val="auto"/>
              </w:rPr>
            </w:pPr>
            <w:r>
              <w:rPr>
                <w:rFonts w:ascii="Arial" w:cs="Arial" w:eastAsia="Arial" w:hAnsi="Arial"/>
                <w:sz w:val="15"/>
                <w:szCs w:val="15"/>
                <w:color w:val="auto"/>
              </w:rPr>
              <w:t>16,443</w:t>
            </w:r>
          </w:p>
        </w:tc>
        <w:tc>
          <w:tcPr>
            <w:tcW w:w="100" w:type="dxa"/>
            <w:vAlign w:val="bottom"/>
          </w:tcPr>
          <w:p>
            <w:pPr>
              <w:spacing w:after="0"/>
              <w:rPr>
                <w:sz w:val="24"/>
                <w:szCs w:val="24"/>
                <w:color w:val="auto"/>
              </w:rPr>
            </w:pPr>
          </w:p>
        </w:tc>
        <w:tc>
          <w:tcPr>
            <w:tcW w:w="100" w:type="dxa"/>
            <w:vAlign w:val="bottom"/>
            <w:tcBorders>
              <w:bottom w:val="single" w:sz="8" w:color="98A3B8"/>
            </w:tcBorders>
          </w:tcPr>
          <w:p>
            <w:pPr>
              <w:spacing w:after="0"/>
              <w:rPr>
                <w:sz w:val="24"/>
                <w:szCs w:val="24"/>
                <w:color w:val="auto"/>
              </w:rPr>
            </w:pPr>
          </w:p>
        </w:tc>
        <w:tc>
          <w:tcPr>
            <w:tcW w:w="58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6,373</w:t>
            </w:r>
          </w:p>
        </w:tc>
      </w:tr>
      <w:tr>
        <w:trPr>
          <w:trHeight w:val="395"/>
        </w:trPr>
        <w:tc>
          <w:tcPr>
            <w:tcW w:w="100" w:type="dxa"/>
            <w:vAlign w:val="bottom"/>
            <w:tcBorders>
              <w:bottom w:val="single" w:sz="8" w:color="98A3B8"/>
            </w:tcBorders>
          </w:tcPr>
          <w:p>
            <w:pPr>
              <w:spacing w:after="0"/>
              <w:rPr>
                <w:sz w:val="24"/>
                <w:szCs w:val="24"/>
                <w:color w:val="auto"/>
              </w:rPr>
            </w:pPr>
          </w:p>
        </w:tc>
        <w:tc>
          <w:tcPr>
            <w:tcW w:w="660" w:type="dxa"/>
            <w:vAlign w:val="bottom"/>
            <w:tcBorders>
              <w:bottom w:val="single" w:sz="8" w:color="98A3B8"/>
            </w:tcBorders>
          </w:tcPr>
          <w:p>
            <w:pPr>
              <w:jc w:val="right"/>
              <w:ind w:right="24"/>
              <w:spacing w:after="0"/>
              <w:rPr>
                <w:sz w:val="20"/>
                <w:szCs w:val="20"/>
                <w:color w:val="auto"/>
              </w:rPr>
            </w:pPr>
            <w:r>
              <w:rPr>
                <w:rFonts w:ascii="Arial" w:cs="Arial" w:eastAsia="Arial" w:hAnsi="Arial"/>
                <w:sz w:val="15"/>
                <w:szCs w:val="15"/>
                <w:color w:val="auto"/>
              </w:rPr>
              <w:t>69,853</w:t>
            </w:r>
          </w:p>
        </w:tc>
        <w:tc>
          <w:tcPr>
            <w:tcW w:w="100" w:type="dxa"/>
            <w:vAlign w:val="bottom"/>
          </w:tcPr>
          <w:p>
            <w:pPr>
              <w:spacing w:after="0"/>
              <w:rPr>
                <w:sz w:val="24"/>
                <w:szCs w:val="24"/>
                <w:color w:val="auto"/>
              </w:rPr>
            </w:pPr>
          </w:p>
        </w:tc>
        <w:tc>
          <w:tcPr>
            <w:tcW w:w="100" w:type="dxa"/>
            <w:vAlign w:val="bottom"/>
            <w:tcBorders>
              <w:bottom w:val="single" w:sz="8" w:color="98A3B8"/>
            </w:tcBorders>
          </w:tcPr>
          <w:p>
            <w:pPr>
              <w:spacing w:after="0"/>
              <w:rPr>
                <w:sz w:val="24"/>
                <w:szCs w:val="24"/>
                <w:color w:val="auto"/>
              </w:rPr>
            </w:pPr>
          </w:p>
        </w:tc>
        <w:tc>
          <w:tcPr>
            <w:tcW w:w="660" w:type="dxa"/>
            <w:vAlign w:val="bottom"/>
            <w:tcBorders>
              <w:bottom w:val="single" w:sz="8" w:color="98A3B8"/>
            </w:tcBorders>
          </w:tcPr>
          <w:p>
            <w:pPr>
              <w:jc w:val="right"/>
              <w:ind w:right="24"/>
              <w:spacing w:after="0"/>
              <w:rPr>
                <w:sz w:val="20"/>
                <w:szCs w:val="20"/>
                <w:color w:val="auto"/>
              </w:rPr>
            </w:pPr>
            <w:r>
              <w:rPr>
                <w:rFonts w:ascii="Arial" w:cs="Arial" w:eastAsia="Arial" w:hAnsi="Arial"/>
                <w:sz w:val="15"/>
                <w:szCs w:val="15"/>
                <w:color w:val="auto"/>
              </w:rPr>
              <w:t>34,226</w:t>
            </w:r>
          </w:p>
        </w:tc>
        <w:tc>
          <w:tcPr>
            <w:tcW w:w="120" w:type="dxa"/>
            <w:vAlign w:val="bottom"/>
          </w:tcPr>
          <w:p>
            <w:pPr>
              <w:spacing w:after="0"/>
              <w:rPr>
                <w:sz w:val="24"/>
                <w:szCs w:val="24"/>
                <w:color w:val="auto"/>
              </w:rPr>
            </w:pPr>
          </w:p>
        </w:tc>
        <w:tc>
          <w:tcPr>
            <w:tcW w:w="80" w:type="dxa"/>
            <w:vAlign w:val="bottom"/>
            <w:tcBorders>
              <w:bottom w:val="single" w:sz="8" w:color="98A3B8"/>
            </w:tcBorders>
          </w:tcPr>
          <w:p>
            <w:pPr>
              <w:spacing w:after="0"/>
              <w:rPr>
                <w:sz w:val="24"/>
                <w:szCs w:val="24"/>
                <w:color w:val="auto"/>
              </w:rPr>
            </w:pPr>
          </w:p>
        </w:tc>
        <w:tc>
          <w:tcPr>
            <w:tcW w:w="58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33,487</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98A3B8"/>
            </w:tcBorders>
          </w:tcPr>
          <w:p>
            <w:pPr>
              <w:spacing w:after="0"/>
              <w:rPr>
                <w:sz w:val="24"/>
                <w:szCs w:val="24"/>
                <w:color w:val="auto"/>
              </w:rPr>
            </w:pPr>
          </w:p>
        </w:tc>
        <w:tc>
          <w:tcPr>
            <w:tcW w:w="660" w:type="dxa"/>
            <w:vAlign w:val="bottom"/>
            <w:tcBorders>
              <w:bottom w:val="single" w:sz="8" w:color="98A3B8"/>
            </w:tcBorders>
          </w:tcPr>
          <w:p>
            <w:pPr>
              <w:jc w:val="right"/>
              <w:ind w:right="24"/>
              <w:spacing w:after="0"/>
              <w:rPr>
                <w:sz w:val="20"/>
                <w:szCs w:val="20"/>
                <w:color w:val="auto"/>
              </w:rPr>
            </w:pPr>
            <w:r>
              <w:rPr>
                <w:rFonts w:ascii="Arial" w:cs="Arial" w:eastAsia="Arial" w:hAnsi="Arial"/>
                <w:sz w:val="15"/>
                <w:szCs w:val="15"/>
                <w:color w:val="auto"/>
              </w:rPr>
              <w:t>51,266</w:t>
            </w:r>
          </w:p>
        </w:tc>
        <w:tc>
          <w:tcPr>
            <w:tcW w:w="100" w:type="dxa"/>
            <w:vAlign w:val="bottom"/>
          </w:tcPr>
          <w:p>
            <w:pPr>
              <w:spacing w:after="0"/>
              <w:rPr>
                <w:sz w:val="24"/>
                <w:szCs w:val="24"/>
                <w:color w:val="auto"/>
              </w:rPr>
            </w:pPr>
          </w:p>
        </w:tc>
        <w:tc>
          <w:tcPr>
            <w:tcW w:w="100" w:type="dxa"/>
            <w:vAlign w:val="bottom"/>
            <w:tcBorders>
              <w:bottom w:val="single" w:sz="8" w:color="98A3B8"/>
            </w:tcBorders>
          </w:tcPr>
          <w:p>
            <w:pPr>
              <w:spacing w:after="0"/>
              <w:rPr>
                <w:sz w:val="24"/>
                <w:szCs w:val="24"/>
                <w:color w:val="auto"/>
              </w:rPr>
            </w:pPr>
          </w:p>
        </w:tc>
        <w:tc>
          <w:tcPr>
            <w:tcW w:w="58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35,593</w:t>
            </w:r>
          </w:p>
        </w:tc>
      </w:tr>
      <w:tr>
        <w:trPr>
          <w:trHeight w:val="395"/>
        </w:trPr>
        <w:tc>
          <w:tcPr>
            <w:tcW w:w="100" w:type="dxa"/>
            <w:vAlign w:val="bottom"/>
            <w:tcBorders>
              <w:bottom w:val="single" w:sz="8" w:color="98A3B8"/>
            </w:tcBorders>
          </w:tcPr>
          <w:p>
            <w:pPr>
              <w:spacing w:after="0"/>
              <w:rPr>
                <w:sz w:val="24"/>
                <w:szCs w:val="24"/>
                <w:color w:val="auto"/>
              </w:rPr>
            </w:pPr>
          </w:p>
        </w:tc>
        <w:tc>
          <w:tcPr>
            <w:tcW w:w="660" w:type="dxa"/>
            <w:vAlign w:val="bottom"/>
            <w:tcBorders>
              <w:bottom w:val="single" w:sz="8" w:color="98A3B8"/>
            </w:tcBorders>
          </w:tcPr>
          <w:p>
            <w:pPr>
              <w:jc w:val="right"/>
              <w:ind w:right="24"/>
              <w:spacing w:after="0"/>
              <w:rPr>
                <w:sz w:val="20"/>
                <w:szCs w:val="20"/>
                <w:color w:val="auto"/>
              </w:rPr>
            </w:pPr>
            <w:r>
              <w:rPr>
                <w:rFonts w:ascii="Arial" w:cs="Arial" w:eastAsia="Arial" w:hAnsi="Arial"/>
                <w:sz w:val="15"/>
                <w:szCs w:val="15"/>
                <w:color w:val="auto"/>
              </w:rPr>
              <w:t>17,780</w:t>
            </w:r>
          </w:p>
        </w:tc>
        <w:tc>
          <w:tcPr>
            <w:tcW w:w="100" w:type="dxa"/>
            <w:vAlign w:val="bottom"/>
            <w:tcBorders>
              <w:bottom w:val="single" w:sz="8" w:color="98A3B8"/>
            </w:tcBorders>
          </w:tcPr>
          <w:p>
            <w:pPr>
              <w:spacing w:after="0"/>
              <w:rPr>
                <w:sz w:val="24"/>
                <w:szCs w:val="24"/>
                <w:color w:val="auto"/>
              </w:rPr>
            </w:pPr>
          </w:p>
        </w:tc>
        <w:tc>
          <w:tcPr>
            <w:tcW w:w="100" w:type="dxa"/>
            <w:vAlign w:val="bottom"/>
            <w:tcBorders>
              <w:bottom w:val="single" w:sz="8" w:color="98A3B8"/>
            </w:tcBorders>
          </w:tcPr>
          <w:p>
            <w:pPr>
              <w:spacing w:after="0"/>
              <w:rPr>
                <w:sz w:val="24"/>
                <w:szCs w:val="24"/>
                <w:color w:val="auto"/>
              </w:rPr>
            </w:pPr>
          </w:p>
        </w:tc>
        <w:tc>
          <w:tcPr>
            <w:tcW w:w="660" w:type="dxa"/>
            <w:vAlign w:val="bottom"/>
            <w:tcBorders>
              <w:bottom w:val="single" w:sz="8" w:color="98A3B8"/>
            </w:tcBorders>
          </w:tcPr>
          <w:p>
            <w:pPr>
              <w:jc w:val="right"/>
              <w:ind w:right="24"/>
              <w:spacing w:after="0"/>
              <w:rPr>
                <w:sz w:val="20"/>
                <w:szCs w:val="20"/>
                <w:color w:val="auto"/>
              </w:rPr>
            </w:pPr>
            <w:r>
              <w:rPr>
                <w:rFonts w:ascii="Arial" w:cs="Arial" w:eastAsia="Arial" w:hAnsi="Arial"/>
                <w:sz w:val="15"/>
                <w:szCs w:val="15"/>
                <w:color w:val="auto"/>
              </w:rPr>
              <w:t>26,408</w:t>
            </w:r>
          </w:p>
        </w:tc>
        <w:tc>
          <w:tcPr>
            <w:tcW w:w="120" w:type="dxa"/>
            <w:vAlign w:val="bottom"/>
            <w:tcBorders>
              <w:bottom w:val="single" w:sz="8" w:color="98A3B8"/>
            </w:tcBorders>
          </w:tcPr>
          <w:p>
            <w:pPr>
              <w:spacing w:after="0"/>
              <w:rPr>
                <w:sz w:val="24"/>
                <w:szCs w:val="24"/>
                <w:color w:val="auto"/>
              </w:rPr>
            </w:pPr>
          </w:p>
        </w:tc>
        <w:tc>
          <w:tcPr>
            <w:tcW w:w="80" w:type="dxa"/>
            <w:vAlign w:val="bottom"/>
            <w:tcBorders>
              <w:bottom w:val="single" w:sz="8" w:color="98A3B8"/>
            </w:tcBorders>
          </w:tcPr>
          <w:p>
            <w:pPr>
              <w:spacing w:after="0"/>
              <w:rPr>
                <w:sz w:val="24"/>
                <w:szCs w:val="24"/>
                <w:color w:val="auto"/>
              </w:rPr>
            </w:pPr>
          </w:p>
        </w:tc>
        <w:tc>
          <w:tcPr>
            <w:tcW w:w="620" w:type="dxa"/>
            <w:vAlign w:val="bottom"/>
            <w:tcBorders>
              <w:bottom w:val="single" w:sz="8" w:color="98A3B8"/>
            </w:tcBorders>
            <w:gridSpan w:val="2"/>
          </w:tcPr>
          <w:p>
            <w:pPr>
              <w:jc w:val="right"/>
              <w:ind w:right="40"/>
              <w:spacing w:after="0"/>
              <w:rPr>
                <w:sz w:val="20"/>
                <w:szCs w:val="20"/>
                <w:color w:val="auto"/>
              </w:rPr>
            </w:pPr>
            <w:r>
              <w:rPr>
                <w:rFonts w:ascii="Arial" w:cs="Arial" w:eastAsia="Arial" w:hAnsi="Arial"/>
                <w:sz w:val="15"/>
                <w:szCs w:val="15"/>
                <w:color w:val="auto"/>
              </w:rPr>
              <w:t>25,057</w:t>
            </w:r>
          </w:p>
        </w:tc>
        <w:tc>
          <w:tcPr>
            <w:tcW w:w="60" w:type="dxa"/>
            <w:vAlign w:val="bottom"/>
            <w:tcBorders>
              <w:bottom w:val="single" w:sz="8" w:color="98A3B8"/>
            </w:tcBorders>
          </w:tcPr>
          <w:p>
            <w:pPr>
              <w:spacing w:after="0"/>
              <w:rPr>
                <w:sz w:val="24"/>
                <w:szCs w:val="24"/>
                <w:color w:val="auto"/>
              </w:rPr>
            </w:pPr>
          </w:p>
        </w:tc>
        <w:tc>
          <w:tcPr>
            <w:tcW w:w="100" w:type="dxa"/>
            <w:vAlign w:val="bottom"/>
            <w:tcBorders>
              <w:bottom w:val="single" w:sz="8" w:color="98A3B8"/>
            </w:tcBorders>
          </w:tcPr>
          <w:p>
            <w:pPr>
              <w:spacing w:after="0"/>
              <w:rPr>
                <w:sz w:val="24"/>
                <w:szCs w:val="24"/>
                <w:color w:val="auto"/>
              </w:rPr>
            </w:pPr>
          </w:p>
        </w:tc>
        <w:tc>
          <w:tcPr>
            <w:tcW w:w="660" w:type="dxa"/>
            <w:vAlign w:val="bottom"/>
            <w:tcBorders>
              <w:bottom w:val="single" w:sz="8" w:color="98A3B8"/>
            </w:tcBorders>
          </w:tcPr>
          <w:p>
            <w:pPr>
              <w:jc w:val="right"/>
              <w:ind w:right="24"/>
              <w:spacing w:after="0"/>
              <w:rPr>
                <w:sz w:val="20"/>
                <w:szCs w:val="20"/>
                <w:color w:val="auto"/>
              </w:rPr>
            </w:pPr>
            <w:r>
              <w:rPr>
                <w:rFonts w:ascii="Arial" w:cs="Arial" w:eastAsia="Arial" w:hAnsi="Arial"/>
                <w:sz w:val="15"/>
                <w:szCs w:val="15"/>
                <w:color w:val="auto"/>
              </w:rPr>
              <w:t>13,652</w:t>
            </w:r>
          </w:p>
        </w:tc>
        <w:tc>
          <w:tcPr>
            <w:tcW w:w="100" w:type="dxa"/>
            <w:vAlign w:val="bottom"/>
            <w:tcBorders>
              <w:bottom w:val="single" w:sz="8" w:color="98A3B8"/>
            </w:tcBorders>
          </w:tcPr>
          <w:p>
            <w:pPr>
              <w:spacing w:after="0"/>
              <w:rPr>
                <w:sz w:val="24"/>
                <w:szCs w:val="24"/>
                <w:color w:val="auto"/>
              </w:rPr>
            </w:pPr>
          </w:p>
        </w:tc>
        <w:tc>
          <w:tcPr>
            <w:tcW w:w="100" w:type="dxa"/>
            <w:vAlign w:val="bottom"/>
            <w:tcBorders>
              <w:bottom w:val="single" w:sz="8" w:color="98A3B8"/>
            </w:tcBorders>
          </w:tcPr>
          <w:p>
            <w:pPr>
              <w:spacing w:after="0"/>
              <w:rPr>
                <w:sz w:val="24"/>
                <w:szCs w:val="24"/>
                <w:color w:val="auto"/>
              </w:rPr>
            </w:pPr>
          </w:p>
        </w:tc>
        <w:tc>
          <w:tcPr>
            <w:tcW w:w="58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11,188</w:t>
            </w:r>
          </w:p>
        </w:tc>
      </w:tr>
      <w:tr>
        <w:trPr>
          <w:trHeight w:val="633"/>
        </w:trPr>
        <w:tc>
          <w:tcPr>
            <w:tcW w:w="100" w:type="dxa"/>
            <w:vAlign w:val="bottom"/>
            <w:tcBorders>
              <w:bottom w:val="single" w:sz="8" w:color="98A3B8"/>
            </w:tcBorders>
          </w:tcPr>
          <w:p>
            <w:pPr>
              <w:spacing w:after="0"/>
              <w:rPr>
                <w:sz w:val="24"/>
                <w:szCs w:val="24"/>
                <w:color w:val="auto"/>
              </w:rPr>
            </w:pPr>
          </w:p>
        </w:tc>
        <w:tc>
          <w:tcPr>
            <w:tcW w:w="660" w:type="dxa"/>
            <w:vAlign w:val="bottom"/>
            <w:tcBorders>
              <w:bottom w:val="single" w:sz="8" w:color="98A3B8"/>
            </w:tcBorders>
          </w:tcPr>
          <w:p>
            <w:pPr>
              <w:jc w:val="right"/>
              <w:ind w:right="24"/>
              <w:spacing w:after="0"/>
              <w:rPr>
                <w:sz w:val="20"/>
                <w:szCs w:val="20"/>
                <w:color w:val="auto"/>
              </w:rPr>
            </w:pPr>
            <w:r>
              <w:rPr>
                <w:rFonts w:ascii="Arial" w:cs="Arial" w:eastAsia="Arial" w:hAnsi="Arial"/>
                <w:sz w:val="15"/>
                <w:szCs w:val="15"/>
                <w:color w:val="auto"/>
                <w:w w:val="99"/>
              </w:rPr>
              <w:t>238,116</w:t>
            </w:r>
          </w:p>
        </w:tc>
        <w:tc>
          <w:tcPr>
            <w:tcW w:w="100" w:type="dxa"/>
            <w:vAlign w:val="bottom"/>
          </w:tcPr>
          <w:p>
            <w:pPr>
              <w:spacing w:after="0"/>
              <w:rPr>
                <w:sz w:val="24"/>
                <w:szCs w:val="24"/>
                <w:color w:val="auto"/>
              </w:rPr>
            </w:pPr>
          </w:p>
        </w:tc>
        <w:tc>
          <w:tcPr>
            <w:tcW w:w="100" w:type="dxa"/>
            <w:vAlign w:val="bottom"/>
            <w:tcBorders>
              <w:bottom w:val="single" w:sz="8" w:color="98A3B8"/>
            </w:tcBorders>
          </w:tcPr>
          <w:p>
            <w:pPr>
              <w:spacing w:after="0"/>
              <w:rPr>
                <w:sz w:val="24"/>
                <w:szCs w:val="24"/>
                <w:color w:val="auto"/>
              </w:rPr>
            </w:pPr>
          </w:p>
        </w:tc>
        <w:tc>
          <w:tcPr>
            <w:tcW w:w="660" w:type="dxa"/>
            <w:vAlign w:val="bottom"/>
            <w:tcBorders>
              <w:bottom w:val="single" w:sz="8" w:color="98A3B8"/>
            </w:tcBorders>
          </w:tcPr>
          <w:p>
            <w:pPr>
              <w:jc w:val="right"/>
              <w:ind w:right="24"/>
              <w:spacing w:after="0"/>
              <w:rPr>
                <w:sz w:val="20"/>
                <w:szCs w:val="20"/>
                <w:color w:val="auto"/>
              </w:rPr>
            </w:pPr>
            <w:r>
              <w:rPr>
                <w:rFonts w:ascii="Arial" w:cs="Arial" w:eastAsia="Arial" w:hAnsi="Arial"/>
                <w:sz w:val="15"/>
                <w:szCs w:val="15"/>
                <w:color w:val="auto"/>
                <w:w w:val="99"/>
              </w:rPr>
              <w:t>190,096</w:t>
            </w:r>
          </w:p>
        </w:tc>
        <w:tc>
          <w:tcPr>
            <w:tcW w:w="120" w:type="dxa"/>
            <w:vAlign w:val="bottom"/>
          </w:tcPr>
          <w:p>
            <w:pPr>
              <w:spacing w:after="0"/>
              <w:rPr>
                <w:sz w:val="24"/>
                <w:szCs w:val="24"/>
                <w:color w:val="auto"/>
              </w:rPr>
            </w:pPr>
          </w:p>
        </w:tc>
        <w:tc>
          <w:tcPr>
            <w:tcW w:w="80" w:type="dxa"/>
            <w:vAlign w:val="bottom"/>
            <w:tcBorders>
              <w:bottom w:val="single" w:sz="8" w:color="98A3B8"/>
            </w:tcBorders>
          </w:tcPr>
          <w:p>
            <w:pPr>
              <w:spacing w:after="0"/>
              <w:rPr>
                <w:sz w:val="24"/>
                <w:szCs w:val="24"/>
                <w:color w:val="auto"/>
              </w:rPr>
            </w:pPr>
          </w:p>
        </w:tc>
        <w:tc>
          <w:tcPr>
            <w:tcW w:w="58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163,059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98A3B8"/>
            </w:tcBorders>
          </w:tcPr>
          <w:p>
            <w:pPr>
              <w:spacing w:after="0"/>
              <w:rPr>
                <w:sz w:val="24"/>
                <w:szCs w:val="24"/>
                <w:color w:val="auto"/>
              </w:rPr>
            </w:pPr>
          </w:p>
        </w:tc>
        <w:tc>
          <w:tcPr>
            <w:tcW w:w="660" w:type="dxa"/>
            <w:vAlign w:val="bottom"/>
            <w:tcBorders>
              <w:bottom w:val="single" w:sz="8" w:color="98A3B8"/>
            </w:tcBorders>
          </w:tcPr>
          <w:p>
            <w:pPr>
              <w:jc w:val="right"/>
              <w:ind w:right="24"/>
              <w:spacing w:after="0"/>
              <w:rPr>
                <w:sz w:val="20"/>
                <w:szCs w:val="20"/>
                <w:color w:val="auto"/>
              </w:rPr>
            </w:pPr>
            <w:r>
              <w:rPr>
                <w:rFonts w:ascii="Arial" w:cs="Arial" w:eastAsia="Arial" w:hAnsi="Arial"/>
                <w:sz w:val="15"/>
                <w:szCs w:val="15"/>
                <w:color w:val="auto"/>
              </w:rPr>
              <w:t>14,900</w:t>
            </w:r>
          </w:p>
        </w:tc>
        <w:tc>
          <w:tcPr>
            <w:tcW w:w="100" w:type="dxa"/>
            <w:vAlign w:val="bottom"/>
          </w:tcPr>
          <w:p>
            <w:pPr>
              <w:spacing w:after="0"/>
              <w:rPr>
                <w:sz w:val="24"/>
                <w:szCs w:val="24"/>
                <w:color w:val="auto"/>
              </w:rPr>
            </w:pPr>
          </w:p>
        </w:tc>
        <w:tc>
          <w:tcPr>
            <w:tcW w:w="100" w:type="dxa"/>
            <w:vAlign w:val="bottom"/>
            <w:tcBorders>
              <w:bottom w:val="single" w:sz="8" w:color="98A3B8"/>
            </w:tcBorders>
          </w:tcPr>
          <w:p>
            <w:pPr>
              <w:spacing w:after="0"/>
              <w:rPr>
                <w:sz w:val="24"/>
                <w:szCs w:val="24"/>
                <w:color w:val="auto"/>
              </w:rPr>
            </w:pPr>
          </w:p>
        </w:tc>
        <w:tc>
          <w:tcPr>
            <w:tcW w:w="58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6,627</w:t>
            </w:r>
          </w:p>
        </w:tc>
      </w:tr>
      <w:tr>
        <w:trPr>
          <w:trHeight w:val="573"/>
        </w:trPr>
        <w:tc>
          <w:tcPr>
            <w:tcW w:w="100" w:type="dxa"/>
            <w:vAlign w:val="bottom"/>
            <w:tcBorders>
              <w:bottom w:val="single" w:sz="8" w:color="98A3B8"/>
            </w:tcBorders>
          </w:tcPr>
          <w:p>
            <w:pPr>
              <w:spacing w:after="0"/>
              <w:rPr>
                <w:sz w:val="24"/>
                <w:szCs w:val="24"/>
                <w:color w:val="auto"/>
              </w:rPr>
            </w:pPr>
          </w:p>
        </w:tc>
        <w:tc>
          <w:tcPr>
            <w:tcW w:w="660" w:type="dxa"/>
            <w:vAlign w:val="bottom"/>
            <w:tcBorders>
              <w:bottom w:val="single" w:sz="8" w:color="98A3B8"/>
            </w:tcBorders>
          </w:tcPr>
          <w:p>
            <w:pPr>
              <w:jc w:val="right"/>
              <w:ind w:right="24"/>
              <w:spacing w:after="0"/>
              <w:rPr>
                <w:sz w:val="20"/>
                <w:szCs w:val="20"/>
                <w:color w:val="auto"/>
              </w:rPr>
            </w:pPr>
            <w:r>
              <w:rPr>
                <w:rFonts w:ascii="Arial" w:cs="Arial" w:eastAsia="Arial" w:hAnsi="Arial"/>
                <w:sz w:val="15"/>
                <w:szCs w:val="15"/>
                <w:color w:val="auto"/>
              </w:rPr>
              <w:t>44,009</w:t>
            </w:r>
          </w:p>
        </w:tc>
        <w:tc>
          <w:tcPr>
            <w:tcW w:w="100" w:type="dxa"/>
            <w:vAlign w:val="bottom"/>
          </w:tcPr>
          <w:p>
            <w:pPr>
              <w:spacing w:after="0"/>
              <w:rPr>
                <w:sz w:val="24"/>
                <w:szCs w:val="24"/>
                <w:color w:val="auto"/>
              </w:rPr>
            </w:pPr>
          </w:p>
        </w:tc>
        <w:tc>
          <w:tcPr>
            <w:tcW w:w="100" w:type="dxa"/>
            <w:vAlign w:val="bottom"/>
            <w:tcBorders>
              <w:bottom w:val="single" w:sz="8" w:color="98A3B8"/>
            </w:tcBorders>
          </w:tcPr>
          <w:p>
            <w:pPr>
              <w:spacing w:after="0"/>
              <w:rPr>
                <w:sz w:val="24"/>
                <w:szCs w:val="24"/>
                <w:color w:val="auto"/>
              </w:rPr>
            </w:pPr>
          </w:p>
        </w:tc>
        <w:tc>
          <w:tcPr>
            <w:tcW w:w="660" w:type="dxa"/>
            <w:vAlign w:val="bottom"/>
            <w:tcBorders>
              <w:bottom w:val="single" w:sz="8" w:color="98A3B8"/>
            </w:tcBorders>
          </w:tcPr>
          <w:p>
            <w:pPr>
              <w:jc w:val="right"/>
              <w:ind w:right="24"/>
              <w:spacing w:after="0"/>
              <w:rPr>
                <w:sz w:val="20"/>
                <w:szCs w:val="20"/>
                <w:color w:val="auto"/>
              </w:rPr>
            </w:pPr>
            <w:r>
              <w:rPr>
                <w:rFonts w:ascii="Arial" w:cs="Arial" w:eastAsia="Arial" w:hAnsi="Arial"/>
                <w:sz w:val="15"/>
                <w:szCs w:val="15"/>
                <w:color w:val="auto"/>
              </w:rPr>
              <w:t>15,844</w:t>
            </w:r>
          </w:p>
        </w:tc>
        <w:tc>
          <w:tcPr>
            <w:tcW w:w="120" w:type="dxa"/>
            <w:vAlign w:val="bottom"/>
          </w:tcPr>
          <w:p>
            <w:pPr>
              <w:spacing w:after="0"/>
              <w:rPr>
                <w:sz w:val="24"/>
                <w:szCs w:val="24"/>
                <w:color w:val="auto"/>
              </w:rPr>
            </w:pPr>
          </w:p>
        </w:tc>
        <w:tc>
          <w:tcPr>
            <w:tcW w:w="80" w:type="dxa"/>
            <w:vAlign w:val="bottom"/>
            <w:tcBorders>
              <w:bottom w:val="single" w:sz="8" w:color="98A3B8"/>
            </w:tcBorders>
          </w:tcPr>
          <w:p>
            <w:pPr>
              <w:spacing w:after="0"/>
              <w:rPr>
                <w:sz w:val="24"/>
                <w:szCs w:val="24"/>
                <w:color w:val="auto"/>
              </w:rPr>
            </w:pPr>
          </w:p>
        </w:tc>
        <w:tc>
          <w:tcPr>
            <w:tcW w:w="58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123,253</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98A3B8"/>
            </w:tcBorders>
          </w:tcPr>
          <w:p>
            <w:pPr>
              <w:spacing w:after="0"/>
              <w:rPr>
                <w:sz w:val="24"/>
                <w:szCs w:val="24"/>
                <w:color w:val="auto"/>
              </w:rPr>
            </w:pPr>
          </w:p>
        </w:tc>
        <w:tc>
          <w:tcPr>
            <w:tcW w:w="660" w:type="dxa"/>
            <w:vAlign w:val="bottom"/>
            <w:tcBorders>
              <w:bottom w:val="single" w:sz="8" w:color="98A3B8"/>
            </w:tcBorders>
          </w:tcPr>
          <w:p>
            <w:pPr>
              <w:jc w:val="right"/>
              <w:ind w:right="24"/>
              <w:spacing w:after="0"/>
              <w:rPr>
                <w:sz w:val="20"/>
                <w:szCs w:val="20"/>
                <w:color w:val="auto"/>
              </w:rPr>
            </w:pPr>
            <w:r>
              <w:rPr>
                <w:rFonts w:ascii="Arial" w:cs="Arial" w:eastAsia="Arial" w:hAnsi="Arial"/>
                <w:sz w:val="15"/>
                <w:szCs w:val="15"/>
                <w:color w:val="auto"/>
              </w:rPr>
              <w:t>3,601</w:t>
            </w:r>
          </w:p>
        </w:tc>
        <w:tc>
          <w:tcPr>
            <w:tcW w:w="100" w:type="dxa"/>
            <w:vAlign w:val="bottom"/>
          </w:tcPr>
          <w:p>
            <w:pPr>
              <w:spacing w:after="0"/>
              <w:rPr>
                <w:sz w:val="24"/>
                <w:szCs w:val="24"/>
                <w:color w:val="auto"/>
              </w:rPr>
            </w:pPr>
          </w:p>
        </w:tc>
        <w:tc>
          <w:tcPr>
            <w:tcW w:w="100" w:type="dxa"/>
            <w:vAlign w:val="bottom"/>
            <w:tcBorders>
              <w:bottom w:val="single" w:sz="8" w:color="98A3B8"/>
            </w:tcBorders>
          </w:tcPr>
          <w:p>
            <w:pPr>
              <w:spacing w:after="0"/>
              <w:rPr>
                <w:sz w:val="24"/>
                <w:szCs w:val="24"/>
                <w:color w:val="auto"/>
              </w:rPr>
            </w:pPr>
          </w:p>
        </w:tc>
        <w:tc>
          <w:tcPr>
            <w:tcW w:w="58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31,264</w:t>
            </w:r>
          </w:p>
        </w:tc>
      </w:tr>
      <w:tr>
        <w:trPr>
          <w:trHeight w:val="217"/>
        </w:trPr>
        <w:tc>
          <w:tcPr>
            <w:tcW w:w="100" w:type="dxa"/>
            <w:vAlign w:val="bottom"/>
            <w:tcBorders>
              <w:bottom w:val="single" w:sz="8" w:color="98A3B8"/>
            </w:tcBorders>
          </w:tcPr>
          <w:p>
            <w:pPr>
              <w:spacing w:after="0"/>
              <w:rPr>
                <w:sz w:val="18"/>
                <w:szCs w:val="18"/>
                <w:color w:val="auto"/>
              </w:rPr>
            </w:pPr>
          </w:p>
        </w:tc>
        <w:tc>
          <w:tcPr>
            <w:tcW w:w="660" w:type="dxa"/>
            <w:vAlign w:val="bottom"/>
            <w:tcBorders>
              <w:bottom w:val="single" w:sz="8" w:color="98A3B8"/>
            </w:tcBorders>
          </w:tcPr>
          <w:p>
            <w:pPr>
              <w:jc w:val="right"/>
              <w:ind w:right="2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00" w:type="dxa"/>
            <w:vAlign w:val="bottom"/>
            <w:tcBorders>
              <w:bottom w:val="single" w:sz="8" w:color="98A3B8"/>
            </w:tcBorders>
          </w:tcPr>
          <w:p>
            <w:pPr>
              <w:spacing w:after="0"/>
              <w:rPr>
                <w:sz w:val="18"/>
                <w:szCs w:val="18"/>
                <w:color w:val="auto"/>
              </w:rPr>
            </w:pPr>
          </w:p>
        </w:tc>
        <w:tc>
          <w:tcPr>
            <w:tcW w:w="660" w:type="dxa"/>
            <w:vAlign w:val="bottom"/>
            <w:tcBorders>
              <w:bottom w:val="single" w:sz="8" w:color="98A3B8"/>
            </w:tcBorders>
          </w:tcPr>
          <w:p>
            <w:pPr>
              <w:jc w:val="right"/>
              <w:ind w:right="24"/>
              <w:spacing w:after="0"/>
              <w:rPr>
                <w:sz w:val="20"/>
                <w:szCs w:val="20"/>
                <w:color w:val="auto"/>
              </w:rPr>
            </w:pPr>
            <w:r>
              <w:rPr>
                <w:rFonts w:ascii="Arial" w:cs="Arial" w:eastAsia="Arial" w:hAnsi="Arial"/>
                <w:sz w:val="15"/>
                <w:szCs w:val="15"/>
                <w:color w:val="auto"/>
              </w:rPr>
              <w:t>40,078</w:t>
            </w:r>
          </w:p>
        </w:tc>
        <w:tc>
          <w:tcPr>
            <w:tcW w:w="120" w:type="dxa"/>
            <w:vAlign w:val="bottom"/>
          </w:tcPr>
          <w:p>
            <w:pPr>
              <w:spacing w:after="0"/>
              <w:rPr>
                <w:sz w:val="18"/>
                <w:szCs w:val="18"/>
                <w:color w:val="auto"/>
              </w:rPr>
            </w:pPr>
          </w:p>
        </w:tc>
        <w:tc>
          <w:tcPr>
            <w:tcW w:w="80" w:type="dxa"/>
            <w:vAlign w:val="bottom"/>
            <w:tcBorders>
              <w:bottom w:val="single" w:sz="8" w:color="98A3B8"/>
            </w:tcBorders>
          </w:tcPr>
          <w:p>
            <w:pPr>
              <w:spacing w:after="0"/>
              <w:rPr>
                <w:sz w:val="18"/>
                <w:szCs w:val="18"/>
                <w:color w:val="auto"/>
              </w:rPr>
            </w:pPr>
          </w:p>
        </w:tc>
        <w:tc>
          <w:tcPr>
            <w:tcW w:w="58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67,446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98A3B8"/>
            </w:tcBorders>
          </w:tcPr>
          <w:p>
            <w:pPr>
              <w:spacing w:after="0"/>
              <w:rPr>
                <w:sz w:val="18"/>
                <w:szCs w:val="18"/>
                <w:color w:val="auto"/>
              </w:rPr>
            </w:pPr>
          </w:p>
        </w:tc>
        <w:tc>
          <w:tcPr>
            <w:tcW w:w="66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(2,305)</w:t>
            </w:r>
          </w:p>
        </w:tc>
        <w:tc>
          <w:tcPr>
            <w:tcW w:w="100" w:type="dxa"/>
            <w:vAlign w:val="bottom"/>
          </w:tcPr>
          <w:p>
            <w:pPr>
              <w:spacing w:after="0"/>
              <w:rPr>
                <w:sz w:val="18"/>
                <w:szCs w:val="18"/>
                <w:color w:val="auto"/>
              </w:rPr>
            </w:pPr>
          </w:p>
        </w:tc>
        <w:tc>
          <w:tcPr>
            <w:tcW w:w="100" w:type="dxa"/>
            <w:vAlign w:val="bottom"/>
            <w:tcBorders>
              <w:bottom w:val="single" w:sz="8" w:color="98A3B8"/>
            </w:tcBorders>
          </w:tcPr>
          <w:p>
            <w:pPr>
              <w:spacing w:after="0"/>
              <w:rPr>
                <w:sz w:val="18"/>
                <w:szCs w:val="18"/>
                <w:color w:val="auto"/>
              </w:rPr>
            </w:pPr>
          </w:p>
        </w:tc>
        <w:tc>
          <w:tcPr>
            <w:tcW w:w="58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w:t>
            </w:r>
          </w:p>
        </w:tc>
      </w:tr>
      <w:tr>
        <w:trPr>
          <w:trHeight w:val="217"/>
        </w:trPr>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(10,387)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(19,226)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(2,150)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5,789</w:t>
            </w:r>
          </w:p>
        </w:tc>
      </w:tr>
      <w:tr>
        <w:trPr>
          <w:trHeight w:val="217"/>
        </w:trPr>
        <w:tc>
          <w:tcPr>
            <w:tcW w:w="100" w:type="dxa"/>
            <w:vAlign w:val="bottom"/>
            <w:tcBorders>
              <w:top w:val="single" w:sz="8" w:color="98A3B8"/>
              <w:bottom w:val="single" w:sz="8" w:color="98A3B8"/>
            </w:tcBorders>
          </w:tcPr>
          <w:p>
            <w:pPr>
              <w:spacing w:after="0"/>
              <w:rPr>
                <w:sz w:val="18"/>
                <w:szCs w:val="18"/>
                <w:color w:val="auto"/>
              </w:rPr>
            </w:pPr>
          </w:p>
        </w:tc>
        <w:tc>
          <w:tcPr>
            <w:tcW w:w="660" w:type="dxa"/>
            <w:vAlign w:val="bottom"/>
            <w:tcBorders>
              <w:top w:val="single" w:sz="8" w:color="98A3B8"/>
              <w:bottom w:val="single" w:sz="8" w:color="98A3B8"/>
            </w:tcBorders>
          </w:tcPr>
          <w:p>
            <w:pPr>
              <w:jc w:val="right"/>
              <w:ind w:right="24"/>
              <w:spacing w:after="0"/>
              <w:rPr>
                <w:sz w:val="20"/>
                <w:szCs w:val="20"/>
                <w:color w:val="auto"/>
              </w:rPr>
            </w:pPr>
            <w:r>
              <w:rPr>
                <w:rFonts w:ascii="Arial" w:cs="Arial" w:eastAsia="Arial" w:hAnsi="Arial"/>
                <w:sz w:val="15"/>
                <w:szCs w:val="15"/>
                <w:color w:val="auto"/>
              </w:rPr>
              <w:t>2,027</w:t>
            </w:r>
          </w:p>
        </w:tc>
        <w:tc>
          <w:tcPr>
            <w:tcW w:w="100" w:type="dxa"/>
            <w:vAlign w:val="bottom"/>
          </w:tcPr>
          <w:p>
            <w:pPr>
              <w:spacing w:after="0"/>
              <w:rPr>
                <w:sz w:val="18"/>
                <w:szCs w:val="18"/>
                <w:color w:val="auto"/>
              </w:rPr>
            </w:pPr>
          </w:p>
        </w:tc>
        <w:tc>
          <w:tcPr>
            <w:tcW w:w="100" w:type="dxa"/>
            <w:vAlign w:val="bottom"/>
            <w:tcBorders>
              <w:top w:val="single" w:sz="8" w:color="98A3B8"/>
              <w:bottom w:val="single" w:sz="8" w:color="98A3B8"/>
            </w:tcBorders>
          </w:tcPr>
          <w:p>
            <w:pPr>
              <w:spacing w:after="0"/>
              <w:rPr>
                <w:sz w:val="18"/>
                <w:szCs w:val="18"/>
                <w:color w:val="auto"/>
              </w:rPr>
            </w:pPr>
          </w:p>
        </w:tc>
        <w:tc>
          <w:tcPr>
            <w:tcW w:w="660" w:type="dxa"/>
            <w:vAlign w:val="bottom"/>
            <w:tcBorders>
              <w:top w:val="single" w:sz="8" w:color="98A3B8"/>
              <w:bottom w:val="single" w:sz="8" w:color="98A3B8"/>
            </w:tcBorders>
          </w:tcPr>
          <w:p>
            <w:pPr>
              <w:jc w:val="right"/>
              <w:ind w:right="24"/>
              <w:spacing w:after="0"/>
              <w:rPr>
                <w:sz w:val="20"/>
                <w:szCs w:val="20"/>
                <w:color w:val="auto"/>
              </w:rPr>
            </w:pPr>
            <w:r>
              <w:rPr>
                <w:rFonts w:ascii="Arial" w:cs="Arial" w:eastAsia="Arial" w:hAnsi="Arial"/>
                <w:sz w:val="15"/>
                <w:szCs w:val="15"/>
                <w:color w:val="auto"/>
              </w:rPr>
              <w:t>2,036</w:t>
            </w:r>
          </w:p>
        </w:tc>
        <w:tc>
          <w:tcPr>
            <w:tcW w:w="120" w:type="dxa"/>
            <w:vAlign w:val="bottom"/>
          </w:tcPr>
          <w:p>
            <w:pPr>
              <w:spacing w:after="0"/>
              <w:rPr>
                <w:sz w:val="18"/>
                <w:szCs w:val="18"/>
                <w:color w:val="auto"/>
              </w:rPr>
            </w:pPr>
          </w:p>
        </w:tc>
        <w:tc>
          <w:tcPr>
            <w:tcW w:w="80" w:type="dxa"/>
            <w:vAlign w:val="bottom"/>
            <w:tcBorders>
              <w:top w:val="single" w:sz="8" w:color="98A3B8"/>
              <w:bottom w:val="single" w:sz="8" w:color="98A3B8"/>
            </w:tcBorders>
          </w:tcPr>
          <w:p>
            <w:pPr>
              <w:spacing w:after="0"/>
              <w:rPr>
                <w:sz w:val="18"/>
                <w:szCs w:val="18"/>
                <w:color w:val="auto"/>
              </w:rPr>
            </w:pPr>
          </w:p>
        </w:tc>
        <w:tc>
          <w:tcPr>
            <w:tcW w:w="580" w:type="dxa"/>
            <w:vAlign w:val="bottom"/>
            <w:tcBorders>
              <w:top w:val="single" w:sz="8" w:color="98A3B8"/>
              <w:bottom w:val="single" w:sz="8" w:color="98A3B8"/>
            </w:tcBorders>
          </w:tcPr>
          <w:p>
            <w:pPr>
              <w:jc w:val="right"/>
              <w:spacing w:after="0"/>
              <w:rPr>
                <w:sz w:val="20"/>
                <w:szCs w:val="20"/>
                <w:color w:val="auto"/>
              </w:rPr>
            </w:pPr>
            <w:r>
              <w:rPr>
                <w:rFonts w:ascii="Arial" w:cs="Arial" w:eastAsia="Arial" w:hAnsi="Arial"/>
                <w:sz w:val="15"/>
                <w:szCs w:val="15"/>
                <w:color w:val="auto"/>
              </w:rPr>
              <w:t>2,045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98A3B8"/>
              <w:bottom w:val="single" w:sz="8" w:color="98A3B8"/>
            </w:tcBorders>
          </w:tcPr>
          <w:p>
            <w:pPr>
              <w:spacing w:after="0"/>
              <w:rPr>
                <w:sz w:val="18"/>
                <w:szCs w:val="18"/>
                <w:color w:val="auto"/>
              </w:rPr>
            </w:pPr>
          </w:p>
        </w:tc>
        <w:tc>
          <w:tcPr>
            <w:tcW w:w="660" w:type="dxa"/>
            <w:vAlign w:val="bottom"/>
            <w:tcBorders>
              <w:top w:val="single" w:sz="8" w:color="98A3B8"/>
              <w:bottom w:val="single" w:sz="8" w:color="98A3B8"/>
            </w:tcBorders>
          </w:tcPr>
          <w:p>
            <w:pPr>
              <w:jc w:val="right"/>
              <w:ind w:right="24"/>
              <w:spacing w:after="0"/>
              <w:rPr>
                <w:sz w:val="20"/>
                <w:szCs w:val="20"/>
                <w:color w:val="auto"/>
              </w:rPr>
            </w:pPr>
            <w:r>
              <w:rPr>
                <w:rFonts w:ascii="Arial" w:cs="Arial" w:eastAsia="Arial" w:hAnsi="Arial"/>
                <w:sz w:val="15"/>
                <w:szCs w:val="15"/>
                <w:color w:val="auto"/>
              </w:rPr>
              <w:t>1,509</w:t>
            </w:r>
          </w:p>
        </w:tc>
        <w:tc>
          <w:tcPr>
            <w:tcW w:w="100" w:type="dxa"/>
            <w:vAlign w:val="bottom"/>
          </w:tcPr>
          <w:p>
            <w:pPr>
              <w:spacing w:after="0"/>
              <w:rPr>
                <w:sz w:val="18"/>
                <w:szCs w:val="18"/>
                <w:color w:val="auto"/>
              </w:rPr>
            </w:pPr>
          </w:p>
        </w:tc>
        <w:tc>
          <w:tcPr>
            <w:tcW w:w="100" w:type="dxa"/>
            <w:vAlign w:val="bottom"/>
            <w:tcBorders>
              <w:top w:val="single" w:sz="8" w:color="98A3B8"/>
              <w:bottom w:val="single" w:sz="8" w:color="98A3B8"/>
            </w:tcBorders>
          </w:tcPr>
          <w:p>
            <w:pPr>
              <w:spacing w:after="0"/>
              <w:rPr>
                <w:sz w:val="18"/>
                <w:szCs w:val="18"/>
                <w:color w:val="auto"/>
              </w:rPr>
            </w:pPr>
          </w:p>
        </w:tc>
        <w:tc>
          <w:tcPr>
            <w:tcW w:w="580" w:type="dxa"/>
            <w:vAlign w:val="bottom"/>
            <w:tcBorders>
              <w:top w:val="single" w:sz="8" w:color="98A3B8"/>
              <w:bottom w:val="single" w:sz="8" w:color="98A3B8"/>
            </w:tcBorders>
          </w:tcPr>
          <w:p>
            <w:pPr>
              <w:jc w:val="right"/>
              <w:spacing w:after="0"/>
              <w:rPr>
                <w:sz w:val="20"/>
                <w:szCs w:val="20"/>
                <w:color w:val="auto"/>
              </w:rPr>
            </w:pPr>
            <w:r>
              <w:rPr>
                <w:rFonts w:ascii="Arial" w:cs="Arial" w:eastAsia="Arial" w:hAnsi="Arial"/>
                <w:sz w:val="15"/>
                <w:szCs w:val="15"/>
                <w:color w:val="auto"/>
              </w:rPr>
              <w:t>940</w:t>
            </w:r>
          </w:p>
        </w:tc>
      </w:tr>
      <w:tr>
        <w:trPr>
          <w:trHeight w:val="573"/>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24"/>
              <w:spacing w:after="0"/>
              <w:rPr>
                <w:sz w:val="20"/>
                <w:szCs w:val="20"/>
                <w:color w:val="auto"/>
              </w:rPr>
            </w:pPr>
            <w:r>
              <w:rPr>
                <w:rFonts w:ascii="Arial" w:cs="Arial" w:eastAsia="Arial" w:hAnsi="Arial"/>
                <w:sz w:val="15"/>
                <w:szCs w:val="15"/>
                <w:color w:val="auto"/>
                <w:w w:val="99"/>
              </w:rPr>
              <w:t>869,855</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4"/>
              <w:spacing w:after="0"/>
              <w:rPr>
                <w:sz w:val="20"/>
                <w:szCs w:val="20"/>
                <w:color w:val="auto"/>
              </w:rPr>
            </w:pPr>
            <w:r>
              <w:rPr>
                <w:rFonts w:ascii="Arial" w:cs="Arial" w:eastAsia="Arial" w:hAnsi="Arial"/>
                <w:sz w:val="15"/>
                <w:szCs w:val="15"/>
                <w:color w:val="auto"/>
                <w:w w:val="99"/>
              </w:rPr>
              <w:t>661,825</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583,036</w:t>
            </w:r>
          </w:p>
        </w:tc>
        <w:tc>
          <w:tcPr>
            <w:tcW w:w="4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4"/>
              <w:spacing w:after="0"/>
              <w:rPr>
                <w:sz w:val="20"/>
                <w:szCs w:val="20"/>
                <w:color w:val="auto"/>
              </w:rPr>
            </w:pPr>
            <w:r>
              <w:rPr>
                <w:rFonts w:ascii="Arial" w:cs="Arial" w:eastAsia="Arial" w:hAnsi="Arial"/>
                <w:sz w:val="15"/>
                <w:szCs w:val="15"/>
                <w:color w:val="auto"/>
                <w:w w:val="99"/>
              </w:rPr>
              <w:t>491,597</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490,255</w:t>
            </w:r>
          </w:p>
        </w:tc>
      </w:tr>
      <w:tr>
        <w:trPr>
          <w:trHeight w:val="395"/>
        </w:trPr>
        <w:tc>
          <w:tcPr>
            <w:tcW w:w="100" w:type="dxa"/>
            <w:vAlign w:val="bottom"/>
            <w:tcBorders>
              <w:top w:val="single" w:sz="8" w:color="98A3B8"/>
              <w:bottom w:val="single" w:sz="8" w:color="98A3B8"/>
            </w:tcBorders>
          </w:tcPr>
          <w:p>
            <w:pPr>
              <w:spacing w:after="0"/>
              <w:rPr>
                <w:sz w:val="24"/>
                <w:szCs w:val="24"/>
                <w:color w:val="auto"/>
              </w:rPr>
            </w:pPr>
          </w:p>
        </w:tc>
        <w:tc>
          <w:tcPr>
            <w:tcW w:w="660" w:type="dxa"/>
            <w:vAlign w:val="bottom"/>
            <w:tcBorders>
              <w:top w:val="single" w:sz="8" w:color="98A3B8"/>
              <w:bottom w:val="single" w:sz="8" w:color="98A3B8"/>
            </w:tcBorders>
          </w:tcPr>
          <w:p>
            <w:pPr>
              <w:jc w:val="right"/>
              <w:ind w:right="24"/>
              <w:spacing w:after="0"/>
              <w:rPr>
                <w:sz w:val="20"/>
                <w:szCs w:val="20"/>
                <w:color w:val="auto"/>
              </w:rPr>
            </w:pPr>
            <w:r>
              <w:rPr>
                <w:rFonts w:ascii="Arial" w:cs="Arial" w:eastAsia="Arial" w:hAnsi="Arial"/>
                <w:sz w:val="15"/>
                <w:szCs w:val="15"/>
                <w:color w:val="auto"/>
                <w:w w:val="99"/>
              </w:rPr>
              <w:t>126,905</w:t>
            </w:r>
          </w:p>
        </w:tc>
        <w:tc>
          <w:tcPr>
            <w:tcW w:w="100" w:type="dxa"/>
            <w:vAlign w:val="bottom"/>
          </w:tcPr>
          <w:p>
            <w:pPr>
              <w:spacing w:after="0"/>
              <w:rPr>
                <w:sz w:val="24"/>
                <w:szCs w:val="24"/>
                <w:color w:val="auto"/>
              </w:rPr>
            </w:pPr>
          </w:p>
        </w:tc>
        <w:tc>
          <w:tcPr>
            <w:tcW w:w="100" w:type="dxa"/>
            <w:vAlign w:val="bottom"/>
            <w:tcBorders>
              <w:top w:val="single" w:sz="8" w:color="98A3B8"/>
            </w:tcBorders>
          </w:tcPr>
          <w:p>
            <w:pPr>
              <w:spacing w:after="0"/>
              <w:rPr>
                <w:sz w:val="24"/>
                <w:szCs w:val="24"/>
                <w:color w:val="auto"/>
              </w:rPr>
            </w:pPr>
          </w:p>
        </w:tc>
        <w:tc>
          <w:tcPr>
            <w:tcW w:w="660" w:type="dxa"/>
            <w:vAlign w:val="bottom"/>
            <w:tcBorders>
              <w:top w:val="single" w:sz="8" w:color="98A3B8"/>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98A3B8"/>
            </w:tcBorders>
          </w:tcPr>
          <w:p>
            <w:pPr>
              <w:spacing w:after="0"/>
              <w:rPr>
                <w:sz w:val="24"/>
                <w:szCs w:val="24"/>
                <w:color w:val="auto"/>
              </w:rPr>
            </w:pPr>
          </w:p>
        </w:tc>
        <w:tc>
          <w:tcPr>
            <w:tcW w:w="580" w:type="dxa"/>
            <w:vAlign w:val="bottom"/>
            <w:tcBorders>
              <w:top w:val="single" w:sz="8" w:color="98A3B8"/>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98A3B8"/>
            </w:tcBorders>
          </w:tcPr>
          <w:p>
            <w:pPr>
              <w:spacing w:after="0"/>
              <w:rPr>
                <w:sz w:val="24"/>
                <w:szCs w:val="24"/>
                <w:color w:val="auto"/>
              </w:rPr>
            </w:pPr>
          </w:p>
        </w:tc>
        <w:tc>
          <w:tcPr>
            <w:tcW w:w="660" w:type="dxa"/>
            <w:vAlign w:val="bottom"/>
            <w:tcBorders>
              <w:top w:val="single" w:sz="8" w:color="98A3B8"/>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98A3B8"/>
              <w:bottom w:val="single" w:sz="8" w:color="98A3B8"/>
            </w:tcBorders>
          </w:tcPr>
          <w:p>
            <w:pPr>
              <w:spacing w:after="0"/>
              <w:rPr>
                <w:sz w:val="24"/>
                <w:szCs w:val="24"/>
                <w:color w:val="auto"/>
              </w:rPr>
            </w:pPr>
          </w:p>
        </w:tc>
        <w:tc>
          <w:tcPr>
            <w:tcW w:w="580" w:type="dxa"/>
            <w:vAlign w:val="bottom"/>
            <w:tcBorders>
              <w:top w:val="single" w:sz="8" w:color="98A3B8"/>
              <w:bottom w:val="single" w:sz="8" w:color="98A3B8"/>
            </w:tcBorders>
          </w:tcPr>
          <w:p>
            <w:pPr>
              <w:jc w:val="right"/>
              <w:spacing w:after="0"/>
              <w:rPr>
                <w:sz w:val="20"/>
                <w:szCs w:val="20"/>
                <w:color w:val="auto"/>
              </w:rPr>
            </w:pPr>
            <w:r>
              <w:rPr>
                <w:rFonts w:ascii="Arial" w:cs="Arial" w:eastAsia="Arial" w:hAnsi="Arial"/>
                <w:sz w:val="15"/>
                <w:szCs w:val="15"/>
                <w:color w:val="auto"/>
              </w:rPr>
              <w:t>—</w:t>
            </w:r>
          </w:p>
        </w:tc>
      </w:tr>
      <w:tr>
        <w:trPr>
          <w:trHeight w:val="644"/>
        </w:trPr>
        <w:tc>
          <w:tcPr>
            <w:tcW w:w="100" w:type="dxa"/>
            <w:vAlign w:val="bottom"/>
            <w:tcBorders>
              <w:bottom w:val="single" w:sz="8" w:color="98A3B8"/>
            </w:tcBorders>
          </w:tcPr>
          <w:p>
            <w:pPr>
              <w:spacing w:after="0"/>
              <w:rPr>
                <w:sz w:val="24"/>
                <w:szCs w:val="24"/>
                <w:color w:val="auto"/>
              </w:rPr>
            </w:pPr>
          </w:p>
        </w:tc>
        <w:tc>
          <w:tcPr>
            <w:tcW w:w="660" w:type="dxa"/>
            <w:vAlign w:val="bottom"/>
            <w:tcBorders>
              <w:bottom w:val="single" w:sz="8" w:color="98A3B8"/>
            </w:tcBorders>
          </w:tcPr>
          <w:p>
            <w:pPr>
              <w:jc w:val="right"/>
              <w:ind w:right="2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98A3B8"/>
            </w:tcBorders>
          </w:tcPr>
          <w:p>
            <w:pPr>
              <w:spacing w:after="0"/>
              <w:rPr>
                <w:sz w:val="24"/>
                <w:szCs w:val="24"/>
                <w:color w:val="auto"/>
              </w:rPr>
            </w:pPr>
          </w:p>
        </w:tc>
        <w:tc>
          <w:tcPr>
            <w:tcW w:w="58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67,797</w:t>
            </w:r>
          </w:p>
        </w:tc>
      </w:tr>
      <w:tr>
        <w:trPr>
          <w:trHeight w:val="751"/>
        </w:trPr>
        <w:tc>
          <w:tcPr>
            <w:tcW w:w="1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98A3B8"/>
            </w:tcBorders>
          </w:tcPr>
          <w:p>
            <w:pPr>
              <w:jc w:val="right"/>
              <w:ind w:right="24"/>
              <w:spacing w:after="0"/>
              <w:rPr>
                <w:sz w:val="20"/>
                <w:szCs w:val="20"/>
                <w:color w:val="auto"/>
              </w:rPr>
            </w:pPr>
            <w:r>
              <w:rPr>
                <w:rFonts w:ascii="Arial" w:cs="Arial" w:eastAsia="Arial" w:hAnsi="Arial"/>
                <w:sz w:val="15"/>
                <w:szCs w:val="15"/>
                <w:color w:val="auto"/>
                <w:w w:val="99"/>
              </w:rPr>
              <w:t>742,950</w:t>
            </w:r>
          </w:p>
        </w:tc>
        <w:tc>
          <w:tcPr>
            <w:tcW w:w="100" w:type="dxa"/>
            <w:vAlign w:val="bottom"/>
          </w:tcPr>
          <w:p>
            <w:pPr>
              <w:spacing w:after="0"/>
              <w:rPr>
                <w:sz w:val="24"/>
                <w:szCs w:val="24"/>
                <w:color w:val="auto"/>
              </w:rPr>
            </w:pPr>
          </w:p>
        </w:tc>
        <w:tc>
          <w:tcPr>
            <w:tcW w:w="100" w:type="dxa"/>
            <w:vAlign w:val="bottom"/>
            <w:tcBorders>
              <w:bottom w:val="single" w:sz="8" w:color="98A3B8"/>
            </w:tcBorders>
          </w:tcPr>
          <w:p>
            <w:pPr>
              <w:spacing w:after="0"/>
              <w:rPr>
                <w:sz w:val="24"/>
                <w:szCs w:val="24"/>
                <w:color w:val="auto"/>
              </w:rPr>
            </w:pPr>
          </w:p>
        </w:tc>
        <w:tc>
          <w:tcPr>
            <w:tcW w:w="660" w:type="dxa"/>
            <w:vAlign w:val="bottom"/>
            <w:tcBorders>
              <w:bottom w:val="single" w:sz="8" w:color="98A3B8"/>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98A3B8"/>
            </w:tcBorders>
          </w:tcPr>
          <w:p>
            <w:pPr>
              <w:spacing w:after="0"/>
              <w:rPr>
                <w:sz w:val="24"/>
                <w:szCs w:val="24"/>
                <w:color w:val="auto"/>
              </w:rPr>
            </w:pPr>
          </w:p>
        </w:tc>
        <w:tc>
          <w:tcPr>
            <w:tcW w:w="580" w:type="dxa"/>
            <w:vAlign w:val="bottom"/>
            <w:tcBorders>
              <w:bottom w:val="single" w:sz="8" w:color="98A3B8"/>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98A3B8"/>
            </w:tcBorders>
          </w:tcPr>
          <w:p>
            <w:pPr>
              <w:spacing w:after="0"/>
              <w:rPr>
                <w:sz w:val="24"/>
                <w:szCs w:val="24"/>
                <w:color w:val="auto"/>
              </w:rPr>
            </w:pPr>
          </w:p>
        </w:tc>
        <w:tc>
          <w:tcPr>
            <w:tcW w:w="660" w:type="dxa"/>
            <w:vAlign w:val="bottom"/>
            <w:tcBorders>
              <w:bottom w:val="single" w:sz="8" w:color="98A3B8"/>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422,458</w:t>
            </w:r>
          </w:p>
        </w:tc>
      </w:tr>
      <w:tr>
        <w:trPr>
          <w:trHeight w:val="288"/>
        </w:trPr>
        <w:tc>
          <w:tcPr>
            <w:tcW w:w="100" w:type="dxa"/>
            <w:vAlign w:val="bottom"/>
            <w:tcBorders>
              <w:bottom w:val="single" w:sz="8" w:color="98A3B8"/>
            </w:tcBorders>
          </w:tcPr>
          <w:p>
            <w:pPr>
              <w:spacing w:after="0"/>
              <w:rPr>
                <w:sz w:val="24"/>
                <w:szCs w:val="24"/>
                <w:color w:val="auto"/>
              </w:rPr>
            </w:pPr>
          </w:p>
        </w:tc>
        <w:tc>
          <w:tcPr>
            <w:tcW w:w="660" w:type="dxa"/>
            <w:vAlign w:val="bottom"/>
            <w:tcBorders>
              <w:bottom w:val="single" w:sz="8" w:color="98A3B8"/>
            </w:tcBorders>
          </w:tcPr>
          <w:p>
            <w:pPr>
              <w:jc w:val="right"/>
              <w:ind w:right="24"/>
              <w:spacing w:after="0"/>
              <w:rPr>
                <w:sz w:val="20"/>
                <w:szCs w:val="20"/>
                <w:color w:val="auto"/>
              </w:rPr>
            </w:pPr>
            <w:r>
              <w:rPr>
                <w:rFonts w:ascii="Arial" w:cs="Arial" w:eastAsia="Arial" w:hAnsi="Arial"/>
                <w:sz w:val="15"/>
                <w:szCs w:val="15"/>
                <w:color w:val="auto"/>
                <w:w w:val="99"/>
              </w:rPr>
              <w:t>104,880</w:t>
            </w:r>
          </w:p>
        </w:tc>
        <w:tc>
          <w:tcPr>
            <w:tcW w:w="100" w:type="dxa"/>
            <w:vAlign w:val="bottom"/>
          </w:tcPr>
          <w:p>
            <w:pPr>
              <w:spacing w:after="0"/>
              <w:rPr>
                <w:sz w:val="24"/>
                <w:szCs w:val="24"/>
                <w:color w:val="auto"/>
              </w:rPr>
            </w:pPr>
          </w:p>
        </w:tc>
        <w:tc>
          <w:tcPr>
            <w:tcW w:w="100" w:type="dxa"/>
            <w:vAlign w:val="bottom"/>
            <w:tcBorders>
              <w:bottom w:val="single" w:sz="8" w:color="98A3B8"/>
            </w:tcBorders>
          </w:tcPr>
          <w:p>
            <w:pPr>
              <w:spacing w:after="0"/>
              <w:rPr>
                <w:sz w:val="24"/>
                <w:szCs w:val="24"/>
                <w:color w:val="auto"/>
              </w:rPr>
            </w:pPr>
          </w:p>
        </w:tc>
        <w:tc>
          <w:tcPr>
            <w:tcW w:w="660" w:type="dxa"/>
            <w:vAlign w:val="bottom"/>
            <w:tcBorders>
              <w:bottom w:val="single" w:sz="8" w:color="98A3B8"/>
            </w:tcBorders>
          </w:tcPr>
          <w:p>
            <w:pPr>
              <w:jc w:val="right"/>
              <w:ind w:right="24"/>
              <w:spacing w:after="0"/>
              <w:rPr>
                <w:sz w:val="20"/>
                <w:szCs w:val="20"/>
                <w:color w:val="auto"/>
              </w:rPr>
            </w:pPr>
            <w:r>
              <w:rPr>
                <w:rFonts w:ascii="Arial" w:cs="Arial" w:eastAsia="Arial" w:hAnsi="Arial"/>
                <w:sz w:val="15"/>
                <w:szCs w:val="15"/>
                <w:color w:val="auto"/>
                <w:w w:val="99"/>
              </w:rPr>
              <w:t>103,735</w:t>
            </w:r>
          </w:p>
        </w:tc>
        <w:tc>
          <w:tcPr>
            <w:tcW w:w="120" w:type="dxa"/>
            <w:vAlign w:val="bottom"/>
          </w:tcPr>
          <w:p>
            <w:pPr>
              <w:spacing w:after="0"/>
              <w:rPr>
                <w:sz w:val="24"/>
                <w:szCs w:val="24"/>
                <w:color w:val="auto"/>
              </w:rPr>
            </w:pPr>
          </w:p>
        </w:tc>
        <w:tc>
          <w:tcPr>
            <w:tcW w:w="80" w:type="dxa"/>
            <w:vAlign w:val="bottom"/>
            <w:tcBorders>
              <w:bottom w:val="single" w:sz="8" w:color="98A3B8"/>
            </w:tcBorders>
          </w:tcPr>
          <w:p>
            <w:pPr>
              <w:spacing w:after="0"/>
              <w:rPr>
                <w:sz w:val="24"/>
                <w:szCs w:val="24"/>
                <w:color w:val="auto"/>
              </w:rPr>
            </w:pPr>
          </w:p>
        </w:tc>
        <w:tc>
          <w:tcPr>
            <w:tcW w:w="58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99,696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98A3B8"/>
            </w:tcBorders>
          </w:tcPr>
          <w:p>
            <w:pPr>
              <w:spacing w:after="0"/>
              <w:rPr>
                <w:sz w:val="24"/>
                <w:szCs w:val="24"/>
                <w:color w:val="auto"/>
              </w:rPr>
            </w:pPr>
          </w:p>
        </w:tc>
        <w:tc>
          <w:tcPr>
            <w:tcW w:w="660" w:type="dxa"/>
            <w:vAlign w:val="bottom"/>
            <w:tcBorders>
              <w:bottom w:val="single" w:sz="8" w:color="98A3B8"/>
            </w:tcBorders>
          </w:tcPr>
          <w:p>
            <w:pPr>
              <w:jc w:val="right"/>
              <w:ind w:right="24"/>
              <w:spacing w:after="0"/>
              <w:rPr>
                <w:sz w:val="20"/>
                <w:szCs w:val="20"/>
                <w:color w:val="auto"/>
              </w:rPr>
            </w:pPr>
            <w:r>
              <w:rPr>
                <w:rFonts w:ascii="Arial" w:cs="Arial" w:eastAsia="Arial" w:hAnsi="Arial"/>
                <w:sz w:val="15"/>
                <w:szCs w:val="15"/>
                <w:color w:val="auto"/>
              </w:rPr>
              <w:t>95,266</w:t>
            </w:r>
          </w:p>
        </w:tc>
        <w:tc>
          <w:tcPr>
            <w:tcW w:w="100" w:type="dxa"/>
            <w:vAlign w:val="bottom"/>
          </w:tcPr>
          <w:p>
            <w:pPr>
              <w:spacing w:after="0"/>
              <w:rPr>
                <w:sz w:val="24"/>
                <w:szCs w:val="24"/>
                <w:color w:val="auto"/>
              </w:rPr>
            </w:pPr>
          </w:p>
        </w:tc>
        <w:tc>
          <w:tcPr>
            <w:tcW w:w="100" w:type="dxa"/>
            <w:vAlign w:val="bottom"/>
            <w:tcBorders>
              <w:bottom w:val="single" w:sz="8" w:color="98A3B8"/>
            </w:tcBorders>
          </w:tcPr>
          <w:p>
            <w:pPr>
              <w:spacing w:after="0"/>
              <w:rPr>
                <w:sz w:val="24"/>
                <w:szCs w:val="24"/>
                <w:color w:val="auto"/>
              </w:rPr>
            </w:pPr>
          </w:p>
        </w:tc>
        <w:tc>
          <w:tcPr>
            <w:tcW w:w="58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92,873</w:t>
            </w:r>
          </w:p>
        </w:tc>
      </w:tr>
      <w:tr>
        <w:trPr>
          <w:trHeight w:val="217"/>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7.08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6.38</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5.85</w:t>
            </w:r>
          </w:p>
        </w:tc>
        <w:tc>
          <w:tcPr>
            <w:tcW w:w="4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5.16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4.55</w:t>
            </w:r>
          </w:p>
        </w:tc>
      </w:tr>
      <w:tr>
        <w:trPr>
          <w:trHeight w:val="30"/>
        </w:trPr>
        <w:tc>
          <w:tcPr>
            <w:tcW w:w="100" w:type="dxa"/>
            <w:vAlign w:val="bottom"/>
            <w:shd w:val="clear" w:color="auto" w:fill="325889"/>
          </w:tcPr>
          <w:p>
            <w:pPr>
              <w:spacing w:after="0"/>
              <w:rPr>
                <w:sz w:val="2"/>
                <w:szCs w:val="2"/>
                <w:color w:val="auto"/>
              </w:rPr>
            </w:pPr>
          </w:p>
        </w:tc>
        <w:tc>
          <w:tcPr>
            <w:tcW w:w="660" w:type="dxa"/>
            <w:vAlign w:val="bottom"/>
            <w:shd w:val="clear" w:color="auto" w:fill="325889"/>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325889"/>
          </w:tcPr>
          <w:p>
            <w:pPr>
              <w:spacing w:after="0"/>
              <w:rPr>
                <w:sz w:val="2"/>
                <w:szCs w:val="2"/>
                <w:color w:val="auto"/>
              </w:rPr>
            </w:pPr>
          </w:p>
        </w:tc>
        <w:tc>
          <w:tcPr>
            <w:tcW w:w="660" w:type="dxa"/>
            <w:vAlign w:val="bottom"/>
            <w:shd w:val="clear" w:color="auto" w:fill="325889"/>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325889"/>
          </w:tcPr>
          <w:p>
            <w:pPr>
              <w:spacing w:after="0"/>
              <w:rPr>
                <w:sz w:val="2"/>
                <w:szCs w:val="2"/>
                <w:color w:val="auto"/>
              </w:rPr>
            </w:pPr>
          </w:p>
        </w:tc>
        <w:tc>
          <w:tcPr>
            <w:tcW w:w="580" w:type="dxa"/>
            <w:vAlign w:val="bottom"/>
            <w:shd w:val="clear" w:color="auto" w:fill="325889"/>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325889"/>
          </w:tcPr>
          <w:p>
            <w:pPr>
              <w:spacing w:after="0"/>
              <w:rPr>
                <w:sz w:val="2"/>
                <w:szCs w:val="2"/>
                <w:color w:val="auto"/>
              </w:rPr>
            </w:pPr>
          </w:p>
        </w:tc>
        <w:tc>
          <w:tcPr>
            <w:tcW w:w="660" w:type="dxa"/>
            <w:vAlign w:val="bottom"/>
            <w:shd w:val="clear" w:color="auto" w:fill="325889"/>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325889"/>
          </w:tcPr>
          <w:p>
            <w:pPr>
              <w:spacing w:after="0"/>
              <w:rPr>
                <w:sz w:val="2"/>
                <w:szCs w:val="2"/>
                <w:color w:val="auto"/>
              </w:rPr>
            </w:pPr>
          </w:p>
        </w:tc>
        <w:tc>
          <w:tcPr>
            <w:tcW w:w="580" w:type="dxa"/>
            <w:vAlign w:val="bottom"/>
            <w:shd w:val="clear" w:color="auto" w:fill="325889"/>
          </w:tcPr>
          <w:p>
            <w:pPr>
              <w:spacing w:after="0"/>
              <w:rPr>
                <w:sz w:val="2"/>
                <w:szCs w:val="2"/>
                <w:color w:val="auto"/>
              </w:rPr>
            </w:pPr>
          </w:p>
        </w:tc>
      </w:tr>
    </w:tbl>
    <w:p>
      <w:pPr>
        <w:spacing w:after="0" w:line="240" w:lineRule="exact"/>
        <w:rPr>
          <w:sz w:val="20"/>
          <w:szCs w:val="20"/>
          <w:color w:val="auto"/>
        </w:rPr>
      </w:pPr>
    </w:p>
    <w:p>
      <w:pPr>
        <w:sectPr>
          <w:pgSz w:w="11900" w:h="16838" w:orient="portrait"/>
          <w:cols w:equalWidth="0" w:num="2">
            <w:col w:w="6680" w:space="720"/>
            <w:col w:w="4040"/>
          </w:cols>
          <w:pgMar w:left="240" w:top="528" w:right="219" w:bottom="1440" w:gutter="0" w:footer="0" w:header="0"/>
          <w:type w:val="continuous"/>
        </w:sectPr>
      </w:pPr>
    </w:p>
    <w:p>
      <w:pPr>
        <w:spacing w:after="0" w:line="166" w:lineRule="exact"/>
        <w:rPr>
          <w:sz w:val="20"/>
          <w:szCs w:val="20"/>
          <w:color w:val="auto"/>
        </w:rPr>
      </w:pPr>
    </w:p>
    <w:p>
      <w:pPr>
        <w:ind w:left="9580"/>
        <w:spacing w:after="0"/>
        <w:rPr>
          <w:sz w:val="20"/>
          <w:szCs w:val="20"/>
          <w:color w:val="auto"/>
        </w:rPr>
      </w:pPr>
      <w:r>
        <w:rPr>
          <w:rFonts w:ascii="Arial" w:cs="Arial" w:eastAsia="Arial" w:hAnsi="Arial"/>
          <w:sz w:val="15"/>
          <w:szCs w:val="15"/>
          <w:color w:val="auto"/>
        </w:rPr>
        <w:t xml:space="preserve">2017 Proxy Statement </w:t>
      </w:r>
      <w:r>
        <w:rPr>
          <w:rFonts w:ascii="Arial" w:cs="Arial" w:eastAsia="Arial" w:hAnsi="Arial"/>
          <w:sz w:val="15"/>
          <w:szCs w:val="15"/>
          <w:color w:val="325889"/>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83450" cy="203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0"/>
          </w:cols>
          <w:pgMar w:left="240" w:top="528" w:right="219" w:bottom="1440" w:gutter="0" w:footer="0" w:header="0"/>
          <w:type w:val="continuous"/>
        </w:sectPr>
      </w:pPr>
    </w:p>
    <w:bookmarkStart w:id="67" w:name="page68"/>
    <w:bookmarkEnd w:id="67"/>
    <w:p>
      <w:pPr>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u w:val="single" w:color="auto"/>
          <w:color w:val="325889"/>
        </w:rPr>
        <w:t>APPENDIX A: INFORMATION REGARDING CERTAIN FINANCIAL MEASURES</w:t>
      </w:r>
    </w:p>
    <w:p>
      <w:pPr>
        <w:spacing w:after="0" w:line="195" w:lineRule="exact"/>
        <w:rPr>
          <w:sz w:val="20"/>
          <w:szCs w:val="20"/>
          <w:color w:val="auto"/>
        </w:rPr>
      </w:pPr>
    </w:p>
    <w:p>
      <w:pPr>
        <w:ind w:right="140"/>
        <w:spacing w:after="0" w:line="253" w:lineRule="auto"/>
        <w:rPr>
          <w:sz w:val="20"/>
          <w:szCs w:val="20"/>
          <w:color w:val="auto"/>
        </w:rPr>
      </w:pPr>
      <w:r>
        <w:rPr>
          <w:rFonts w:ascii="Arial" w:cs="Arial" w:eastAsia="Arial" w:hAnsi="Arial"/>
          <w:sz w:val="15"/>
          <w:szCs w:val="15"/>
          <w:color w:val="auto"/>
        </w:rPr>
        <w:t>Below are reconciliations of income from continuing operations before equity in net income of unconsolidated joint ventures, noncontrolling interests and discontinued operations to operating income and combined same-store cash net operating income for the years ended December 31, 2016 and 2015, the years ended December 31, 2015 and 2014, the years ended December 31, 2014 and 2013, the years ended December 31, 2013 and December 31, 2012 and the years ended December 31, 2012 and 2011 (amounts in thousands, except per share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360" w:type="dxa"/>
            <w:vAlign w:val="bottom"/>
            <w:gridSpan w:val="2"/>
          </w:tcPr>
          <w:p>
            <w:pPr>
              <w:spacing w:after="0"/>
              <w:rPr>
                <w:sz w:val="20"/>
                <w:szCs w:val="20"/>
                <w:color w:val="auto"/>
              </w:rPr>
            </w:pPr>
            <w:r>
              <w:rPr>
                <w:rFonts w:ascii="Arial" w:cs="Arial" w:eastAsia="Arial" w:hAnsi="Arial"/>
                <w:sz w:val="12"/>
                <w:szCs w:val="12"/>
                <w:b w:val="1"/>
                <w:bCs w:val="1"/>
                <w:color w:val="325889"/>
              </w:rPr>
              <w:t>Reconciliation of 2016 and 2015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363"/>
        </w:trPr>
        <w:tc>
          <w:tcPr>
            <w:tcW w:w="1780" w:type="dxa"/>
            <w:vAlign w:val="bottom"/>
            <w:tcBorders>
              <w:top w:val="single" w:sz="8" w:color="325889"/>
            </w:tcBorders>
          </w:tcPr>
          <w:p>
            <w:pPr>
              <w:spacing w:after="0"/>
              <w:rPr>
                <w:sz w:val="24"/>
                <w:szCs w:val="24"/>
                <w:color w:val="auto"/>
              </w:rPr>
            </w:pPr>
          </w:p>
        </w:tc>
        <w:tc>
          <w:tcPr>
            <w:tcW w:w="3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gridSpan w:val="5"/>
          </w:tcPr>
          <w:p>
            <w:pPr>
              <w:ind w:left="140"/>
              <w:spacing w:after="0"/>
              <w:rPr>
                <w:sz w:val="20"/>
                <w:szCs w:val="20"/>
                <w:color w:val="auto"/>
              </w:rPr>
            </w:pPr>
            <w:r>
              <w:rPr>
                <w:rFonts w:ascii="Arial" w:cs="Arial" w:eastAsia="Arial" w:hAnsi="Arial"/>
                <w:sz w:val="12"/>
                <w:szCs w:val="12"/>
                <w:b w:val="1"/>
                <w:bCs w:val="1"/>
                <w:color w:val="325889"/>
              </w:rPr>
              <w:t>Consolidated Properties</w:t>
            </w:r>
          </w:p>
        </w:tc>
        <w:tc>
          <w:tcPr>
            <w:tcW w:w="80" w:type="dxa"/>
            <w:vAlign w:val="bottom"/>
          </w:tcPr>
          <w:p>
            <w:pPr>
              <w:spacing w:after="0"/>
              <w:rPr>
                <w:sz w:val="24"/>
                <w:szCs w:val="24"/>
                <w:color w:val="auto"/>
              </w:rPr>
            </w:pPr>
          </w:p>
        </w:tc>
        <w:tc>
          <w:tcPr>
            <w:tcW w:w="1920" w:type="dxa"/>
            <w:vAlign w:val="bottom"/>
            <w:gridSpan w:val="6"/>
          </w:tcPr>
          <w:p>
            <w:pPr>
              <w:jc w:val="right"/>
              <w:ind w:right="160"/>
              <w:spacing w:after="0"/>
              <w:rPr>
                <w:sz w:val="20"/>
                <w:szCs w:val="20"/>
                <w:color w:val="auto"/>
              </w:rPr>
            </w:pPr>
            <w:r>
              <w:rPr>
                <w:rFonts w:ascii="Arial" w:cs="Arial" w:eastAsia="Arial" w:hAnsi="Arial"/>
                <w:sz w:val="12"/>
                <w:szCs w:val="12"/>
                <w:b w:val="1"/>
                <w:bCs w:val="1"/>
                <w:color w:val="325889"/>
                <w:w w:val="98"/>
              </w:rPr>
              <w:t>Unconsolidated Joint Ventures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gridSpan w:val="4"/>
          </w:tcPr>
          <w:p>
            <w:pPr>
              <w:jc w:val="center"/>
              <w:ind w:right="5"/>
              <w:spacing w:after="0"/>
              <w:rPr>
                <w:sz w:val="20"/>
                <w:szCs w:val="20"/>
                <w:color w:val="auto"/>
              </w:rPr>
            </w:pPr>
            <w:r>
              <w:rPr>
                <w:rFonts w:ascii="Arial" w:cs="Arial" w:eastAsia="Arial" w:hAnsi="Arial"/>
                <w:sz w:val="12"/>
                <w:szCs w:val="12"/>
                <w:b w:val="1"/>
                <w:bCs w:val="1"/>
                <w:color w:val="325889"/>
                <w:w w:val="98"/>
              </w:rPr>
              <w:t>Combined</w:t>
            </w:r>
          </w:p>
        </w:tc>
      </w:tr>
      <w:tr>
        <w:trPr>
          <w:trHeight w:val="140"/>
        </w:trPr>
        <w:tc>
          <w:tcPr>
            <w:tcW w:w="17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325889"/>
            </w:tcBorders>
          </w:tcPr>
          <w:p>
            <w:pPr>
              <w:spacing w:after="0"/>
              <w:rPr>
                <w:sz w:val="12"/>
                <w:szCs w:val="12"/>
                <w:color w:val="auto"/>
              </w:rPr>
            </w:pPr>
          </w:p>
        </w:tc>
        <w:tc>
          <w:tcPr>
            <w:tcW w:w="800" w:type="dxa"/>
            <w:vAlign w:val="bottom"/>
            <w:tcBorders>
              <w:top w:val="single" w:sz="8" w:color="325889"/>
            </w:tcBorders>
          </w:tcPr>
          <w:p>
            <w:pPr>
              <w:spacing w:after="0"/>
              <w:rPr>
                <w:sz w:val="12"/>
                <w:szCs w:val="12"/>
                <w:color w:val="auto"/>
              </w:rPr>
            </w:pPr>
          </w:p>
        </w:tc>
        <w:tc>
          <w:tcPr>
            <w:tcW w:w="80" w:type="dxa"/>
            <w:vAlign w:val="bottom"/>
            <w:tcBorders>
              <w:top w:val="single" w:sz="8" w:color="325889"/>
            </w:tcBorders>
          </w:tcPr>
          <w:p>
            <w:pPr>
              <w:spacing w:after="0"/>
              <w:rPr>
                <w:sz w:val="12"/>
                <w:szCs w:val="12"/>
                <w:color w:val="auto"/>
              </w:rPr>
            </w:pPr>
          </w:p>
        </w:tc>
        <w:tc>
          <w:tcPr>
            <w:tcW w:w="100" w:type="dxa"/>
            <w:vAlign w:val="bottom"/>
            <w:tcBorders>
              <w:top w:val="single" w:sz="8" w:color="325889"/>
            </w:tcBorders>
          </w:tcPr>
          <w:p>
            <w:pPr>
              <w:spacing w:after="0"/>
              <w:rPr>
                <w:sz w:val="12"/>
                <w:szCs w:val="12"/>
                <w:color w:val="auto"/>
              </w:rPr>
            </w:pPr>
          </w:p>
        </w:tc>
        <w:tc>
          <w:tcPr>
            <w:tcW w:w="780" w:type="dxa"/>
            <w:vAlign w:val="bottom"/>
            <w:tcBorders>
              <w:top w:val="single" w:sz="8" w:color="325889"/>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325889"/>
            </w:tcBorders>
          </w:tcPr>
          <w:p>
            <w:pPr>
              <w:spacing w:after="0"/>
              <w:rPr>
                <w:sz w:val="12"/>
                <w:szCs w:val="12"/>
                <w:color w:val="auto"/>
              </w:rPr>
            </w:pPr>
          </w:p>
        </w:tc>
        <w:tc>
          <w:tcPr>
            <w:tcW w:w="840" w:type="dxa"/>
            <w:vAlign w:val="bottom"/>
            <w:tcBorders>
              <w:top w:val="single" w:sz="8" w:color="325889"/>
            </w:tcBorders>
          </w:tcPr>
          <w:p>
            <w:pPr>
              <w:spacing w:after="0"/>
              <w:rPr>
                <w:sz w:val="12"/>
                <w:szCs w:val="12"/>
                <w:color w:val="auto"/>
              </w:rPr>
            </w:pPr>
          </w:p>
        </w:tc>
        <w:tc>
          <w:tcPr>
            <w:tcW w:w="80" w:type="dxa"/>
            <w:vAlign w:val="bottom"/>
            <w:tcBorders>
              <w:top w:val="single" w:sz="8" w:color="325889"/>
            </w:tcBorders>
          </w:tcPr>
          <w:p>
            <w:pPr>
              <w:spacing w:after="0"/>
              <w:rPr>
                <w:sz w:val="12"/>
                <w:szCs w:val="12"/>
                <w:color w:val="auto"/>
              </w:rPr>
            </w:pPr>
          </w:p>
        </w:tc>
        <w:tc>
          <w:tcPr>
            <w:tcW w:w="120" w:type="dxa"/>
            <w:vAlign w:val="bottom"/>
            <w:tcBorders>
              <w:top w:val="single" w:sz="8" w:color="325889"/>
            </w:tcBorders>
          </w:tcPr>
          <w:p>
            <w:pPr>
              <w:spacing w:after="0"/>
              <w:rPr>
                <w:sz w:val="12"/>
                <w:szCs w:val="12"/>
                <w:color w:val="auto"/>
              </w:rPr>
            </w:pPr>
          </w:p>
        </w:tc>
        <w:tc>
          <w:tcPr>
            <w:tcW w:w="120" w:type="dxa"/>
            <w:vAlign w:val="bottom"/>
            <w:tcBorders>
              <w:top w:val="single" w:sz="8" w:color="325889"/>
            </w:tcBorders>
          </w:tcPr>
          <w:p>
            <w:pPr>
              <w:spacing w:after="0"/>
              <w:rPr>
                <w:sz w:val="12"/>
                <w:szCs w:val="12"/>
                <w:color w:val="auto"/>
              </w:rPr>
            </w:pPr>
          </w:p>
        </w:tc>
        <w:tc>
          <w:tcPr>
            <w:tcW w:w="680" w:type="dxa"/>
            <w:vAlign w:val="bottom"/>
            <w:tcBorders>
              <w:top w:val="single" w:sz="8" w:color="325889"/>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325889"/>
            </w:tcBorders>
          </w:tcPr>
          <w:p>
            <w:pPr>
              <w:spacing w:after="0"/>
              <w:rPr>
                <w:sz w:val="12"/>
                <w:szCs w:val="12"/>
                <w:color w:val="auto"/>
              </w:rPr>
            </w:pPr>
          </w:p>
        </w:tc>
        <w:tc>
          <w:tcPr>
            <w:tcW w:w="1780" w:type="dxa"/>
            <w:vAlign w:val="bottom"/>
            <w:tcBorders>
              <w:top w:val="single" w:sz="8" w:color="325889"/>
            </w:tcBorders>
            <w:gridSpan w:val="4"/>
          </w:tcPr>
          <w:p>
            <w:pPr>
              <w:jc w:val="center"/>
              <w:ind w:right="25"/>
              <w:spacing w:after="0"/>
              <w:rPr>
                <w:sz w:val="20"/>
                <w:szCs w:val="20"/>
                <w:color w:val="auto"/>
              </w:rPr>
            </w:pPr>
            <w:r>
              <w:rPr>
                <w:rFonts w:ascii="Arial" w:cs="Arial" w:eastAsia="Arial" w:hAnsi="Arial"/>
                <w:sz w:val="12"/>
                <w:szCs w:val="12"/>
                <w:b w:val="1"/>
                <w:bCs w:val="1"/>
                <w:color w:val="325889"/>
                <w:w w:val="97"/>
              </w:rPr>
              <w:t>Twelve Months</w:t>
            </w:r>
          </w:p>
        </w:tc>
      </w:tr>
      <w:tr>
        <w:trPr>
          <w:trHeight w:val="173"/>
        </w:trPr>
        <w:tc>
          <w:tcPr>
            <w:tcW w:w="17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325889"/>
            </w:tcBorders>
          </w:tcPr>
          <w:p>
            <w:pPr>
              <w:spacing w:after="0"/>
              <w:rPr>
                <w:sz w:val="15"/>
                <w:szCs w:val="15"/>
                <w:color w:val="auto"/>
              </w:rPr>
            </w:pPr>
          </w:p>
        </w:tc>
        <w:tc>
          <w:tcPr>
            <w:tcW w:w="1760" w:type="dxa"/>
            <w:vAlign w:val="bottom"/>
            <w:tcBorders>
              <w:bottom w:val="single" w:sz="8" w:color="325889"/>
            </w:tcBorders>
            <w:gridSpan w:val="4"/>
          </w:tcPr>
          <w:p>
            <w:pPr>
              <w:jc w:val="right"/>
              <w:ind w:right="124"/>
              <w:spacing w:after="0"/>
              <w:rPr>
                <w:sz w:val="20"/>
                <w:szCs w:val="20"/>
                <w:color w:val="auto"/>
              </w:rPr>
            </w:pPr>
            <w:r>
              <w:rPr>
                <w:rFonts w:ascii="Arial" w:cs="Arial" w:eastAsia="Arial" w:hAnsi="Arial"/>
                <w:sz w:val="12"/>
                <w:szCs w:val="12"/>
                <w:b w:val="1"/>
                <w:bCs w:val="1"/>
                <w:color w:val="325889"/>
              </w:rPr>
              <w:t>Year Ended December 31</w:t>
            </w:r>
            <w:r>
              <w:rPr>
                <w:rFonts w:ascii="Arial" w:cs="Arial" w:eastAsia="Arial" w:hAnsi="Arial"/>
                <w:sz w:val="12"/>
                <w:szCs w:val="12"/>
                <w:b w:val="1"/>
                <w:bCs w:val="1"/>
                <w:color w:val="000000"/>
              </w:rPr>
              <w:t>,</w:t>
            </w:r>
          </w:p>
        </w:tc>
        <w:tc>
          <w:tcPr>
            <w:tcW w:w="140" w:type="dxa"/>
            <w:vAlign w:val="bottom"/>
          </w:tcPr>
          <w:p>
            <w:pPr>
              <w:spacing w:after="0"/>
              <w:rPr>
                <w:sz w:val="15"/>
                <w:szCs w:val="15"/>
                <w:color w:val="auto"/>
              </w:rPr>
            </w:pPr>
          </w:p>
        </w:tc>
        <w:tc>
          <w:tcPr>
            <w:tcW w:w="80" w:type="dxa"/>
            <w:vAlign w:val="bottom"/>
            <w:tcBorders>
              <w:bottom w:val="single" w:sz="8" w:color="325889"/>
            </w:tcBorders>
          </w:tcPr>
          <w:p>
            <w:pPr>
              <w:spacing w:after="0"/>
              <w:rPr>
                <w:sz w:val="15"/>
                <w:szCs w:val="15"/>
                <w:color w:val="auto"/>
              </w:rPr>
            </w:pPr>
          </w:p>
        </w:tc>
        <w:tc>
          <w:tcPr>
            <w:tcW w:w="1840" w:type="dxa"/>
            <w:vAlign w:val="bottom"/>
            <w:tcBorders>
              <w:bottom w:val="single" w:sz="8" w:color="325889"/>
            </w:tcBorders>
            <w:gridSpan w:val="5"/>
          </w:tcPr>
          <w:p>
            <w:pPr>
              <w:jc w:val="right"/>
              <w:ind w:right="164"/>
              <w:spacing w:after="0"/>
              <w:rPr>
                <w:sz w:val="20"/>
                <w:szCs w:val="20"/>
                <w:color w:val="auto"/>
              </w:rPr>
            </w:pPr>
            <w:r>
              <w:rPr>
                <w:rFonts w:ascii="Arial" w:cs="Arial" w:eastAsia="Arial" w:hAnsi="Arial"/>
                <w:sz w:val="12"/>
                <w:szCs w:val="12"/>
                <w:b w:val="1"/>
                <w:bCs w:val="1"/>
                <w:color w:val="325889"/>
              </w:rPr>
              <w:t>Year Ended December 31</w:t>
            </w:r>
            <w:r>
              <w:rPr>
                <w:rFonts w:ascii="Arial" w:cs="Arial" w:eastAsia="Arial" w:hAnsi="Arial"/>
                <w:sz w:val="12"/>
                <w:szCs w:val="12"/>
                <w:b w:val="1"/>
                <w:bCs w:val="1"/>
                <w:color w:val="000000"/>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325889"/>
            </w:tcBorders>
          </w:tcPr>
          <w:p>
            <w:pPr>
              <w:spacing w:after="0"/>
              <w:rPr>
                <w:sz w:val="15"/>
                <w:szCs w:val="15"/>
                <w:color w:val="auto"/>
              </w:rPr>
            </w:pPr>
          </w:p>
        </w:tc>
        <w:tc>
          <w:tcPr>
            <w:tcW w:w="1780" w:type="dxa"/>
            <w:vAlign w:val="bottom"/>
            <w:tcBorders>
              <w:bottom w:val="single" w:sz="8" w:color="325889"/>
            </w:tcBorders>
            <w:gridSpan w:val="4"/>
          </w:tcPr>
          <w:p>
            <w:pPr>
              <w:jc w:val="center"/>
              <w:ind w:right="25"/>
              <w:spacing w:after="0"/>
              <w:rPr>
                <w:sz w:val="20"/>
                <w:szCs w:val="20"/>
                <w:color w:val="auto"/>
              </w:rPr>
            </w:pPr>
            <w:r>
              <w:rPr>
                <w:rFonts w:ascii="Arial" w:cs="Arial" w:eastAsia="Arial" w:hAnsi="Arial"/>
                <w:sz w:val="12"/>
                <w:szCs w:val="12"/>
                <w:b w:val="1"/>
                <w:bCs w:val="1"/>
                <w:color w:val="325889"/>
                <w:w w:val="98"/>
              </w:rPr>
              <w:t>Ended December 31</w:t>
            </w:r>
            <w:r>
              <w:rPr>
                <w:rFonts w:ascii="Arial" w:cs="Arial" w:eastAsia="Arial" w:hAnsi="Arial"/>
                <w:sz w:val="12"/>
                <w:szCs w:val="12"/>
                <w:b w:val="1"/>
                <w:bCs w:val="1"/>
                <w:color w:val="000000"/>
                <w:w w:val="98"/>
              </w:rPr>
              <w:t>,</w:t>
            </w:r>
          </w:p>
        </w:tc>
      </w:tr>
      <w:tr>
        <w:trPr>
          <w:trHeight w:val="182"/>
        </w:trPr>
        <w:tc>
          <w:tcPr>
            <w:tcW w:w="17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b w:val="1"/>
                <w:bCs w:val="1"/>
                <w:color w:val="325889"/>
              </w:rPr>
              <w:t>2016</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325889"/>
              </w:rPr>
              <w:t>2015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b w:val="1"/>
                <w:bCs w:val="1"/>
                <w:color w:val="325889"/>
              </w:rPr>
              <w:t>2016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b w:val="1"/>
                <w:bCs w:val="1"/>
                <w:color w:val="325889"/>
              </w:rPr>
              <w:t>2015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b w:val="1"/>
                <w:bCs w:val="1"/>
                <w:color w:val="325889"/>
              </w:rPr>
              <w:t>2016</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2"/>
                <w:szCs w:val="12"/>
                <w:b w:val="1"/>
                <w:bCs w:val="1"/>
                <w:color w:val="325889"/>
              </w:rPr>
              <w:t>2015</w:t>
            </w:r>
          </w:p>
        </w:tc>
      </w:tr>
      <w:tr>
        <w:trPr>
          <w:trHeight w:val="186"/>
        </w:trPr>
        <w:tc>
          <w:tcPr>
            <w:tcW w:w="5360" w:type="dxa"/>
            <w:vAlign w:val="bottom"/>
            <w:tcBorders>
              <w:top w:val="single" w:sz="8" w:color="325889"/>
            </w:tcBorders>
            <w:gridSpan w:val="2"/>
          </w:tcPr>
          <w:p>
            <w:pPr>
              <w:spacing w:after="0"/>
              <w:rPr>
                <w:sz w:val="20"/>
                <w:szCs w:val="20"/>
                <w:color w:val="auto"/>
              </w:rPr>
            </w:pPr>
            <w:r>
              <w:rPr>
                <w:rFonts w:ascii="Arial" w:cs="Arial" w:eastAsia="Arial" w:hAnsi="Arial"/>
                <w:sz w:val="15"/>
                <w:szCs w:val="15"/>
                <w:b w:val="1"/>
                <w:bCs w:val="1"/>
                <w:color w:val="auto"/>
              </w:rPr>
              <w:t>Operating income and Same-store</w:t>
            </w:r>
          </w:p>
        </w:tc>
        <w:tc>
          <w:tcPr>
            <w:tcW w:w="160" w:type="dxa"/>
            <w:vAlign w:val="bottom"/>
          </w:tcPr>
          <w:p>
            <w:pPr>
              <w:spacing w:after="0"/>
              <w:rPr>
                <w:sz w:val="16"/>
                <w:szCs w:val="16"/>
                <w:color w:val="auto"/>
              </w:rPr>
            </w:pPr>
          </w:p>
        </w:tc>
        <w:tc>
          <w:tcPr>
            <w:tcW w:w="80" w:type="dxa"/>
            <w:vAlign w:val="bottom"/>
            <w:tcBorders>
              <w:top w:val="single" w:sz="8" w:color="325889"/>
            </w:tcBorders>
          </w:tcPr>
          <w:p>
            <w:pPr>
              <w:spacing w:after="0"/>
              <w:rPr>
                <w:sz w:val="16"/>
                <w:szCs w:val="16"/>
                <w:color w:val="auto"/>
              </w:rPr>
            </w:pPr>
          </w:p>
        </w:tc>
        <w:tc>
          <w:tcPr>
            <w:tcW w:w="800" w:type="dxa"/>
            <w:vAlign w:val="bottom"/>
            <w:tcBorders>
              <w:top w:val="single" w:sz="8" w:color="325889"/>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325889"/>
            </w:tcBorders>
          </w:tcPr>
          <w:p>
            <w:pPr>
              <w:spacing w:after="0"/>
              <w:rPr>
                <w:sz w:val="16"/>
                <w:szCs w:val="16"/>
                <w:color w:val="auto"/>
              </w:rPr>
            </w:pPr>
          </w:p>
        </w:tc>
        <w:tc>
          <w:tcPr>
            <w:tcW w:w="780" w:type="dxa"/>
            <w:vAlign w:val="bottom"/>
            <w:tcBorders>
              <w:top w:val="single" w:sz="8" w:color="325889"/>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325889"/>
            </w:tcBorders>
          </w:tcPr>
          <w:p>
            <w:pPr>
              <w:spacing w:after="0"/>
              <w:rPr>
                <w:sz w:val="16"/>
                <w:szCs w:val="16"/>
                <w:color w:val="auto"/>
              </w:rPr>
            </w:pPr>
          </w:p>
        </w:tc>
        <w:tc>
          <w:tcPr>
            <w:tcW w:w="840" w:type="dxa"/>
            <w:vAlign w:val="bottom"/>
            <w:tcBorders>
              <w:top w:val="single" w:sz="8" w:color="325889"/>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325889"/>
            </w:tcBorders>
          </w:tcPr>
          <w:p>
            <w:pPr>
              <w:spacing w:after="0"/>
              <w:rPr>
                <w:sz w:val="16"/>
                <w:szCs w:val="16"/>
                <w:color w:val="auto"/>
              </w:rPr>
            </w:pPr>
          </w:p>
        </w:tc>
        <w:tc>
          <w:tcPr>
            <w:tcW w:w="120" w:type="dxa"/>
            <w:vAlign w:val="bottom"/>
            <w:tcBorders>
              <w:top w:val="single" w:sz="8" w:color="325889"/>
            </w:tcBorders>
          </w:tcPr>
          <w:p>
            <w:pPr>
              <w:spacing w:after="0"/>
              <w:rPr>
                <w:sz w:val="16"/>
                <w:szCs w:val="16"/>
                <w:color w:val="auto"/>
              </w:rPr>
            </w:pPr>
          </w:p>
        </w:tc>
        <w:tc>
          <w:tcPr>
            <w:tcW w:w="680" w:type="dxa"/>
            <w:vAlign w:val="bottom"/>
            <w:tcBorders>
              <w:top w:val="single" w:sz="8" w:color="325889"/>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325889"/>
            </w:tcBorders>
          </w:tcPr>
          <w:p>
            <w:pPr>
              <w:spacing w:after="0"/>
              <w:rPr>
                <w:sz w:val="16"/>
                <w:szCs w:val="16"/>
                <w:color w:val="auto"/>
              </w:rPr>
            </w:pPr>
          </w:p>
        </w:tc>
        <w:tc>
          <w:tcPr>
            <w:tcW w:w="800" w:type="dxa"/>
            <w:vAlign w:val="bottom"/>
            <w:tcBorders>
              <w:top w:val="single" w:sz="8" w:color="325889"/>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325889"/>
            </w:tcBorders>
          </w:tcPr>
          <w:p>
            <w:pPr>
              <w:spacing w:after="0"/>
              <w:rPr>
                <w:sz w:val="16"/>
                <w:szCs w:val="16"/>
                <w:color w:val="auto"/>
              </w:rPr>
            </w:pPr>
          </w:p>
        </w:tc>
        <w:tc>
          <w:tcPr>
            <w:tcW w:w="800" w:type="dxa"/>
            <w:vAlign w:val="bottom"/>
            <w:tcBorders>
              <w:top w:val="single" w:sz="8" w:color="325889"/>
            </w:tcBorders>
          </w:tcPr>
          <w:p>
            <w:pPr>
              <w:spacing w:after="0"/>
              <w:rPr>
                <w:sz w:val="16"/>
                <w:szCs w:val="16"/>
                <w:color w:val="auto"/>
              </w:rPr>
            </w:pPr>
          </w:p>
        </w:tc>
      </w:tr>
      <w:tr>
        <w:trPr>
          <w:trHeight w:val="210"/>
        </w:trPr>
        <w:tc>
          <w:tcPr>
            <w:tcW w:w="5360" w:type="dxa"/>
            <w:vAlign w:val="bottom"/>
            <w:tcBorders>
              <w:bottom w:val="single" w:sz="8" w:color="98A3B8"/>
            </w:tcBorders>
            <w:gridSpan w:val="2"/>
          </w:tcPr>
          <w:p>
            <w:pPr>
              <w:spacing w:after="0"/>
              <w:rPr>
                <w:sz w:val="20"/>
                <w:szCs w:val="20"/>
                <w:color w:val="auto"/>
              </w:rPr>
            </w:pPr>
            <w:r>
              <w:rPr>
                <w:rFonts w:ascii="Arial" w:cs="Arial" w:eastAsia="Arial" w:hAnsi="Arial"/>
                <w:sz w:val="15"/>
                <w:szCs w:val="15"/>
                <w:b w:val="1"/>
                <w:bCs w:val="1"/>
                <w:color w:val="auto"/>
              </w:rPr>
              <w:t>NOI Reconciliation:</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3"/>
        </w:trPr>
        <w:tc>
          <w:tcPr>
            <w:tcW w:w="5360" w:type="dxa"/>
            <w:vAlign w:val="bottom"/>
            <w:gridSpan w:val="2"/>
          </w:tcPr>
          <w:p>
            <w:pPr>
              <w:spacing w:after="0"/>
              <w:rPr>
                <w:sz w:val="20"/>
                <w:szCs w:val="20"/>
                <w:color w:val="auto"/>
              </w:rPr>
            </w:pPr>
            <w:r>
              <w:rPr>
                <w:rFonts w:ascii="Arial" w:cs="Arial" w:eastAsia="Arial" w:hAnsi="Arial"/>
                <w:sz w:val="15"/>
                <w:szCs w:val="15"/>
                <w:color w:val="auto"/>
              </w:rPr>
              <w:t>Income (loss) from continuing</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78"/>
        </w:trPr>
        <w:tc>
          <w:tcPr>
            <w:tcW w:w="5360" w:type="dxa"/>
            <w:vAlign w:val="bottom"/>
            <w:gridSpan w:val="2"/>
          </w:tcPr>
          <w:p>
            <w:pPr>
              <w:spacing w:after="0"/>
              <w:rPr>
                <w:sz w:val="20"/>
                <w:szCs w:val="20"/>
                <w:color w:val="auto"/>
              </w:rPr>
            </w:pPr>
            <w:r>
              <w:rPr>
                <w:rFonts w:ascii="Arial" w:cs="Arial" w:eastAsia="Arial" w:hAnsi="Arial"/>
                <w:sz w:val="15"/>
                <w:szCs w:val="15"/>
                <w:color w:val="auto"/>
              </w:rPr>
              <w:t>operations before equity in net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8"/>
        </w:trPr>
        <w:tc>
          <w:tcPr>
            <w:tcW w:w="5360" w:type="dxa"/>
            <w:vAlign w:val="bottom"/>
            <w:gridSpan w:val="2"/>
          </w:tcPr>
          <w:p>
            <w:pPr>
              <w:spacing w:after="0"/>
              <w:rPr>
                <w:sz w:val="20"/>
                <w:szCs w:val="20"/>
                <w:color w:val="auto"/>
              </w:rPr>
            </w:pPr>
            <w:r>
              <w:rPr>
                <w:rFonts w:ascii="Arial" w:cs="Arial" w:eastAsia="Arial" w:hAnsi="Arial"/>
                <w:sz w:val="15"/>
                <w:szCs w:val="15"/>
                <w:color w:val="auto"/>
              </w:rPr>
              <w:t>income from unconsolidated joint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8"/>
        </w:trPr>
        <w:tc>
          <w:tcPr>
            <w:tcW w:w="5360" w:type="dxa"/>
            <w:vAlign w:val="bottom"/>
            <w:gridSpan w:val="2"/>
          </w:tcPr>
          <w:p>
            <w:pPr>
              <w:spacing w:after="0"/>
              <w:rPr>
                <w:sz w:val="20"/>
                <w:szCs w:val="20"/>
                <w:color w:val="auto"/>
              </w:rPr>
            </w:pPr>
            <w:r>
              <w:rPr>
                <w:rFonts w:ascii="Arial" w:cs="Arial" w:eastAsia="Arial" w:hAnsi="Arial"/>
                <w:sz w:val="15"/>
                <w:szCs w:val="15"/>
                <w:color w:val="auto"/>
              </w:rPr>
              <w:t>ventures, equity in net gain on sale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8"/>
        </w:trPr>
        <w:tc>
          <w:tcPr>
            <w:tcW w:w="5360" w:type="dxa"/>
            <w:vAlign w:val="bottom"/>
            <w:gridSpan w:val="2"/>
          </w:tcPr>
          <w:p>
            <w:pPr>
              <w:spacing w:after="0"/>
              <w:rPr>
                <w:sz w:val="20"/>
                <w:szCs w:val="20"/>
                <w:color w:val="auto"/>
              </w:rPr>
            </w:pPr>
            <w:r>
              <w:rPr>
                <w:rFonts w:ascii="Arial" w:cs="Arial" w:eastAsia="Arial" w:hAnsi="Arial"/>
                <w:sz w:val="15"/>
                <w:szCs w:val="15"/>
                <w:color w:val="auto"/>
              </w:rPr>
              <w:t>of interest in unconsolidated joint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8"/>
        </w:trPr>
        <w:tc>
          <w:tcPr>
            <w:tcW w:w="5360" w:type="dxa"/>
            <w:vAlign w:val="bottom"/>
            <w:gridSpan w:val="2"/>
          </w:tcPr>
          <w:p>
            <w:pPr>
              <w:spacing w:after="0"/>
              <w:rPr>
                <w:sz w:val="20"/>
                <w:szCs w:val="20"/>
                <w:color w:val="auto"/>
              </w:rPr>
            </w:pPr>
            <w:r>
              <w:rPr>
                <w:rFonts w:ascii="Arial" w:cs="Arial" w:eastAsia="Arial" w:hAnsi="Arial"/>
                <w:sz w:val="15"/>
                <w:szCs w:val="15"/>
                <w:color w:val="auto"/>
              </w:rPr>
              <w:t>venture/real estate, gain on sale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8"/>
        </w:trPr>
        <w:tc>
          <w:tcPr>
            <w:tcW w:w="5360" w:type="dxa"/>
            <w:vAlign w:val="bottom"/>
            <w:gridSpan w:val="2"/>
          </w:tcPr>
          <w:p>
            <w:pPr>
              <w:spacing w:after="0"/>
              <w:rPr>
                <w:sz w:val="20"/>
                <w:szCs w:val="20"/>
                <w:color w:val="auto"/>
              </w:rPr>
            </w:pPr>
            <w:r>
              <w:rPr>
                <w:rFonts w:ascii="Arial" w:cs="Arial" w:eastAsia="Arial" w:hAnsi="Arial"/>
                <w:sz w:val="15"/>
                <w:szCs w:val="15"/>
                <w:color w:val="auto"/>
              </w:rPr>
              <w:t>of real estate, depreciable real estate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8"/>
        </w:trPr>
        <w:tc>
          <w:tcPr>
            <w:tcW w:w="5360" w:type="dxa"/>
            <w:vAlign w:val="bottom"/>
            <w:gridSpan w:val="2"/>
          </w:tcPr>
          <w:p>
            <w:pPr>
              <w:spacing w:after="0"/>
              <w:rPr>
                <w:sz w:val="20"/>
                <w:szCs w:val="20"/>
                <w:color w:val="auto"/>
              </w:rPr>
            </w:pPr>
            <w:r>
              <w:rPr>
                <w:rFonts w:ascii="Arial" w:cs="Arial" w:eastAsia="Arial" w:hAnsi="Arial"/>
                <w:sz w:val="15"/>
                <w:szCs w:val="15"/>
                <w:color w:val="auto"/>
              </w:rPr>
              <w:t>reserve, loss on sale of marketable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8"/>
        </w:trPr>
        <w:tc>
          <w:tcPr>
            <w:tcW w:w="5360" w:type="dxa"/>
            <w:vAlign w:val="bottom"/>
            <w:gridSpan w:val="2"/>
          </w:tcPr>
          <w:p>
            <w:pPr>
              <w:spacing w:after="0"/>
              <w:rPr>
                <w:sz w:val="20"/>
                <w:szCs w:val="20"/>
                <w:color w:val="auto"/>
              </w:rPr>
            </w:pPr>
            <w:r>
              <w:rPr>
                <w:rFonts w:ascii="Arial" w:cs="Arial" w:eastAsia="Arial" w:hAnsi="Arial"/>
                <w:sz w:val="15"/>
                <w:szCs w:val="15"/>
                <w:color w:val="auto"/>
              </w:rPr>
              <w:t>securities and loss on early</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92"/>
        </w:trPr>
        <w:tc>
          <w:tcPr>
            <w:tcW w:w="5360" w:type="dxa"/>
            <w:vAlign w:val="bottom"/>
            <w:gridSpan w:val="2"/>
          </w:tcPr>
          <w:p>
            <w:pPr>
              <w:spacing w:after="0"/>
              <w:rPr>
                <w:sz w:val="20"/>
                <w:szCs w:val="20"/>
                <w:color w:val="auto"/>
              </w:rPr>
            </w:pPr>
            <w:r>
              <w:rPr>
                <w:rFonts w:ascii="Arial" w:cs="Arial" w:eastAsia="Arial" w:hAnsi="Arial"/>
                <w:sz w:val="15"/>
                <w:szCs w:val="15"/>
                <w:color w:val="auto"/>
              </w:rPr>
              <w:t>extinguishment of debt</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(4,618)</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77,261</w:t>
            </w:r>
          </w:p>
        </w:tc>
        <w:tc>
          <w:tcPr>
            <w:tcW w:w="1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32,032</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 w:type="dxa"/>
            <w:vAlign w:val="bottom"/>
          </w:tcPr>
          <w:p>
            <w:pPr>
              <w:spacing w:after="0"/>
              <w:rPr>
                <w:sz w:val="16"/>
                <w:szCs w:val="16"/>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4,257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3"/>
        </w:trPr>
        <w:tc>
          <w:tcPr>
            <w:tcW w:w="5360" w:type="dxa"/>
            <w:vAlign w:val="bottom"/>
            <w:tcBorders>
              <w:top w:val="single" w:sz="8" w:color="98A3B8"/>
            </w:tcBorders>
            <w:gridSpan w:val="2"/>
          </w:tcPr>
          <w:p>
            <w:pPr>
              <w:spacing w:after="0"/>
              <w:rPr>
                <w:sz w:val="20"/>
                <w:szCs w:val="20"/>
                <w:color w:val="auto"/>
              </w:rPr>
            </w:pPr>
            <w:r>
              <w:rPr>
                <w:rFonts w:ascii="Arial" w:cs="Arial" w:eastAsia="Arial" w:hAnsi="Arial"/>
                <w:sz w:val="15"/>
                <w:szCs w:val="15"/>
                <w:color w:val="auto"/>
              </w:rPr>
              <w:t>Equity in net income from</w:t>
            </w:r>
          </w:p>
        </w:tc>
        <w:tc>
          <w:tcPr>
            <w:tcW w:w="160" w:type="dxa"/>
            <w:vAlign w:val="bottom"/>
          </w:tcPr>
          <w:p>
            <w:pPr>
              <w:spacing w:after="0"/>
              <w:rPr>
                <w:sz w:val="17"/>
                <w:szCs w:val="17"/>
                <w:color w:val="auto"/>
              </w:rPr>
            </w:pPr>
          </w:p>
        </w:tc>
        <w:tc>
          <w:tcPr>
            <w:tcW w:w="80" w:type="dxa"/>
            <w:vAlign w:val="bottom"/>
            <w:tcBorders>
              <w:top w:val="single" w:sz="8" w:color="98A3B8"/>
            </w:tcBorders>
          </w:tcPr>
          <w:p>
            <w:pPr>
              <w:spacing w:after="0"/>
              <w:rPr>
                <w:sz w:val="17"/>
                <w:szCs w:val="17"/>
                <w:color w:val="auto"/>
              </w:rPr>
            </w:pPr>
          </w:p>
        </w:tc>
        <w:tc>
          <w:tcPr>
            <w:tcW w:w="800" w:type="dxa"/>
            <w:vAlign w:val="bottom"/>
            <w:tcBorders>
              <w:top w:val="single" w:sz="8" w:color="98A3B8"/>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98A3B8"/>
            </w:tcBorders>
          </w:tcPr>
          <w:p>
            <w:pPr>
              <w:spacing w:after="0"/>
              <w:rPr>
                <w:sz w:val="17"/>
                <w:szCs w:val="17"/>
                <w:color w:val="auto"/>
              </w:rPr>
            </w:pPr>
          </w:p>
        </w:tc>
        <w:tc>
          <w:tcPr>
            <w:tcW w:w="780" w:type="dxa"/>
            <w:vAlign w:val="bottom"/>
            <w:tcBorders>
              <w:top w:val="single" w:sz="8" w:color="98A3B8"/>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98A3B8"/>
            </w:tcBorders>
          </w:tcPr>
          <w:p>
            <w:pPr>
              <w:spacing w:after="0"/>
              <w:rPr>
                <w:sz w:val="17"/>
                <w:szCs w:val="17"/>
                <w:color w:val="auto"/>
              </w:rPr>
            </w:pPr>
          </w:p>
        </w:tc>
        <w:tc>
          <w:tcPr>
            <w:tcW w:w="840" w:type="dxa"/>
            <w:vAlign w:val="bottom"/>
            <w:tcBorders>
              <w:top w:val="single" w:sz="8" w:color="98A3B8"/>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98A3B8"/>
            </w:tcBorders>
          </w:tcPr>
          <w:p>
            <w:pPr>
              <w:spacing w:after="0"/>
              <w:rPr>
                <w:sz w:val="17"/>
                <w:szCs w:val="17"/>
                <w:color w:val="auto"/>
              </w:rPr>
            </w:pPr>
          </w:p>
        </w:tc>
        <w:tc>
          <w:tcPr>
            <w:tcW w:w="120" w:type="dxa"/>
            <w:vAlign w:val="bottom"/>
            <w:tcBorders>
              <w:top w:val="single" w:sz="8" w:color="98A3B8"/>
            </w:tcBorders>
          </w:tcPr>
          <w:p>
            <w:pPr>
              <w:spacing w:after="0"/>
              <w:rPr>
                <w:sz w:val="17"/>
                <w:szCs w:val="17"/>
                <w:color w:val="auto"/>
              </w:rPr>
            </w:pPr>
          </w:p>
        </w:tc>
        <w:tc>
          <w:tcPr>
            <w:tcW w:w="680" w:type="dxa"/>
            <w:vAlign w:val="bottom"/>
            <w:tcBorders>
              <w:top w:val="single" w:sz="8" w:color="98A3B8"/>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2"/>
        </w:trPr>
        <w:tc>
          <w:tcPr>
            <w:tcW w:w="5360" w:type="dxa"/>
            <w:vAlign w:val="bottom"/>
            <w:gridSpan w:val="2"/>
          </w:tcPr>
          <w:p>
            <w:pPr>
              <w:spacing w:after="0"/>
              <w:rPr>
                <w:sz w:val="20"/>
                <w:szCs w:val="20"/>
                <w:color w:val="auto"/>
              </w:rPr>
            </w:pPr>
            <w:r>
              <w:rPr>
                <w:rFonts w:ascii="Arial" w:cs="Arial" w:eastAsia="Arial" w:hAnsi="Arial"/>
                <w:sz w:val="15"/>
                <w:szCs w:val="15"/>
                <w:color w:val="auto"/>
              </w:rPr>
              <w:t>unconsolidated joint ventures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ind w:right="25"/>
              <w:spacing w:after="0"/>
              <w:rPr>
                <w:sz w:val="20"/>
                <w:szCs w:val="20"/>
                <w:color w:val="auto"/>
              </w:rPr>
            </w:pPr>
            <w:r>
              <w:rPr>
                <w:rFonts w:ascii="Arial" w:cs="Arial" w:eastAsia="Arial" w:hAnsi="Arial"/>
                <w:sz w:val="15"/>
                <w:szCs w:val="15"/>
                <w:color w:val="auto"/>
              </w:rPr>
              <w:t>11,874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13,028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7"/>
        </w:trPr>
        <w:tc>
          <w:tcPr>
            <w:tcW w:w="5360" w:type="dxa"/>
            <w:vAlign w:val="bottom"/>
            <w:tcBorders>
              <w:top w:val="single" w:sz="8" w:color="98A3B8"/>
              <w:bottom w:val="single" w:sz="8" w:color="98A3B8"/>
            </w:tcBorders>
            <w:gridSpan w:val="2"/>
          </w:tcPr>
          <w:p>
            <w:pPr>
              <w:spacing w:after="0"/>
              <w:rPr>
                <w:sz w:val="20"/>
                <w:szCs w:val="20"/>
                <w:color w:val="auto"/>
              </w:rPr>
            </w:pPr>
            <w:r>
              <w:rPr>
                <w:rFonts w:ascii="Arial" w:cs="Arial" w:eastAsia="Arial" w:hAnsi="Arial"/>
                <w:sz w:val="15"/>
                <w:szCs w:val="15"/>
                <w:color w:val="auto"/>
              </w:rPr>
              <w:t>Depreciation and amortization</w:t>
            </w:r>
          </w:p>
        </w:tc>
        <w:tc>
          <w:tcPr>
            <w:tcW w:w="160" w:type="dxa"/>
            <w:vAlign w:val="bottom"/>
          </w:tcPr>
          <w:p>
            <w:pPr>
              <w:spacing w:after="0"/>
              <w:rPr>
                <w:sz w:val="18"/>
                <w:szCs w:val="18"/>
                <w:color w:val="auto"/>
              </w:rPr>
            </w:pPr>
          </w:p>
        </w:tc>
        <w:tc>
          <w:tcPr>
            <w:tcW w:w="80" w:type="dxa"/>
            <w:vAlign w:val="bottom"/>
            <w:tcBorders>
              <w:top w:val="single" w:sz="8" w:color="98A3B8"/>
              <w:bottom w:val="single" w:sz="8" w:color="98A3B8"/>
            </w:tcBorders>
          </w:tcPr>
          <w:p>
            <w:pPr>
              <w:spacing w:after="0"/>
              <w:rPr>
                <w:sz w:val="18"/>
                <w:szCs w:val="18"/>
                <w:color w:val="auto"/>
              </w:rPr>
            </w:pPr>
          </w:p>
        </w:tc>
        <w:tc>
          <w:tcPr>
            <w:tcW w:w="800" w:type="dxa"/>
            <w:vAlign w:val="bottom"/>
            <w:tcBorders>
              <w:top w:val="single" w:sz="8" w:color="98A3B8"/>
              <w:bottom w:val="single" w:sz="8" w:color="98A3B8"/>
            </w:tcBorders>
          </w:tcPr>
          <w:p>
            <w:pPr>
              <w:jc w:val="right"/>
              <w:ind w:right="25"/>
              <w:spacing w:after="0"/>
              <w:rPr>
                <w:sz w:val="20"/>
                <w:szCs w:val="20"/>
                <w:color w:val="auto"/>
              </w:rPr>
            </w:pPr>
            <w:r>
              <w:rPr>
                <w:rFonts w:ascii="Arial" w:cs="Arial" w:eastAsia="Arial" w:hAnsi="Arial"/>
                <w:sz w:val="15"/>
                <w:szCs w:val="15"/>
                <w:color w:val="auto"/>
              </w:rPr>
              <w:t>821,041</w:t>
            </w:r>
          </w:p>
        </w:tc>
        <w:tc>
          <w:tcPr>
            <w:tcW w:w="80" w:type="dxa"/>
            <w:vAlign w:val="bottom"/>
          </w:tcPr>
          <w:p>
            <w:pPr>
              <w:spacing w:after="0"/>
              <w:rPr>
                <w:sz w:val="18"/>
                <w:szCs w:val="18"/>
                <w:color w:val="auto"/>
              </w:rPr>
            </w:pPr>
          </w:p>
        </w:tc>
        <w:tc>
          <w:tcPr>
            <w:tcW w:w="100" w:type="dxa"/>
            <w:vAlign w:val="bottom"/>
            <w:tcBorders>
              <w:top w:val="single" w:sz="8" w:color="98A3B8"/>
              <w:bottom w:val="single" w:sz="8" w:color="98A3B8"/>
            </w:tcBorders>
          </w:tcPr>
          <w:p>
            <w:pPr>
              <w:spacing w:after="0"/>
              <w:rPr>
                <w:sz w:val="18"/>
                <w:szCs w:val="18"/>
                <w:color w:val="auto"/>
              </w:rPr>
            </w:pPr>
          </w:p>
        </w:tc>
        <w:tc>
          <w:tcPr>
            <w:tcW w:w="780" w:type="dxa"/>
            <w:vAlign w:val="bottom"/>
            <w:tcBorders>
              <w:top w:val="single" w:sz="8" w:color="98A3B8"/>
              <w:bottom w:val="single" w:sz="8" w:color="98A3B8"/>
            </w:tcBorders>
          </w:tcPr>
          <w:p>
            <w:pPr>
              <w:jc w:val="right"/>
              <w:ind w:right="24"/>
              <w:spacing w:after="0"/>
              <w:rPr>
                <w:sz w:val="20"/>
                <w:szCs w:val="20"/>
                <w:color w:val="auto"/>
              </w:rPr>
            </w:pPr>
            <w:r>
              <w:rPr>
                <w:rFonts w:ascii="Arial" w:cs="Arial" w:eastAsia="Arial" w:hAnsi="Arial"/>
                <w:sz w:val="15"/>
                <w:szCs w:val="15"/>
                <w:color w:val="auto"/>
              </w:rPr>
              <w:t>560,887</w:t>
            </w:r>
          </w:p>
        </w:tc>
        <w:tc>
          <w:tcPr>
            <w:tcW w:w="140" w:type="dxa"/>
            <w:vAlign w:val="bottom"/>
          </w:tcPr>
          <w:p>
            <w:pPr>
              <w:spacing w:after="0"/>
              <w:rPr>
                <w:sz w:val="18"/>
                <w:szCs w:val="18"/>
                <w:color w:val="auto"/>
              </w:rPr>
            </w:pPr>
          </w:p>
        </w:tc>
        <w:tc>
          <w:tcPr>
            <w:tcW w:w="80" w:type="dxa"/>
            <w:vAlign w:val="bottom"/>
            <w:tcBorders>
              <w:top w:val="single" w:sz="8" w:color="98A3B8"/>
              <w:bottom w:val="single" w:sz="8" w:color="98A3B8"/>
            </w:tcBorders>
          </w:tcPr>
          <w:p>
            <w:pPr>
              <w:spacing w:after="0"/>
              <w:rPr>
                <w:sz w:val="18"/>
                <w:szCs w:val="18"/>
                <w:color w:val="auto"/>
              </w:rPr>
            </w:pPr>
          </w:p>
        </w:tc>
        <w:tc>
          <w:tcPr>
            <w:tcW w:w="840" w:type="dxa"/>
            <w:vAlign w:val="bottom"/>
            <w:tcBorders>
              <w:top w:val="single" w:sz="8" w:color="98A3B8"/>
              <w:bottom w:val="single" w:sz="8" w:color="98A3B8"/>
            </w:tcBorders>
          </w:tcPr>
          <w:p>
            <w:pPr>
              <w:jc w:val="right"/>
              <w:ind w:right="5"/>
              <w:spacing w:after="0"/>
              <w:rPr>
                <w:sz w:val="20"/>
                <w:szCs w:val="20"/>
                <w:color w:val="auto"/>
              </w:rPr>
            </w:pPr>
            <w:r>
              <w:rPr>
                <w:rFonts w:ascii="Arial" w:cs="Arial" w:eastAsia="Arial" w:hAnsi="Arial"/>
                <w:sz w:val="15"/>
                <w:szCs w:val="15"/>
                <w:color w:val="auto"/>
              </w:rPr>
              <w:t>199,011</w:t>
            </w:r>
          </w:p>
        </w:tc>
        <w:tc>
          <w:tcPr>
            <w:tcW w:w="80" w:type="dxa"/>
            <w:vAlign w:val="bottom"/>
          </w:tcPr>
          <w:p>
            <w:pPr>
              <w:spacing w:after="0"/>
              <w:rPr>
                <w:sz w:val="18"/>
                <w:szCs w:val="18"/>
                <w:color w:val="auto"/>
              </w:rPr>
            </w:pPr>
          </w:p>
        </w:tc>
        <w:tc>
          <w:tcPr>
            <w:tcW w:w="120" w:type="dxa"/>
            <w:vAlign w:val="bottom"/>
            <w:tcBorders>
              <w:top w:val="single" w:sz="8" w:color="98A3B8"/>
              <w:bottom w:val="single" w:sz="8" w:color="98A3B8"/>
            </w:tcBorders>
          </w:tcPr>
          <w:p>
            <w:pPr>
              <w:spacing w:after="0"/>
              <w:rPr>
                <w:sz w:val="18"/>
                <w:szCs w:val="18"/>
                <w:color w:val="auto"/>
              </w:rPr>
            </w:pPr>
          </w:p>
        </w:tc>
        <w:tc>
          <w:tcPr>
            <w:tcW w:w="120" w:type="dxa"/>
            <w:vAlign w:val="bottom"/>
            <w:tcBorders>
              <w:top w:val="single" w:sz="8" w:color="98A3B8"/>
              <w:bottom w:val="single" w:sz="8" w:color="98A3B8"/>
            </w:tcBorders>
          </w:tcPr>
          <w:p>
            <w:pPr>
              <w:spacing w:after="0"/>
              <w:rPr>
                <w:sz w:val="18"/>
                <w:szCs w:val="18"/>
                <w:color w:val="auto"/>
              </w:rPr>
            </w:pPr>
          </w:p>
        </w:tc>
        <w:tc>
          <w:tcPr>
            <w:tcW w:w="680" w:type="dxa"/>
            <w:vAlign w:val="bottom"/>
            <w:tcBorders>
              <w:top w:val="single" w:sz="8" w:color="98A3B8"/>
              <w:bottom w:val="single" w:sz="8" w:color="98A3B8"/>
            </w:tcBorders>
          </w:tcPr>
          <w:p>
            <w:pPr>
              <w:jc w:val="right"/>
              <w:ind w:right="4"/>
              <w:spacing w:after="0"/>
              <w:rPr>
                <w:sz w:val="20"/>
                <w:szCs w:val="20"/>
                <w:color w:val="auto"/>
              </w:rPr>
            </w:pPr>
            <w:r>
              <w:rPr>
                <w:rFonts w:ascii="Arial" w:cs="Arial" w:eastAsia="Arial" w:hAnsi="Arial"/>
                <w:sz w:val="15"/>
                <w:szCs w:val="15"/>
                <w:color w:val="auto"/>
              </w:rPr>
              <w:t>149,023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3"/>
        </w:trPr>
        <w:tc>
          <w:tcPr>
            <w:tcW w:w="5360" w:type="dxa"/>
            <w:vAlign w:val="bottom"/>
            <w:gridSpan w:val="2"/>
          </w:tcPr>
          <w:p>
            <w:pPr>
              <w:spacing w:after="0"/>
              <w:rPr>
                <w:sz w:val="20"/>
                <w:szCs w:val="20"/>
                <w:color w:val="auto"/>
              </w:rPr>
            </w:pPr>
            <w:r>
              <w:rPr>
                <w:rFonts w:ascii="Arial" w:cs="Arial" w:eastAsia="Arial" w:hAnsi="Arial"/>
                <w:sz w:val="15"/>
                <w:szCs w:val="15"/>
                <w:color w:val="auto"/>
              </w:rPr>
              <w:t>Interest expense, net of</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2"/>
        </w:trPr>
        <w:tc>
          <w:tcPr>
            <w:tcW w:w="5360" w:type="dxa"/>
            <w:vAlign w:val="bottom"/>
            <w:tcBorders>
              <w:bottom w:val="single" w:sz="8" w:color="98A3B8"/>
            </w:tcBorders>
            <w:gridSpan w:val="2"/>
          </w:tcPr>
          <w:p>
            <w:pPr>
              <w:spacing w:after="0"/>
              <w:rPr>
                <w:sz w:val="20"/>
                <w:szCs w:val="20"/>
                <w:color w:val="auto"/>
              </w:rPr>
            </w:pPr>
            <w:r>
              <w:rPr>
                <w:rFonts w:ascii="Arial" w:cs="Arial" w:eastAsia="Arial" w:hAnsi="Arial"/>
                <w:sz w:val="15"/>
                <w:szCs w:val="15"/>
                <w:color w:val="auto"/>
              </w:rPr>
              <w:t>interest income</w:t>
            </w:r>
          </w:p>
        </w:tc>
        <w:tc>
          <w:tcPr>
            <w:tcW w:w="160" w:type="dxa"/>
            <w:vAlign w:val="bottom"/>
          </w:tcPr>
          <w:p>
            <w:pPr>
              <w:spacing w:after="0"/>
              <w:rPr>
                <w:sz w:val="16"/>
                <w:szCs w:val="16"/>
                <w:color w:val="auto"/>
              </w:rPr>
            </w:pPr>
          </w:p>
        </w:tc>
        <w:tc>
          <w:tcPr>
            <w:tcW w:w="80" w:type="dxa"/>
            <w:vAlign w:val="bottom"/>
            <w:tcBorders>
              <w:bottom w:val="single" w:sz="8" w:color="98A3B8"/>
            </w:tcBorders>
          </w:tcPr>
          <w:p>
            <w:pPr>
              <w:spacing w:after="0"/>
              <w:rPr>
                <w:sz w:val="16"/>
                <w:szCs w:val="16"/>
                <w:color w:val="auto"/>
              </w:rPr>
            </w:pPr>
          </w:p>
        </w:tc>
        <w:tc>
          <w:tcPr>
            <w:tcW w:w="800" w:type="dxa"/>
            <w:vAlign w:val="bottom"/>
            <w:tcBorders>
              <w:bottom w:val="single" w:sz="8" w:color="98A3B8"/>
            </w:tcBorders>
          </w:tcPr>
          <w:p>
            <w:pPr>
              <w:jc w:val="right"/>
              <w:ind w:right="25"/>
              <w:spacing w:after="0"/>
              <w:rPr>
                <w:sz w:val="20"/>
                <w:szCs w:val="20"/>
                <w:color w:val="auto"/>
              </w:rPr>
            </w:pPr>
            <w:r>
              <w:rPr>
                <w:rFonts w:ascii="Arial" w:cs="Arial" w:eastAsia="Arial" w:hAnsi="Arial"/>
                <w:sz w:val="15"/>
                <w:szCs w:val="15"/>
                <w:color w:val="auto"/>
              </w:rPr>
              <w:t>321,199</w:t>
            </w:r>
          </w:p>
        </w:tc>
        <w:tc>
          <w:tcPr>
            <w:tcW w:w="80" w:type="dxa"/>
            <w:vAlign w:val="bottom"/>
          </w:tcPr>
          <w:p>
            <w:pPr>
              <w:spacing w:after="0"/>
              <w:rPr>
                <w:sz w:val="16"/>
                <w:szCs w:val="16"/>
                <w:color w:val="auto"/>
              </w:rPr>
            </w:pPr>
          </w:p>
        </w:tc>
        <w:tc>
          <w:tcPr>
            <w:tcW w:w="100" w:type="dxa"/>
            <w:vAlign w:val="bottom"/>
            <w:tcBorders>
              <w:bottom w:val="single" w:sz="8" w:color="98A3B8"/>
            </w:tcBorders>
          </w:tcPr>
          <w:p>
            <w:pPr>
              <w:spacing w:after="0"/>
              <w:rPr>
                <w:sz w:val="16"/>
                <w:szCs w:val="16"/>
                <w:color w:val="auto"/>
              </w:rPr>
            </w:pPr>
          </w:p>
        </w:tc>
        <w:tc>
          <w:tcPr>
            <w:tcW w:w="780" w:type="dxa"/>
            <w:vAlign w:val="bottom"/>
            <w:tcBorders>
              <w:bottom w:val="single" w:sz="8" w:color="98A3B8"/>
            </w:tcBorders>
          </w:tcPr>
          <w:p>
            <w:pPr>
              <w:jc w:val="right"/>
              <w:ind w:right="24"/>
              <w:spacing w:after="0"/>
              <w:rPr>
                <w:sz w:val="20"/>
                <w:szCs w:val="20"/>
                <w:color w:val="auto"/>
              </w:rPr>
            </w:pPr>
            <w:r>
              <w:rPr>
                <w:rFonts w:ascii="Arial" w:cs="Arial" w:eastAsia="Arial" w:hAnsi="Arial"/>
                <w:sz w:val="15"/>
                <w:szCs w:val="15"/>
                <w:color w:val="auto"/>
              </w:rPr>
              <w:t>323,870</w:t>
            </w:r>
          </w:p>
        </w:tc>
        <w:tc>
          <w:tcPr>
            <w:tcW w:w="140" w:type="dxa"/>
            <w:vAlign w:val="bottom"/>
          </w:tcPr>
          <w:p>
            <w:pPr>
              <w:spacing w:after="0"/>
              <w:rPr>
                <w:sz w:val="16"/>
                <w:szCs w:val="16"/>
                <w:color w:val="auto"/>
              </w:rPr>
            </w:pPr>
          </w:p>
        </w:tc>
        <w:tc>
          <w:tcPr>
            <w:tcW w:w="80" w:type="dxa"/>
            <w:vAlign w:val="bottom"/>
            <w:tcBorders>
              <w:bottom w:val="single" w:sz="8" w:color="98A3B8"/>
            </w:tcBorders>
          </w:tcPr>
          <w:p>
            <w:pPr>
              <w:spacing w:after="0"/>
              <w:rPr>
                <w:sz w:val="16"/>
                <w:szCs w:val="16"/>
                <w:color w:val="auto"/>
              </w:rPr>
            </w:pPr>
          </w:p>
        </w:tc>
        <w:tc>
          <w:tcPr>
            <w:tcW w:w="840" w:type="dxa"/>
            <w:vAlign w:val="bottom"/>
            <w:tcBorders>
              <w:bottom w:val="single" w:sz="8" w:color="98A3B8"/>
            </w:tcBorders>
          </w:tcPr>
          <w:p>
            <w:pPr>
              <w:jc w:val="right"/>
              <w:ind w:right="5"/>
              <w:spacing w:after="0"/>
              <w:rPr>
                <w:sz w:val="20"/>
                <w:szCs w:val="20"/>
                <w:color w:val="auto"/>
              </w:rPr>
            </w:pPr>
            <w:r>
              <w:rPr>
                <w:rFonts w:ascii="Arial" w:cs="Arial" w:eastAsia="Arial" w:hAnsi="Arial"/>
                <w:sz w:val="15"/>
                <w:szCs w:val="15"/>
                <w:color w:val="auto"/>
              </w:rPr>
              <w:t>197,741</w:t>
            </w:r>
          </w:p>
        </w:tc>
        <w:tc>
          <w:tcPr>
            <w:tcW w:w="80" w:type="dxa"/>
            <w:vAlign w:val="bottom"/>
          </w:tcPr>
          <w:p>
            <w:pPr>
              <w:spacing w:after="0"/>
              <w:rPr>
                <w:sz w:val="16"/>
                <w:szCs w:val="16"/>
                <w:color w:val="auto"/>
              </w:rPr>
            </w:pPr>
          </w:p>
        </w:tc>
        <w:tc>
          <w:tcPr>
            <w:tcW w:w="120" w:type="dxa"/>
            <w:vAlign w:val="bottom"/>
            <w:tcBorders>
              <w:bottom w:val="single" w:sz="8" w:color="98A3B8"/>
            </w:tcBorders>
          </w:tcPr>
          <w:p>
            <w:pPr>
              <w:spacing w:after="0"/>
              <w:rPr>
                <w:sz w:val="16"/>
                <w:szCs w:val="16"/>
                <w:color w:val="auto"/>
              </w:rPr>
            </w:pPr>
          </w:p>
        </w:tc>
        <w:tc>
          <w:tcPr>
            <w:tcW w:w="120" w:type="dxa"/>
            <w:vAlign w:val="bottom"/>
            <w:tcBorders>
              <w:bottom w:val="single" w:sz="8" w:color="98A3B8"/>
            </w:tcBorders>
          </w:tcPr>
          <w:p>
            <w:pPr>
              <w:spacing w:after="0"/>
              <w:rPr>
                <w:sz w:val="16"/>
                <w:szCs w:val="16"/>
                <w:color w:val="auto"/>
              </w:rPr>
            </w:pPr>
          </w:p>
        </w:tc>
        <w:tc>
          <w:tcPr>
            <w:tcW w:w="680" w:type="dxa"/>
            <w:vAlign w:val="bottom"/>
            <w:tcBorders>
              <w:bottom w:val="single" w:sz="8" w:color="98A3B8"/>
            </w:tcBorders>
          </w:tcPr>
          <w:p>
            <w:pPr>
              <w:jc w:val="right"/>
              <w:ind w:right="4"/>
              <w:spacing w:after="0"/>
              <w:rPr>
                <w:sz w:val="20"/>
                <w:szCs w:val="20"/>
                <w:color w:val="auto"/>
              </w:rPr>
            </w:pPr>
            <w:r>
              <w:rPr>
                <w:rFonts w:ascii="Arial" w:cs="Arial" w:eastAsia="Arial" w:hAnsi="Arial"/>
                <w:sz w:val="15"/>
                <w:szCs w:val="15"/>
                <w:color w:val="auto"/>
              </w:rPr>
              <w:t>199,126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3"/>
        </w:trPr>
        <w:tc>
          <w:tcPr>
            <w:tcW w:w="5360" w:type="dxa"/>
            <w:vAlign w:val="bottom"/>
            <w:gridSpan w:val="2"/>
          </w:tcPr>
          <w:p>
            <w:pPr>
              <w:spacing w:after="0"/>
              <w:rPr>
                <w:sz w:val="20"/>
                <w:szCs w:val="20"/>
                <w:color w:val="auto"/>
              </w:rPr>
            </w:pPr>
            <w:r>
              <w:rPr>
                <w:rFonts w:ascii="Arial" w:cs="Arial" w:eastAsia="Arial" w:hAnsi="Arial"/>
                <w:sz w:val="15"/>
                <w:szCs w:val="15"/>
                <w:color w:val="auto"/>
              </w:rPr>
              <w:t>Amortization of deferred</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2"/>
        </w:trPr>
        <w:tc>
          <w:tcPr>
            <w:tcW w:w="5360" w:type="dxa"/>
            <w:vAlign w:val="bottom"/>
            <w:tcBorders>
              <w:bottom w:val="single" w:sz="8" w:color="98A3B8"/>
            </w:tcBorders>
            <w:gridSpan w:val="2"/>
          </w:tcPr>
          <w:p>
            <w:pPr>
              <w:spacing w:after="0"/>
              <w:rPr>
                <w:sz w:val="20"/>
                <w:szCs w:val="20"/>
                <w:color w:val="auto"/>
              </w:rPr>
            </w:pPr>
            <w:r>
              <w:rPr>
                <w:rFonts w:ascii="Arial" w:cs="Arial" w:eastAsia="Arial" w:hAnsi="Arial"/>
                <w:sz w:val="15"/>
                <w:szCs w:val="15"/>
                <w:color w:val="auto"/>
              </w:rPr>
              <w:t>financing costs</w:t>
            </w:r>
          </w:p>
        </w:tc>
        <w:tc>
          <w:tcPr>
            <w:tcW w:w="160" w:type="dxa"/>
            <w:vAlign w:val="bottom"/>
          </w:tcPr>
          <w:p>
            <w:pPr>
              <w:spacing w:after="0"/>
              <w:rPr>
                <w:sz w:val="16"/>
                <w:szCs w:val="16"/>
                <w:color w:val="auto"/>
              </w:rPr>
            </w:pPr>
          </w:p>
        </w:tc>
        <w:tc>
          <w:tcPr>
            <w:tcW w:w="80" w:type="dxa"/>
            <w:vAlign w:val="bottom"/>
            <w:tcBorders>
              <w:bottom w:val="single" w:sz="8" w:color="98A3B8"/>
            </w:tcBorders>
          </w:tcPr>
          <w:p>
            <w:pPr>
              <w:spacing w:after="0"/>
              <w:rPr>
                <w:sz w:val="16"/>
                <w:szCs w:val="16"/>
                <w:color w:val="auto"/>
              </w:rPr>
            </w:pPr>
          </w:p>
        </w:tc>
        <w:tc>
          <w:tcPr>
            <w:tcW w:w="800" w:type="dxa"/>
            <w:vAlign w:val="bottom"/>
            <w:tcBorders>
              <w:bottom w:val="single" w:sz="8" w:color="98A3B8"/>
            </w:tcBorders>
          </w:tcPr>
          <w:p>
            <w:pPr>
              <w:jc w:val="right"/>
              <w:ind w:right="25"/>
              <w:spacing w:after="0"/>
              <w:rPr>
                <w:sz w:val="20"/>
                <w:szCs w:val="20"/>
                <w:color w:val="auto"/>
              </w:rPr>
            </w:pPr>
            <w:r>
              <w:rPr>
                <w:rFonts w:ascii="Arial" w:cs="Arial" w:eastAsia="Arial" w:hAnsi="Arial"/>
                <w:sz w:val="15"/>
                <w:szCs w:val="15"/>
                <w:color w:val="auto"/>
              </w:rPr>
              <w:t>24,564</w:t>
            </w:r>
          </w:p>
        </w:tc>
        <w:tc>
          <w:tcPr>
            <w:tcW w:w="80" w:type="dxa"/>
            <w:vAlign w:val="bottom"/>
          </w:tcPr>
          <w:p>
            <w:pPr>
              <w:spacing w:after="0"/>
              <w:rPr>
                <w:sz w:val="16"/>
                <w:szCs w:val="16"/>
                <w:color w:val="auto"/>
              </w:rPr>
            </w:pPr>
          </w:p>
        </w:tc>
        <w:tc>
          <w:tcPr>
            <w:tcW w:w="100" w:type="dxa"/>
            <w:vAlign w:val="bottom"/>
            <w:tcBorders>
              <w:bottom w:val="single" w:sz="8" w:color="98A3B8"/>
            </w:tcBorders>
          </w:tcPr>
          <w:p>
            <w:pPr>
              <w:spacing w:after="0"/>
              <w:rPr>
                <w:sz w:val="16"/>
                <w:szCs w:val="16"/>
                <w:color w:val="auto"/>
              </w:rPr>
            </w:pPr>
          </w:p>
        </w:tc>
        <w:tc>
          <w:tcPr>
            <w:tcW w:w="780" w:type="dxa"/>
            <w:vAlign w:val="bottom"/>
            <w:tcBorders>
              <w:bottom w:val="single" w:sz="8" w:color="98A3B8"/>
            </w:tcBorders>
          </w:tcPr>
          <w:p>
            <w:pPr>
              <w:jc w:val="right"/>
              <w:ind w:right="24"/>
              <w:spacing w:after="0"/>
              <w:rPr>
                <w:sz w:val="20"/>
                <w:szCs w:val="20"/>
                <w:color w:val="auto"/>
              </w:rPr>
            </w:pPr>
            <w:r>
              <w:rPr>
                <w:rFonts w:ascii="Arial" w:cs="Arial" w:eastAsia="Arial" w:hAnsi="Arial"/>
                <w:sz w:val="15"/>
                <w:szCs w:val="15"/>
                <w:color w:val="auto"/>
              </w:rPr>
              <w:t>27,348</w:t>
            </w:r>
          </w:p>
        </w:tc>
        <w:tc>
          <w:tcPr>
            <w:tcW w:w="140" w:type="dxa"/>
            <w:vAlign w:val="bottom"/>
          </w:tcPr>
          <w:p>
            <w:pPr>
              <w:spacing w:after="0"/>
              <w:rPr>
                <w:sz w:val="16"/>
                <w:szCs w:val="16"/>
                <w:color w:val="auto"/>
              </w:rPr>
            </w:pPr>
          </w:p>
        </w:tc>
        <w:tc>
          <w:tcPr>
            <w:tcW w:w="80" w:type="dxa"/>
            <w:vAlign w:val="bottom"/>
            <w:tcBorders>
              <w:bottom w:val="single" w:sz="8" w:color="98A3B8"/>
            </w:tcBorders>
          </w:tcPr>
          <w:p>
            <w:pPr>
              <w:spacing w:after="0"/>
              <w:rPr>
                <w:sz w:val="16"/>
                <w:szCs w:val="16"/>
                <w:color w:val="auto"/>
              </w:rPr>
            </w:pPr>
          </w:p>
        </w:tc>
        <w:tc>
          <w:tcPr>
            <w:tcW w:w="840" w:type="dxa"/>
            <w:vAlign w:val="bottom"/>
            <w:tcBorders>
              <w:bottom w:val="single" w:sz="8" w:color="98A3B8"/>
            </w:tcBorders>
          </w:tcPr>
          <w:p>
            <w:pPr>
              <w:jc w:val="right"/>
              <w:ind w:right="5"/>
              <w:spacing w:after="0"/>
              <w:rPr>
                <w:sz w:val="20"/>
                <w:szCs w:val="20"/>
                <w:color w:val="auto"/>
              </w:rPr>
            </w:pPr>
            <w:r>
              <w:rPr>
                <w:rFonts w:ascii="Arial" w:cs="Arial" w:eastAsia="Arial" w:hAnsi="Arial"/>
                <w:sz w:val="15"/>
                <w:szCs w:val="15"/>
                <w:color w:val="auto"/>
              </w:rPr>
              <w:t>24,829</w:t>
            </w:r>
          </w:p>
        </w:tc>
        <w:tc>
          <w:tcPr>
            <w:tcW w:w="80" w:type="dxa"/>
            <w:vAlign w:val="bottom"/>
          </w:tcPr>
          <w:p>
            <w:pPr>
              <w:spacing w:after="0"/>
              <w:rPr>
                <w:sz w:val="16"/>
                <w:szCs w:val="16"/>
                <w:color w:val="auto"/>
              </w:rPr>
            </w:pPr>
          </w:p>
        </w:tc>
        <w:tc>
          <w:tcPr>
            <w:tcW w:w="120" w:type="dxa"/>
            <w:vAlign w:val="bottom"/>
            <w:tcBorders>
              <w:bottom w:val="single" w:sz="8" w:color="98A3B8"/>
            </w:tcBorders>
          </w:tcPr>
          <w:p>
            <w:pPr>
              <w:spacing w:after="0"/>
              <w:rPr>
                <w:sz w:val="16"/>
                <w:szCs w:val="16"/>
                <w:color w:val="auto"/>
              </w:rPr>
            </w:pPr>
          </w:p>
        </w:tc>
        <w:tc>
          <w:tcPr>
            <w:tcW w:w="120" w:type="dxa"/>
            <w:vAlign w:val="bottom"/>
            <w:tcBorders>
              <w:bottom w:val="single" w:sz="8" w:color="98A3B8"/>
            </w:tcBorders>
          </w:tcPr>
          <w:p>
            <w:pPr>
              <w:spacing w:after="0"/>
              <w:rPr>
                <w:sz w:val="16"/>
                <w:szCs w:val="16"/>
                <w:color w:val="auto"/>
              </w:rPr>
            </w:pPr>
          </w:p>
        </w:tc>
        <w:tc>
          <w:tcPr>
            <w:tcW w:w="680" w:type="dxa"/>
            <w:vAlign w:val="bottom"/>
            <w:tcBorders>
              <w:bottom w:val="single" w:sz="8" w:color="98A3B8"/>
            </w:tcBorders>
          </w:tcPr>
          <w:p>
            <w:pPr>
              <w:jc w:val="right"/>
              <w:ind w:right="4"/>
              <w:spacing w:after="0"/>
              <w:rPr>
                <w:sz w:val="20"/>
                <w:szCs w:val="20"/>
                <w:color w:val="auto"/>
              </w:rPr>
            </w:pPr>
            <w:r>
              <w:rPr>
                <w:rFonts w:ascii="Arial" w:cs="Arial" w:eastAsia="Arial" w:hAnsi="Arial"/>
                <w:sz w:val="15"/>
                <w:szCs w:val="15"/>
                <w:color w:val="auto"/>
              </w:rPr>
              <w:t>13,394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7"/>
        </w:trPr>
        <w:tc>
          <w:tcPr>
            <w:tcW w:w="5360" w:type="dxa"/>
            <w:vAlign w:val="bottom"/>
            <w:tcBorders>
              <w:bottom w:val="single" w:sz="8" w:color="98A3B8"/>
            </w:tcBorders>
            <w:gridSpan w:val="2"/>
          </w:tcPr>
          <w:p>
            <w:pPr>
              <w:spacing w:after="0"/>
              <w:rPr>
                <w:sz w:val="20"/>
                <w:szCs w:val="20"/>
                <w:color w:val="auto"/>
              </w:rPr>
            </w:pPr>
            <w:r>
              <w:rPr>
                <w:rFonts w:ascii="Arial" w:cs="Arial" w:eastAsia="Arial" w:hAnsi="Arial"/>
                <w:sz w:val="15"/>
                <w:szCs w:val="15"/>
                <w:color w:val="auto"/>
              </w:rPr>
              <w:t>Loss on early extinguishment of debt</w:t>
            </w:r>
          </w:p>
        </w:tc>
        <w:tc>
          <w:tcPr>
            <w:tcW w:w="160" w:type="dxa"/>
            <w:vAlign w:val="bottom"/>
          </w:tcPr>
          <w:p>
            <w:pPr>
              <w:spacing w:after="0"/>
              <w:rPr>
                <w:sz w:val="18"/>
                <w:szCs w:val="18"/>
                <w:color w:val="auto"/>
              </w:rPr>
            </w:pPr>
          </w:p>
        </w:tc>
        <w:tc>
          <w:tcPr>
            <w:tcW w:w="80" w:type="dxa"/>
            <w:vAlign w:val="bottom"/>
            <w:tcBorders>
              <w:bottom w:val="single" w:sz="8" w:color="98A3B8"/>
            </w:tcBorders>
          </w:tcPr>
          <w:p>
            <w:pPr>
              <w:spacing w:after="0"/>
              <w:rPr>
                <w:sz w:val="18"/>
                <w:szCs w:val="18"/>
                <w:color w:val="auto"/>
              </w:rPr>
            </w:pPr>
          </w:p>
        </w:tc>
        <w:tc>
          <w:tcPr>
            <w:tcW w:w="800" w:type="dxa"/>
            <w:vAlign w:val="bottom"/>
            <w:tcBorders>
              <w:bottom w:val="single" w:sz="8" w:color="98A3B8"/>
            </w:tcBorders>
          </w:tcPr>
          <w:p>
            <w:pPr>
              <w:jc w:val="right"/>
              <w:ind w:right="2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100" w:type="dxa"/>
            <w:vAlign w:val="bottom"/>
            <w:tcBorders>
              <w:bottom w:val="single" w:sz="8" w:color="98A3B8"/>
            </w:tcBorders>
          </w:tcPr>
          <w:p>
            <w:pPr>
              <w:spacing w:after="0"/>
              <w:rPr>
                <w:sz w:val="18"/>
                <w:szCs w:val="18"/>
                <w:color w:val="auto"/>
              </w:rPr>
            </w:pPr>
          </w:p>
        </w:tc>
        <w:tc>
          <w:tcPr>
            <w:tcW w:w="78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(49)</w:t>
            </w:r>
          </w:p>
        </w:tc>
        <w:tc>
          <w:tcPr>
            <w:tcW w:w="140" w:type="dxa"/>
            <w:vAlign w:val="bottom"/>
          </w:tcPr>
          <w:p>
            <w:pPr>
              <w:spacing w:after="0"/>
              <w:rPr>
                <w:sz w:val="18"/>
                <w:szCs w:val="18"/>
                <w:color w:val="auto"/>
              </w:rPr>
            </w:pPr>
          </w:p>
        </w:tc>
        <w:tc>
          <w:tcPr>
            <w:tcW w:w="80" w:type="dxa"/>
            <w:vAlign w:val="bottom"/>
            <w:tcBorders>
              <w:bottom w:val="single" w:sz="8" w:color="98A3B8"/>
            </w:tcBorders>
          </w:tcPr>
          <w:p>
            <w:pPr>
              <w:spacing w:after="0"/>
              <w:rPr>
                <w:sz w:val="18"/>
                <w:szCs w:val="18"/>
                <w:color w:val="auto"/>
              </w:rPr>
            </w:pPr>
          </w:p>
        </w:tc>
        <w:tc>
          <w:tcPr>
            <w:tcW w:w="84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(1,606)</w:t>
            </w:r>
          </w:p>
        </w:tc>
        <w:tc>
          <w:tcPr>
            <w:tcW w:w="80" w:type="dxa"/>
            <w:vAlign w:val="bottom"/>
          </w:tcPr>
          <w:p>
            <w:pPr>
              <w:spacing w:after="0"/>
              <w:rPr>
                <w:sz w:val="18"/>
                <w:szCs w:val="18"/>
                <w:color w:val="auto"/>
              </w:rPr>
            </w:pPr>
          </w:p>
        </w:tc>
        <w:tc>
          <w:tcPr>
            <w:tcW w:w="120" w:type="dxa"/>
            <w:vAlign w:val="bottom"/>
            <w:tcBorders>
              <w:bottom w:val="single" w:sz="8" w:color="98A3B8"/>
            </w:tcBorders>
          </w:tcPr>
          <w:p>
            <w:pPr>
              <w:spacing w:after="0"/>
              <w:rPr>
                <w:sz w:val="18"/>
                <w:szCs w:val="18"/>
                <w:color w:val="auto"/>
              </w:rPr>
            </w:pPr>
          </w:p>
        </w:tc>
        <w:tc>
          <w:tcPr>
            <w:tcW w:w="120" w:type="dxa"/>
            <w:vAlign w:val="bottom"/>
            <w:tcBorders>
              <w:bottom w:val="single" w:sz="8" w:color="98A3B8"/>
            </w:tcBorders>
          </w:tcPr>
          <w:p>
            <w:pPr>
              <w:spacing w:after="0"/>
              <w:rPr>
                <w:sz w:val="18"/>
                <w:szCs w:val="18"/>
                <w:color w:val="auto"/>
              </w:rPr>
            </w:pPr>
          </w:p>
        </w:tc>
        <w:tc>
          <w:tcPr>
            <w:tcW w:w="68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(1,089)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7"/>
        </w:trPr>
        <w:tc>
          <w:tcPr>
            <w:tcW w:w="5360" w:type="dxa"/>
            <w:vAlign w:val="bottom"/>
            <w:gridSpan w:val="2"/>
          </w:tcPr>
          <w:p>
            <w:pPr>
              <w:spacing w:after="0"/>
              <w:rPr>
                <w:sz w:val="20"/>
                <w:szCs w:val="20"/>
                <w:color w:val="auto"/>
              </w:rPr>
            </w:pPr>
            <w:r>
              <w:rPr>
                <w:rFonts w:ascii="Arial" w:cs="Arial" w:eastAsia="Arial" w:hAnsi="Arial"/>
                <w:sz w:val="15"/>
                <w:szCs w:val="15"/>
                <w:b w:val="1"/>
                <w:bCs w:val="1"/>
                <w:color w:val="auto"/>
              </w:rPr>
              <w:t>Operating income</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5"/>
              <w:spacing w:after="0"/>
              <w:rPr>
                <w:sz w:val="20"/>
                <w:szCs w:val="20"/>
                <w:color w:val="auto"/>
              </w:rPr>
            </w:pPr>
            <w:r>
              <w:rPr>
                <w:rFonts w:ascii="Arial" w:cs="Arial" w:eastAsia="Arial" w:hAnsi="Arial"/>
                <w:sz w:val="15"/>
                <w:szCs w:val="15"/>
                <w:color w:val="auto"/>
              </w:rPr>
              <w:t>1,174,060</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w w:val="98"/>
              </w:rPr>
              <w:t>1,002,345</w:t>
            </w:r>
          </w:p>
        </w:tc>
        <w:tc>
          <w:tcPr>
            <w:tcW w:w="1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452,007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364,711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3"/>
        </w:trPr>
        <w:tc>
          <w:tcPr>
            <w:tcW w:w="5360" w:type="dxa"/>
            <w:vAlign w:val="bottom"/>
            <w:tcBorders>
              <w:top w:val="single" w:sz="8" w:color="98A3B8"/>
            </w:tcBorders>
            <w:gridSpan w:val="2"/>
          </w:tcPr>
          <w:p>
            <w:pPr>
              <w:spacing w:after="0"/>
              <w:rPr>
                <w:sz w:val="20"/>
                <w:szCs w:val="20"/>
                <w:color w:val="auto"/>
              </w:rPr>
            </w:pPr>
            <w:r>
              <w:rPr>
                <w:rFonts w:ascii="Arial" w:cs="Arial" w:eastAsia="Arial" w:hAnsi="Arial"/>
                <w:sz w:val="15"/>
                <w:szCs w:val="15"/>
                <w:color w:val="auto"/>
              </w:rPr>
              <w:t>Marketing, general and</w:t>
            </w:r>
          </w:p>
        </w:tc>
        <w:tc>
          <w:tcPr>
            <w:tcW w:w="160" w:type="dxa"/>
            <w:vAlign w:val="bottom"/>
          </w:tcPr>
          <w:p>
            <w:pPr>
              <w:spacing w:after="0"/>
              <w:rPr>
                <w:sz w:val="17"/>
                <w:szCs w:val="17"/>
                <w:color w:val="auto"/>
              </w:rPr>
            </w:pPr>
          </w:p>
        </w:tc>
        <w:tc>
          <w:tcPr>
            <w:tcW w:w="80" w:type="dxa"/>
            <w:vAlign w:val="bottom"/>
            <w:tcBorders>
              <w:top w:val="single" w:sz="8" w:color="98A3B8"/>
            </w:tcBorders>
          </w:tcPr>
          <w:p>
            <w:pPr>
              <w:spacing w:after="0"/>
              <w:rPr>
                <w:sz w:val="17"/>
                <w:szCs w:val="17"/>
                <w:color w:val="auto"/>
              </w:rPr>
            </w:pPr>
          </w:p>
        </w:tc>
        <w:tc>
          <w:tcPr>
            <w:tcW w:w="800" w:type="dxa"/>
            <w:vAlign w:val="bottom"/>
            <w:tcBorders>
              <w:top w:val="single" w:sz="8" w:color="98A3B8"/>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98A3B8"/>
            </w:tcBorders>
          </w:tcPr>
          <w:p>
            <w:pPr>
              <w:spacing w:after="0"/>
              <w:rPr>
                <w:sz w:val="17"/>
                <w:szCs w:val="17"/>
                <w:color w:val="auto"/>
              </w:rPr>
            </w:pPr>
          </w:p>
        </w:tc>
        <w:tc>
          <w:tcPr>
            <w:tcW w:w="780" w:type="dxa"/>
            <w:vAlign w:val="bottom"/>
            <w:tcBorders>
              <w:top w:val="single" w:sz="8" w:color="98A3B8"/>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98A3B8"/>
            </w:tcBorders>
          </w:tcPr>
          <w:p>
            <w:pPr>
              <w:spacing w:after="0"/>
              <w:rPr>
                <w:sz w:val="17"/>
                <w:szCs w:val="17"/>
                <w:color w:val="auto"/>
              </w:rPr>
            </w:pPr>
          </w:p>
        </w:tc>
        <w:tc>
          <w:tcPr>
            <w:tcW w:w="840" w:type="dxa"/>
            <w:vAlign w:val="bottom"/>
            <w:tcBorders>
              <w:top w:val="single" w:sz="8" w:color="98A3B8"/>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98A3B8"/>
            </w:tcBorders>
          </w:tcPr>
          <w:p>
            <w:pPr>
              <w:spacing w:after="0"/>
              <w:rPr>
                <w:sz w:val="17"/>
                <w:szCs w:val="17"/>
                <w:color w:val="auto"/>
              </w:rPr>
            </w:pPr>
          </w:p>
        </w:tc>
        <w:tc>
          <w:tcPr>
            <w:tcW w:w="120" w:type="dxa"/>
            <w:vAlign w:val="bottom"/>
            <w:tcBorders>
              <w:top w:val="single" w:sz="8" w:color="98A3B8"/>
            </w:tcBorders>
          </w:tcPr>
          <w:p>
            <w:pPr>
              <w:spacing w:after="0"/>
              <w:rPr>
                <w:sz w:val="17"/>
                <w:szCs w:val="17"/>
                <w:color w:val="auto"/>
              </w:rPr>
            </w:pPr>
          </w:p>
        </w:tc>
        <w:tc>
          <w:tcPr>
            <w:tcW w:w="680" w:type="dxa"/>
            <w:vAlign w:val="bottom"/>
            <w:tcBorders>
              <w:top w:val="single" w:sz="8" w:color="98A3B8"/>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2"/>
        </w:trPr>
        <w:tc>
          <w:tcPr>
            <w:tcW w:w="5360" w:type="dxa"/>
            <w:vAlign w:val="bottom"/>
            <w:gridSpan w:val="2"/>
          </w:tcPr>
          <w:p>
            <w:pPr>
              <w:spacing w:after="0"/>
              <w:rPr>
                <w:sz w:val="20"/>
                <w:szCs w:val="20"/>
                <w:color w:val="auto"/>
              </w:rPr>
            </w:pPr>
            <w:r>
              <w:rPr>
                <w:rFonts w:ascii="Arial" w:cs="Arial" w:eastAsia="Arial" w:hAnsi="Arial"/>
                <w:sz w:val="15"/>
                <w:szCs w:val="15"/>
                <w:color w:val="auto"/>
              </w:rPr>
              <w:t>administrative expense</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ind w:right="25"/>
              <w:spacing w:after="0"/>
              <w:rPr>
                <w:sz w:val="20"/>
                <w:szCs w:val="20"/>
                <w:color w:val="auto"/>
              </w:rPr>
            </w:pPr>
            <w:r>
              <w:rPr>
                <w:rFonts w:ascii="Arial" w:cs="Arial" w:eastAsia="Arial" w:hAnsi="Arial"/>
                <w:sz w:val="15"/>
                <w:szCs w:val="15"/>
                <w:color w:val="auto"/>
              </w:rPr>
              <w:t>99,759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94,873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3"/>
        </w:trPr>
        <w:tc>
          <w:tcPr>
            <w:tcW w:w="5360" w:type="dxa"/>
            <w:vAlign w:val="bottom"/>
            <w:tcBorders>
              <w:top w:val="single" w:sz="8" w:color="98A3B8"/>
            </w:tcBorders>
            <w:gridSpan w:val="2"/>
          </w:tcPr>
          <w:p>
            <w:pPr>
              <w:spacing w:after="0"/>
              <w:rPr>
                <w:sz w:val="20"/>
                <w:szCs w:val="20"/>
                <w:color w:val="auto"/>
              </w:rPr>
            </w:pPr>
            <w:r>
              <w:rPr>
                <w:rFonts w:ascii="Arial" w:cs="Arial" w:eastAsia="Arial" w:hAnsi="Arial"/>
                <w:sz w:val="15"/>
                <w:szCs w:val="15"/>
                <w:color w:val="auto"/>
              </w:rPr>
              <w:t>Net operating income from</w:t>
            </w:r>
          </w:p>
        </w:tc>
        <w:tc>
          <w:tcPr>
            <w:tcW w:w="160" w:type="dxa"/>
            <w:vAlign w:val="bottom"/>
          </w:tcPr>
          <w:p>
            <w:pPr>
              <w:spacing w:after="0"/>
              <w:rPr>
                <w:sz w:val="17"/>
                <w:szCs w:val="17"/>
                <w:color w:val="auto"/>
              </w:rPr>
            </w:pPr>
          </w:p>
        </w:tc>
        <w:tc>
          <w:tcPr>
            <w:tcW w:w="80" w:type="dxa"/>
            <w:vAlign w:val="bottom"/>
            <w:tcBorders>
              <w:top w:val="single" w:sz="8" w:color="98A3B8"/>
            </w:tcBorders>
          </w:tcPr>
          <w:p>
            <w:pPr>
              <w:spacing w:after="0"/>
              <w:rPr>
                <w:sz w:val="17"/>
                <w:szCs w:val="17"/>
                <w:color w:val="auto"/>
              </w:rPr>
            </w:pPr>
          </w:p>
        </w:tc>
        <w:tc>
          <w:tcPr>
            <w:tcW w:w="800" w:type="dxa"/>
            <w:vAlign w:val="bottom"/>
            <w:tcBorders>
              <w:top w:val="single" w:sz="8" w:color="98A3B8"/>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98A3B8"/>
            </w:tcBorders>
          </w:tcPr>
          <w:p>
            <w:pPr>
              <w:spacing w:after="0"/>
              <w:rPr>
                <w:sz w:val="17"/>
                <w:szCs w:val="17"/>
                <w:color w:val="auto"/>
              </w:rPr>
            </w:pPr>
          </w:p>
        </w:tc>
        <w:tc>
          <w:tcPr>
            <w:tcW w:w="780" w:type="dxa"/>
            <w:vAlign w:val="bottom"/>
            <w:tcBorders>
              <w:top w:val="single" w:sz="8" w:color="98A3B8"/>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98A3B8"/>
            </w:tcBorders>
          </w:tcPr>
          <w:p>
            <w:pPr>
              <w:spacing w:after="0"/>
              <w:rPr>
                <w:sz w:val="17"/>
                <w:szCs w:val="17"/>
                <w:color w:val="auto"/>
              </w:rPr>
            </w:pPr>
          </w:p>
        </w:tc>
        <w:tc>
          <w:tcPr>
            <w:tcW w:w="840" w:type="dxa"/>
            <w:vAlign w:val="bottom"/>
            <w:tcBorders>
              <w:top w:val="single" w:sz="8" w:color="98A3B8"/>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98A3B8"/>
            </w:tcBorders>
          </w:tcPr>
          <w:p>
            <w:pPr>
              <w:spacing w:after="0"/>
              <w:rPr>
                <w:sz w:val="17"/>
                <w:szCs w:val="17"/>
                <w:color w:val="auto"/>
              </w:rPr>
            </w:pPr>
          </w:p>
        </w:tc>
        <w:tc>
          <w:tcPr>
            <w:tcW w:w="120" w:type="dxa"/>
            <w:vAlign w:val="bottom"/>
            <w:tcBorders>
              <w:top w:val="single" w:sz="8" w:color="98A3B8"/>
            </w:tcBorders>
          </w:tcPr>
          <w:p>
            <w:pPr>
              <w:spacing w:after="0"/>
              <w:rPr>
                <w:sz w:val="17"/>
                <w:szCs w:val="17"/>
                <w:color w:val="auto"/>
              </w:rPr>
            </w:pPr>
          </w:p>
        </w:tc>
        <w:tc>
          <w:tcPr>
            <w:tcW w:w="680" w:type="dxa"/>
            <w:vAlign w:val="bottom"/>
            <w:tcBorders>
              <w:top w:val="single" w:sz="8" w:color="98A3B8"/>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2"/>
        </w:trPr>
        <w:tc>
          <w:tcPr>
            <w:tcW w:w="5360" w:type="dxa"/>
            <w:vAlign w:val="bottom"/>
            <w:gridSpan w:val="2"/>
          </w:tcPr>
          <w:p>
            <w:pPr>
              <w:spacing w:after="0"/>
              <w:rPr>
                <w:sz w:val="20"/>
                <w:szCs w:val="20"/>
                <w:color w:val="auto"/>
              </w:rPr>
            </w:pPr>
            <w:r>
              <w:rPr>
                <w:rFonts w:ascii="Arial" w:cs="Arial" w:eastAsia="Arial" w:hAnsi="Arial"/>
                <w:sz w:val="15"/>
                <w:szCs w:val="15"/>
                <w:color w:val="auto"/>
              </w:rPr>
              <w:t>discontinued operations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427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7"/>
        </w:trPr>
        <w:tc>
          <w:tcPr>
            <w:tcW w:w="5360" w:type="dxa"/>
            <w:vAlign w:val="bottom"/>
            <w:tcBorders>
              <w:top w:val="single" w:sz="8" w:color="98A3B8"/>
              <w:bottom w:val="single" w:sz="8" w:color="98A3B8"/>
            </w:tcBorders>
            <w:gridSpan w:val="2"/>
          </w:tcPr>
          <w:p>
            <w:pPr>
              <w:spacing w:after="0"/>
              <w:rPr>
                <w:sz w:val="20"/>
                <w:szCs w:val="20"/>
                <w:color w:val="auto"/>
              </w:rPr>
            </w:pPr>
            <w:r>
              <w:rPr>
                <w:rFonts w:ascii="Arial" w:cs="Arial" w:eastAsia="Arial" w:hAnsi="Arial"/>
                <w:sz w:val="15"/>
                <w:szCs w:val="15"/>
                <w:color w:val="auto"/>
              </w:rPr>
              <w:t>Transaction related costs, net</w:t>
            </w:r>
          </w:p>
        </w:tc>
        <w:tc>
          <w:tcPr>
            <w:tcW w:w="160" w:type="dxa"/>
            <w:vAlign w:val="bottom"/>
          </w:tcPr>
          <w:p>
            <w:pPr>
              <w:spacing w:after="0"/>
              <w:rPr>
                <w:sz w:val="18"/>
                <w:szCs w:val="18"/>
                <w:color w:val="auto"/>
              </w:rPr>
            </w:pPr>
          </w:p>
        </w:tc>
        <w:tc>
          <w:tcPr>
            <w:tcW w:w="80" w:type="dxa"/>
            <w:vAlign w:val="bottom"/>
            <w:tcBorders>
              <w:top w:val="single" w:sz="8" w:color="98A3B8"/>
              <w:bottom w:val="single" w:sz="8" w:color="98A3B8"/>
            </w:tcBorders>
          </w:tcPr>
          <w:p>
            <w:pPr>
              <w:spacing w:after="0"/>
              <w:rPr>
                <w:sz w:val="18"/>
                <w:szCs w:val="18"/>
                <w:color w:val="auto"/>
              </w:rPr>
            </w:pPr>
          </w:p>
        </w:tc>
        <w:tc>
          <w:tcPr>
            <w:tcW w:w="800" w:type="dxa"/>
            <w:vAlign w:val="bottom"/>
            <w:tcBorders>
              <w:top w:val="single" w:sz="8" w:color="98A3B8"/>
              <w:bottom w:val="single" w:sz="8" w:color="98A3B8"/>
            </w:tcBorders>
          </w:tcPr>
          <w:p>
            <w:pPr>
              <w:jc w:val="right"/>
              <w:ind w:right="25"/>
              <w:spacing w:after="0"/>
              <w:rPr>
                <w:sz w:val="20"/>
                <w:szCs w:val="20"/>
                <w:color w:val="auto"/>
              </w:rPr>
            </w:pPr>
            <w:r>
              <w:rPr>
                <w:rFonts w:ascii="Arial" w:cs="Arial" w:eastAsia="Arial" w:hAnsi="Arial"/>
                <w:sz w:val="15"/>
                <w:szCs w:val="15"/>
                <w:color w:val="auto"/>
              </w:rPr>
              <w:t>7,528</w:t>
            </w:r>
          </w:p>
        </w:tc>
        <w:tc>
          <w:tcPr>
            <w:tcW w:w="80" w:type="dxa"/>
            <w:vAlign w:val="bottom"/>
          </w:tcPr>
          <w:p>
            <w:pPr>
              <w:spacing w:after="0"/>
              <w:rPr>
                <w:sz w:val="18"/>
                <w:szCs w:val="18"/>
                <w:color w:val="auto"/>
              </w:rPr>
            </w:pPr>
          </w:p>
        </w:tc>
        <w:tc>
          <w:tcPr>
            <w:tcW w:w="100" w:type="dxa"/>
            <w:vAlign w:val="bottom"/>
            <w:tcBorders>
              <w:top w:val="single" w:sz="8" w:color="98A3B8"/>
              <w:bottom w:val="single" w:sz="8" w:color="98A3B8"/>
            </w:tcBorders>
          </w:tcPr>
          <w:p>
            <w:pPr>
              <w:spacing w:after="0"/>
              <w:rPr>
                <w:sz w:val="18"/>
                <w:szCs w:val="18"/>
                <w:color w:val="auto"/>
              </w:rPr>
            </w:pPr>
          </w:p>
        </w:tc>
        <w:tc>
          <w:tcPr>
            <w:tcW w:w="780" w:type="dxa"/>
            <w:vAlign w:val="bottom"/>
            <w:tcBorders>
              <w:top w:val="single" w:sz="8" w:color="98A3B8"/>
              <w:bottom w:val="single" w:sz="8" w:color="98A3B8"/>
            </w:tcBorders>
          </w:tcPr>
          <w:p>
            <w:pPr>
              <w:jc w:val="right"/>
              <w:ind w:right="24"/>
              <w:spacing w:after="0"/>
              <w:rPr>
                <w:sz w:val="20"/>
                <w:szCs w:val="20"/>
                <w:color w:val="auto"/>
              </w:rPr>
            </w:pPr>
            <w:r>
              <w:rPr>
                <w:rFonts w:ascii="Arial" w:cs="Arial" w:eastAsia="Arial" w:hAnsi="Arial"/>
                <w:sz w:val="15"/>
                <w:szCs w:val="15"/>
                <w:color w:val="auto"/>
              </w:rPr>
              <w:t>11,430</w:t>
            </w:r>
          </w:p>
        </w:tc>
        <w:tc>
          <w:tcPr>
            <w:tcW w:w="140" w:type="dxa"/>
            <w:vAlign w:val="bottom"/>
          </w:tcPr>
          <w:p>
            <w:pPr>
              <w:spacing w:after="0"/>
              <w:rPr>
                <w:sz w:val="18"/>
                <w:szCs w:val="18"/>
                <w:color w:val="auto"/>
              </w:rPr>
            </w:pPr>
          </w:p>
        </w:tc>
        <w:tc>
          <w:tcPr>
            <w:tcW w:w="80" w:type="dxa"/>
            <w:vAlign w:val="bottom"/>
            <w:tcBorders>
              <w:top w:val="single" w:sz="8" w:color="98A3B8"/>
              <w:bottom w:val="single" w:sz="8" w:color="98A3B8"/>
            </w:tcBorders>
          </w:tcPr>
          <w:p>
            <w:pPr>
              <w:spacing w:after="0"/>
              <w:rPr>
                <w:sz w:val="18"/>
                <w:szCs w:val="18"/>
                <w:color w:val="auto"/>
              </w:rPr>
            </w:pPr>
          </w:p>
        </w:tc>
        <w:tc>
          <w:tcPr>
            <w:tcW w:w="840" w:type="dxa"/>
            <w:vAlign w:val="bottom"/>
            <w:tcBorders>
              <w:top w:val="single" w:sz="8" w:color="98A3B8"/>
              <w:bottom w:val="single" w:sz="8" w:color="98A3B8"/>
            </w:tcBorders>
          </w:tcPr>
          <w:p>
            <w:pPr>
              <w:jc w:val="right"/>
              <w:ind w:right="5"/>
              <w:spacing w:after="0"/>
              <w:rPr>
                <w:sz w:val="20"/>
                <w:szCs w:val="20"/>
                <w:color w:val="auto"/>
              </w:rPr>
            </w:pPr>
            <w:r>
              <w:rPr>
                <w:rFonts w:ascii="Arial" w:cs="Arial" w:eastAsia="Arial" w:hAnsi="Arial"/>
                <w:sz w:val="15"/>
                <w:szCs w:val="15"/>
                <w:color w:val="auto"/>
              </w:rPr>
              <w:t>5,566</w:t>
            </w:r>
          </w:p>
        </w:tc>
        <w:tc>
          <w:tcPr>
            <w:tcW w:w="80" w:type="dxa"/>
            <w:vAlign w:val="bottom"/>
          </w:tcPr>
          <w:p>
            <w:pPr>
              <w:spacing w:after="0"/>
              <w:rPr>
                <w:sz w:val="18"/>
                <w:szCs w:val="18"/>
                <w:color w:val="auto"/>
              </w:rPr>
            </w:pPr>
          </w:p>
        </w:tc>
        <w:tc>
          <w:tcPr>
            <w:tcW w:w="120" w:type="dxa"/>
            <w:vAlign w:val="bottom"/>
            <w:tcBorders>
              <w:top w:val="single" w:sz="8" w:color="98A3B8"/>
              <w:bottom w:val="single" w:sz="8" w:color="98A3B8"/>
            </w:tcBorders>
          </w:tcPr>
          <w:p>
            <w:pPr>
              <w:spacing w:after="0"/>
              <w:rPr>
                <w:sz w:val="18"/>
                <w:szCs w:val="18"/>
                <w:color w:val="auto"/>
              </w:rPr>
            </w:pPr>
          </w:p>
        </w:tc>
        <w:tc>
          <w:tcPr>
            <w:tcW w:w="120" w:type="dxa"/>
            <w:vAlign w:val="bottom"/>
            <w:tcBorders>
              <w:top w:val="single" w:sz="8" w:color="98A3B8"/>
              <w:bottom w:val="single" w:sz="8" w:color="98A3B8"/>
            </w:tcBorders>
          </w:tcPr>
          <w:p>
            <w:pPr>
              <w:spacing w:after="0"/>
              <w:rPr>
                <w:sz w:val="18"/>
                <w:szCs w:val="18"/>
                <w:color w:val="auto"/>
              </w:rPr>
            </w:pPr>
          </w:p>
        </w:tc>
        <w:tc>
          <w:tcPr>
            <w:tcW w:w="680" w:type="dxa"/>
            <w:vAlign w:val="bottom"/>
            <w:tcBorders>
              <w:top w:val="single" w:sz="8" w:color="98A3B8"/>
              <w:bottom w:val="single" w:sz="8" w:color="98A3B8"/>
            </w:tcBorders>
          </w:tcPr>
          <w:p>
            <w:pPr>
              <w:jc w:val="right"/>
              <w:ind w:right="4"/>
              <w:spacing w:after="0"/>
              <w:rPr>
                <w:sz w:val="20"/>
                <w:szCs w:val="20"/>
                <w:color w:val="auto"/>
              </w:rPr>
            </w:pPr>
            <w:r>
              <w:rPr>
                <w:rFonts w:ascii="Arial" w:cs="Arial" w:eastAsia="Arial" w:hAnsi="Arial"/>
                <w:sz w:val="15"/>
                <w:szCs w:val="15"/>
                <w:color w:val="auto"/>
              </w:rPr>
              <w:t>615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7"/>
        </w:trPr>
        <w:tc>
          <w:tcPr>
            <w:tcW w:w="5360" w:type="dxa"/>
            <w:vAlign w:val="bottom"/>
            <w:tcBorders>
              <w:bottom w:val="single" w:sz="8" w:color="98A3B8"/>
            </w:tcBorders>
            <w:gridSpan w:val="2"/>
          </w:tcPr>
          <w:p>
            <w:pPr>
              <w:spacing w:after="0"/>
              <w:rPr>
                <w:sz w:val="20"/>
                <w:szCs w:val="20"/>
                <w:color w:val="auto"/>
              </w:rPr>
            </w:pPr>
            <w:r>
              <w:rPr>
                <w:rFonts w:ascii="Arial" w:cs="Arial" w:eastAsia="Arial" w:hAnsi="Arial"/>
                <w:sz w:val="15"/>
                <w:szCs w:val="15"/>
                <w:color w:val="auto"/>
              </w:rPr>
              <w:t>Non-building revenue</w:t>
            </w:r>
          </w:p>
        </w:tc>
        <w:tc>
          <w:tcPr>
            <w:tcW w:w="160" w:type="dxa"/>
            <w:vAlign w:val="bottom"/>
          </w:tcPr>
          <w:p>
            <w:pPr>
              <w:spacing w:after="0"/>
              <w:rPr>
                <w:sz w:val="18"/>
                <w:szCs w:val="18"/>
                <w:color w:val="auto"/>
              </w:rPr>
            </w:pPr>
          </w:p>
        </w:tc>
        <w:tc>
          <w:tcPr>
            <w:tcW w:w="80" w:type="dxa"/>
            <w:vAlign w:val="bottom"/>
            <w:tcBorders>
              <w:bottom w:val="single" w:sz="8" w:color="98A3B8"/>
            </w:tcBorders>
          </w:tcPr>
          <w:p>
            <w:pPr>
              <w:spacing w:after="0"/>
              <w:rPr>
                <w:sz w:val="18"/>
                <w:szCs w:val="18"/>
                <w:color w:val="auto"/>
              </w:rPr>
            </w:pPr>
          </w:p>
        </w:tc>
        <w:tc>
          <w:tcPr>
            <w:tcW w:w="8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(217,945)</w:t>
            </w:r>
          </w:p>
        </w:tc>
        <w:tc>
          <w:tcPr>
            <w:tcW w:w="80" w:type="dxa"/>
            <w:vAlign w:val="bottom"/>
          </w:tcPr>
          <w:p>
            <w:pPr>
              <w:spacing w:after="0"/>
              <w:rPr>
                <w:sz w:val="18"/>
                <w:szCs w:val="18"/>
                <w:color w:val="auto"/>
              </w:rPr>
            </w:pPr>
          </w:p>
        </w:tc>
        <w:tc>
          <w:tcPr>
            <w:tcW w:w="100" w:type="dxa"/>
            <w:vAlign w:val="bottom"/>
            <w:tcBorders>
              <w:bottom w:val="single" w:sz="8" w:color="98A3B8"/>
            </w:tcBorders>
          </w:tcPr>
          <w:p>
            <w:pPr>
              <w:spacing w:after="0"/>
              <w:rPr>
                <w:sz w:val="18"/>
                <w:szCs w:val="18"/>
                <w:color w:val="auto"/>
              </w:rPr>
            </w:pPr>
          </w:p>
        </w:tc>
        <w:tc>
          <w:tcPr>
            <w:tcW w:w="78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(195,944)</w:t>
            </w:r>
          </w:p>
        </w:tc>
        <w:tc>
          <w:tcPr>
            <w:tcW w:w="140" w:type="dxa"/>
            <w:vAlign w:val="bottom"/>
          </w:tcPr>
          <w:p>
            <w:pPr>
              <w:spacing w:after="0"/>
              <w:rPr>
                <w:sz w:val="18"/>
                <w:szCs w:val="18"/>
                <w:color w:val="auto"/>
              </w:rPr>
            </w:pPr>
          </w:p>
        </w:tc>
        <w:tc>
          <w:tcPr>
            <w:tcW w:w="80" w:type="dxa"/>
            <w:vAlign w:val="bottom"/>
            <w:tcBorders>
              <w:bottom w:val="single" w:sz="8" w:color="98A3B8"/>
            </w:tcBorders>
          </w:tcPr>
          <w:p>
            <w:pPr>
              <w:spacing w:after="0"/>
              <w:rPr>
                <w:sz w:val="18"/>
                <w:szCs w:val="18"/>
                <w:color w:val="auto"/>
              </w:rPr>
            </w:pPr>
          </w:p>
        </w:tc>
        <w:tc>
          <w:tcPr>
            <w:tcW w:w="84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(31,914)</w:t>
            </w:r>
          </w:p>
        </w:tc>
        <w:tc>
          <w:tcPr>
            <w:tcW w:w="80" w:type="dxa"/>
            <w:vAlign w:val="bottom"/>
          </w:tcPr>
          <w:p>
            <w:pPr>
              <w:spacing w:after="0"/>
              <w:rPr>
                <w:sz w:val="18"/>
                <w:szCs w:val="18"/>
                <w:color w:val="auto"/>
              </w:rPr>
            </w:pPr>
          </w:p>
        </w:tc>
        <w:tc>
          <w:tcPr>
            <w:tcW w:w="120" w:type="dxa"/>
            <w:vAlign w:val="bottom"/>
            <w:tcBorders>
              <w:bottom w:val="single" w:sz="8" w:color="98A3B8"/>
            </w:tcBorders>
          </w:tcPr>
          <w:p>
            <w:pPr>
              <w:spacing w:after="0"/>
              <w:rPr>
                <w:sz w:val="18"/>
                <w:szCs w:val="18"/>
                <w:color w:val="auto"/>
              </w:rPr>
            </w:pPr>
          </w:p>
        </w:tc>
        <w:tc>
          <w:tcPr>
            <w:tcW w:w="120" w:type="dxa"/>
            <w:vAlign w:val="bottom"/>
            <w:tcBorders>
              <w:bottom w:val="single" w:sz="8" w:color="98A3B8"/>
            </w:tcBorders>
          </w:tcPr>
          <w:p>
            <w:pPr>
              <w:spacing w:after="0"/>
              <w:rPr>
                <w:sz w:val="18"/>
                <w:szCs w:val="18"/>
                <w:color w:val="auto"/>
              </w:rPr>
            </w:pPr>
          </w:p>
        </w:tc>
        <w:tc>
          <w:tcPr>
            <w:tcW w:w="68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(25,690)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3"/>
        </w:trPr>
        <w:tc>
          <w:tcPr>
            <w:tcW w:w="5360" w:type="dxa"/>
            <w:vAlign w:val="bottom"/>
            <w:gridSpan w:val="2"/>
          </w:tcPr>
          <w:p>
            <w:pPr>
              <w:spacing w:after="0"/>
              <w:rPr>
                <w:sz w:val="20"/>
                <w:szCs w:val="20"/>
                <w:color w:val="auto"/>
              </w:rPr>
            </w:pPr>
            <w:r>
              <w:rPr>
                <w:rFonts w:ascii="Arial" w:cs="Arial" w:eastAsia="Arial" w:hAnsi="Arial"/>
                <w:sz w:val="15"/>
                <w:szCs w:val="15"/>
                <w:color w:val="auto"/>
              </w:rPr>
              <w:t>Equity in net income from</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2"/>
        </w:trPr>
        <w:tc>
          <w:tcPr>
            <w:tcW w:w="5360" w:type="dxa"/>
            <w:vAlign w:val="bottom"/>
            <w:tcBorders>
              <w:bottom w:val="single" w:sz="8" w:color="98A3B8"/>
            </w:tcBorders>
            <w:gridSpan w:val="2"/>
          </w:tcPr>
          <w:p>
            <w:pPr>
              <w:spacing w:after="0"/>
              <w:rPr>
                <w:sz w:val="20"/>
                <w:szCs w:val="20"/>
                <w:color w:val="auto"/>
              </w:rPr>
            </w:pPr>
            <w:r>
              <w:rPr>
                <w:rFonts w:ascii="Arial" w:cs="Arial" w:eastAsia="Arial" w:hAnsi="Arial"/>
                <w:sz w:val="15"/>
                <w:szCs w:val="15"/>
                <w:color w:val="auto"/>
              </w:rPr>
              <w:t>unconsolidated joint ventures</w:t>
            </w:r>
          </w:p>
        </w:tc>
        <w:tc>
          <w:tcPr>
            <w:tcW w:w="160" w:type="dxa"/>
            <w:vAlign w:val="bottom"/>
          </w:tcPr>
          <w:p>
            <w:pPr>
              <w:spacing w:after="0"/>
              <w:rPr>
                <w:sz w:val="16"/>
                <w:szCs w:val="16"/>
                <w:color w:val="auto"/>
              </w:rPr>
            </w:pPr>
          </w:p>
        </w:tc>
        <w:tc>
          <w:tcPr>
            <w:tcW w:w="80" w:type="dxa"/>
            <w:vAlign w:val="bottom"/>
            <w:tcBorders>
              <w:bottom w:val="single" w:sz="8" w:color="98A3B8"/>
            </w:tcBorders>
          </w:tcPr>
          <w:p>
            <w:pPr>
              <w:spacing w:after="0"/>
              <w:rPr>
                <w:sz w:val="16"/>
                <w:szCs w:val="16"/>
                <w:color w:val="auto"/>
              </w:rPr>
            </w:pPr>
          </w:p>
        </w:tc>
        <w:tc>
          <w:tcPr>
            <w:tcW w:w="8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(11,874)</w:t>
            </w:r>
          </w:p>
        </w:tc>
        <w:tc>
          <w:tcPr>
            <w:tcW w:w="80" w:type="dxa"/>
            <w:vAlign w:val="bottom"/>
          </w:tcPr>
          <w:p>
            <w:pPr>
              <w:spacing w:after="0"/>
              <w:rPr>
                <w:sz w:val="16"/>
                <w:szCs w:val="16"/>
                <w:color w:val="auto"/>
              </w:rPr>
            </w:pPr>
          </w:p>
        </w:tc>
        <w:tc>
          <w:tcPr>
            <w:tcW w:w="100" w:type="dxa"/>
            <w:vAlign w:val="bottom"/>
            <w:tcBorders>
              <w:bottom w:val="single" w:sz="8" w:color="98A3B8"/>
            </w:tcBorders>
          </w:tcPr>
          <w:p>
            <w:pPr>
              <w:spacing w:after="0"/>
              <w:rPr>
                <w:sz w:val="16"/>
                <w:szCs w:val="16"/>
                <w:color w:val="auto"/>
              </w:rPr>
            </w:pPr>
          </w:p>
        </w:tc>
        <w:tc>
          <w:tcPr>
            <w:tcW w:w="78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(13,028)</w:t>
            </w:r>
          </w:p>
        </w:tc>
        <w:tc>
          <w:tcPr>
            <w:tcW w:w="140" w:type="dxa"/>
            <w:vAlign w:val="bottom"/>
          </w:tcPr>
          <w:p>
            <w:pPr>
              <w:spacing w:after="0"/>
              <w:rPr>
                <w:sz w:val="16"/>
                <w:szCs w:val="16"/>
                <w:color w:val="auto"/>
              </w:rPr>
            </w:pPr>
          </w:p>
        </w:tc>
        <w:tc>
          <w:tcPr>
            <w:tcW w:w="80" w:type="dxa"/>
            <w:vAlign w:val="bottom"/>
            <w:tcBorders>
              <w:bottom w:val="single" w:sz="8" w:color="98A3B8"/>
            </w:tcBorders>
          </w:tcPr>
          <w:p>
            <w:pPr>
              <w:spacing w:after="0"/>
              <w:rPr>
                <w:sz w:val="16"/>
                <w:szCs w:val="16"/>
                <w:color w:val="auto"/>
              </w:rPr>
            </w:pPr>
          </w:p>
        </w:tc>
        <w:tc>
          <w:tcPr>
            <w:tcW w:w="840" w:type="dxa"/>
            <w:vAlign w:val="bottom"/>
            <w:tcBorders>
              <w:bottom w:val="single" w:sz="8" w:color="98A3B8"/>
            </w:tcBorders>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20" w:type="dxa"/>
            <w:vAlign w:val="bottom"/>
            <w:tcBorders>
              <w:bottom w:val="single" w:sz="8" w:color="98A3B8"/>
            </w:tcBorders>
          </w:tcPr>
          <w:p>
            <w:pPr>
              <w:spacing w:after="0"/>
              <w:rPr>
                <w:sz w:val="16"/>
                <w:szCs w:val="16"/>
                <w:color w:val="auto"/>
              </w:rPr>
            </w:pPr>
          </w:p>
        </w:tc>
        <w:tc>
          <w:tcPr>
            <w:tcW w:w="120" w:type="dxa"/>
            <w:vAlign w:val="bottom"/>
            <w:tcBorders>
              <w:bottom w:val="single" w:sz="8" w:color="98A3B8"/>
            </w:tcBorders>
          </w:tcPr>
          <w:p>
            <w:pPr>
              <w:spacing w:after="0"/>
              <w:rPr>
                <w:sz w:val="16"/>
                <w:szCs w:val="16"/>
                <w:color w:val="auto"/>
              </w:rPr>
            </w:pPr>
          </w:p>
        </w:tc>
        <w:tc>
          <w:tcPr>
            <w:tcW w:w="680" w:type="dxa"/>
            <w:vAlign w:val="bottom"/>
            <w:tcBorders>
              <w:bottom w:val="single" w:sz="8" w:color="98A3B8"/>
            </w:tcBorders>
          </w:tcPr>
          <w:p>
            <w:pPr>
              <w:jc w:val="right"/>
              <w:ind w:right="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7"/>
        </w:trPr>
        <w:tc>
          <w:tcPr>
            <w:tcW w:w="5360" w:type="dxa"/>
            <w:vAlign w:val="bottom"/>
            <w:gridSpan w:val="2"/>
          </w:tcPr>
          <w:p>
            <w:pPr>
              <w:spacing w:after="0"/>
              <w:rPr>
                <w:sz w:val="20"/>
                <w:szCs w:val="20"/>
                <w:color w:val="auto"/>
              </w:rPr>
            </w:pPr>
            <w:r>
              <w:rPr>
                <w:rFonts w:ascii="Arial" w:cs="Arial" w:eastAsia="Arial" w:hAnsi="Arial"/>
                <w:sz w:val="15"/>
                <w:szCs w:val="15"/>
                <w:color w:val="auto"/>
              </w:rPr>
              <w:t>Loss on early extinguishment of debt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1,606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1,089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3"/>
        </w:trPr>
        <w:tc>
          <w:tcPr>
            <w:tcW w:w="5360" w:type="dxa"/>
            <w:vAlign w:val="bottom"/>
            <w:tcBorders>
              <w:top w:val="single" w:sz="8" w:color="98A3B8"/>
            </w:tcBorders>
            <w:gridSpan w:val="2"/>
          </w:tcPr>
          <w:p>
            <w:pPr>
              <w:spacing w:after="0"/>
              <w:rPr>
                <w:sz w:val="20"/>
                <w:szCs w:val="20"/>
                <w:color w:val="auto"/>
              </w:rPr>
            </w:pPr>
            <w:r>
              <w:rPr>
                <w:rFonts w:ascii="Arial" w:cs="Arial" w:eastAsia="Arial" w:hAnsi="Arial"/>
                <w:sz w:val="15"/>
                <w:szCs w:val="15"/>
                <w:color w:val="auto"/>
              </w:rPr>
              <w:t>NOI from partner's share of</w:t>
            </w:r>
          </w:p>
        </w:tc>
        <w:tc>
          <w:tcPr>
            <w:tcW w:w="160" w:type="dxa"/>
            <w:vAlign w:val="bottom"/>
          </w:tcPr>
          <w:p>
            <w:pPr>
              <w:spacing w:after="0"/>
              <w:rPr>
                <w:sz w:val="17"/>
                <w:szCs w:val="17"/>
                <w:color w:val="auto"/>
              </w:rPr>
            </w:pPr>
          </w:p>
        </w:tc>
        <w:tc>
          <w:tcPr>
            <w:tcW w:w="80" w:type="dxa"/>
            <w:vAlign w:val="bottom"/>
            <w:tcBorders>
              <w:top w:val="single" w:sz="8" w:color="98A3B8"/>
            </w:tcBorders>
          </w:tcPr>
          <w:p>
            <w:pPr>
              <w:spacing w:after="0"/>
              <w:rPr>
                <w:sz w:val="17"/>
                <w:szCs w:val="17"/>
                <w:color w:val="auto"/>
              </w:rPr>
            </w:pPr>
          </w:p>
        </w:tc>
        <w:tc>
          <w:tcPr>
            <w:tcW w:w="800" w:type="dxa"/>
            <w:vAlign w:val="bottom"/>
            <w:tcBorders>
              <w:top w:val="single" w:sz="8" w:color="98A3B8"/>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98A3B8"/>
            </w:tcBorders>
          </w:tcPr>
          <w:p>
            <w:pPr>
              <w:spacing w:after="0"/>
              <w:rPr>
                <w:sz w:val="17"/>
                <w:szCs w:val="17"/>
                <w:color w:val="auto"/>
              </w:rPr>
            </w:pPr>
          </w:p>
        </w:tc>
        <w:tc>
          <w:tcPr>
            <w:tcW w:w="780" w:type="dxa"/>
            <w:vAlign w:val="bottom"/>
            <w:tcBorders>
              <w:top w:val="single" w:sz="8" w:color="98A3B8"/>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98A3B8"/>
            </w:tcBorders>
          </w:tcPr>
          <w:p>
            <w:pPr>
              <w:spacing w:after="0"/>
              <w:rPr>
                <w:sz w:val="17"/>
                <w:szCs w:val="17"/>
                <w:color w:val="auto"/>
              </w:rPr>
            </w:pPr>
          </w:p>
        </w:tc>
        <w:tc>
          <w:tcPr>
            <w:tcW w:w="840" w:type="dxa"/>
            <w:vAlign w:val="bottom"/>
            <w:tcBorders>
              <w:top w:val="single" w:sz="8" w:color="98A3B8"/>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98A3B8"/>
            </w:tcBorders>
          </w:tcPr>
          <w:p>
            <w:pPr>
              <w:spacing w:after="0"/>
              <w:rPr>
                <w:sz w:val="17"/>
                <w:szCs w:val="17"/>
                <w:color w:val="auto"/>
              </w:rPr>
            </w:pPr>
          </w:p>
        </w:tc>
        <w:tc>
          <w:tcPr>
            <w:tcW w:w="120" w:type="dxa"/>
            <w:vAlign w:val="bottom"/>
            <w:tcBorders>
              <w:top w:val="single" w:sz="8" w:color="98A3B8"/>
            </w:tcBorders>
          </w:tcPr>
          <w:p>
            <w:pPr>
              <w:spacing w:after="0"/>
              <w:rPr>
                <w:sz w:val="17"/>
                <w:szCs w:val="17"/>
                <w:color w:val="auto"/>
              </w:rPr>
            </w:pPr>
          </w:p>
        </w:tc>
        <w:tc>
          <w:tcPr>
            <w:tcW w:w="680" w:type="dxa"/>
            <w:vAlign w:val="bottom"/>
            <w:tcBorders>
              <w:top w:val="single" w:sz="8" w:color="98A3B8"/>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2"/>
        </w:trPr>
        <w:tc>
          <w:tcPr>
            <w:tcW w:w="5360" w:type="dxa"/>
            <w:vAlign w:val="bottom"/>
            <w:gridSpan w:val="2"/>
          </w:tcPr>
          <w:p>
            <w:pPr>
              <w:spacing w:after="0"/>
              <w:rPr>
                <w:sz w:val="20"/>
                <w:szCs w:val="20"/>
                <w:color w:val="auto"/>
              </w:rPr>
            </w:pPr>
            <w:r>
              <w:rPr>
                <w:rFonts w:ascii="Arial" w:cs="Arial" w:eastAsia="Arial" w:hAnsi="Arial"/>
                <w:sz w:val="15"/>
                <w:szCs w:val="15"/>
                <w:color w:val="auto"/>
              </w:rPr>
              <w:t>unconsolidated joint ventures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(254,456)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99"/>
              </w:rPr>
              <w:t>(214,299)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7"/>
        </w:trPr>
        <w:tc>
          <w:tcPr>
            <w:tcW w:w="5360" w:type="dxa"/>
            <w:vAlign w:val="bottom"/>
            <w:tcBorders>
              <w:top w:val="single" w:sz="8" w:color="98A3B8"/>
            </w:tcBorders>
            <w:gridSpan w:val="2"/>
          </w:tcPr>
          <w:p>
            <w:pPr>
              <w:spacing w:after="0"/>
              <w:rPr>
                <w:sz w:val="20"/>
                <w:szCs w:val="20"/>
                <w:color w:val="auto"/>
              </w:rPr>
            </w:pPr>
            <w:r>
              <w:rPr>
                <w:rFonts w:ascii="Arial" w:cs="Arial" w:eastAsia="Arial" w:hAnsi="Arial"/>
                <w:sz w:val="15"/>
                <w:szCs w:val="15"/>
                <w:b w:val="1"/>
                <w:bCs w:val="1"/>
                <w:color w:val="auto"/>
              </w:rPr>
              <w:t>Net operating income (NOI)</w:t>
            </w:r>
          </w:p>
        </w:tc>
        <w:tc>
          <w:tcPr>
            <w:tcW w:w="160" w:type="dxa"/>
            <w:vAlign w:val="bottom"/>
          </w:tcPr>
          <w:p>
            <w:pPr>
              <w:spacing w:after="0"/>
              <w:rPr>
                <w:sz w:val="18"/>
                <w:szCs w:val="18"/>
                <w:color w:val="auto"/>
              </w:rPr>
            </w:pPr>
          </w:p>
        </w:tc>
        <w:tc>
          <w:tcPr>
            <w:tcW w:w="80" w:type="dxa"/>
            <w:vAlign w:val="bottom"/>
            <w:tcBorders>
              <w:top w:val="single" w:sz="8" w:color="98A3B8"/>
            </w:tcBorders>
          </w:tcPr>
          <w:p>
            <w:pPr>
              <w:spacing w:after="0"/>
              <w:rPr>
                <w:sz w:val="18"/>
                <w:szCs w:val="18"/>
                <w:color w:val="auto"/>
              </w:rPr>
            </w:pPr>
          </w:p>
        </w:tc>
        <w:tc>
          <w:tcPr>
            <w:tcW w:w="800" w:type="dxa"/>
            <w:vAlign w:val="bottom"/>
            <w:tcBorders>
              <w:top w:val="single" w:sz="8" w:color="98A3B8"/>
            </w:tcBorders>
          </w:tcPr>
          <w:p>
            <w:pPr>
              <w:jc w:val="right"/>
              <w:ind w:right="25"/>
              <w:spacing w:after="0"/>
              <w:rPr>
                <w:sz w:val="20"/>
                <w:szCs w:val="20"/>
                <w:color w:val="auto"/>
              </w:rPr>
            </w:pPr>
            <w:r>
              <w:rPr>
                <w:rFonts w:ascii="Arial" w:cs="Arial" w:eastAsia="Arial" w:hAnsi="Arial"/>
                <w:sz w:val="15"/>
                <w:szCs w:val="15"/>
                <w:color w:val="auto"/>
              </w:rPr>
              <w:t>1,051,528</w:t>
            </w:r>
          </w:p>
        </w:tc>
        <w:tc>
          <w:tcPr>
            <w:tcW w:w="80" w:type="dxa"/>
            <w:vAlign w:val="bottom"/>
          </w:tcPr>
          <w:p>
            <w:pPr>
              <w:spacing w:after="0"/>
              <w:rPr>
                <w:sz w:val="18"/>
                <w:szCs w:val="18"/>
                <w:color w:val="auto"/>
              </w:rPr>
            </w:pPr>
          </w:p>
        </w:tc>
        <w:tc>
          <w:tcPr>
            <w:tcW w:w="100" w:type="dxa"/>
            <w:vAlign w:val="bottom"/>
            <w:tcBorders>
              <w:top w:val="single" w:sz="8" w:color="98A3B8"/>
            </w:tcBorders>
          </w:tcPr>
          <w:p>
            <w:pPr>
              <w:spacing w:after="0"/>
              <w:rPr>
                <w:sz w:val="18"/>
                <w:szCs w:val="18"/>
                <w:color w:val="auto"/>
              </w:rPr>
            </w:pPr>
          </w:p>
        </w:tc>
        <w:tc>
          <w:tcPr>
            <w:tcW w:w="780" w:type="dxa"/>
            <w:vAlign w:val="bottom"/>
            <w:tcBorders>
              <w:top w:val="single" w:sz="8" w:color="98A3B8"/>
            </w:tcBorders>
          </w:tcPr>
          <w:p>
            <w:pPr>
              <w:jc w:val="right"/>
              <w:ind w:right="24"/>
              <w:spacing w:after="0"/>
              <w:rPr>
                <w:sz w:val="20"/>
                <w:szCs w:val="20"/>
                <w:color w:val="auto"/>
              </w:rPr>
            </w:pPr>
            <w:r>
              <w:rPr>
                <w:rFonts w:ascii="Arial" w:cs="Arial" w:eastAsia="Arial" w:hAnsi="Arial"/>
                <w:sz w:val="15"/>
                <w:szCs w:val="15"/>
                <w:color w:val="auto"/>
              </w:rPr>
              <w:t>900,152</w:t>
            </w:r>
          </w:p>
        </w:tc>
        <w:tc>
          <w:tcPr>
            <w:tcW w:w="140" w:type="dxa"/>
            <w:vAlign w:val="bottom"/>
          </w:tcPr>
          <w:p>
            <w:pPr>
              <w:spacing w:after="0"/>
              <w:rPr>
                <w:sz w:val="18"/>
                <w:szCs w:val="18"/>
                <w:color w:val="auto"/>
              </w:rPr>
            </w:pPr>
          </w:p>
        </w:tc>
        <w:tc>
          <w:tcPr>
            <w:tcW w:w="80" w:type="dxa"/>
            <w:vAlign w:val="bottom"/>
            <w:tcBorders>
              <w:top w:val="single" w:sz="8" w:color="98A3B8"/>
            </w:tcBorders>
          </w:tcPr>
          <w:p>
            <w:pPr>
              <w:spacing w:after="0"/>
              <w:rPr>
                <w:sz w:val="18"/>
                <w:szCs w:val="18"/>
                <w:color w:val="auto"/>
              </w:rPr>
            </w:pPr>
          </w:p>
        </w:tc>
        <w:tc>
          <w:tcPr>
            <w:tcW w:w="840" w:type="dxa"/>
            <w:vAlign w:val="bottom"/>
            <w:tcBorders>
              <w:top w:val="single" w:sz="8" w:color="98A3B8"/>
            </w:tcBorders>
          </w:tcPr>
          <w:p>
            <w:pPr>
              <w:jc w:val="right"/>
              <w:ind w:right="5"/>
              <w:spacing w:after="0"/>
              <w:rPr>
                <w:sz w:val="20"/>
                <w:szCs w:val="20"/>
                <w:color w:val="auto"/>
              </w:rPr>
            </w:pPr>
            <w:r>
              <w:rPr>
                <w:rFonts w:ascii="Arial" w:cs="Arial" w:eastAsia="Arial" w:hAnsi="Arial"/>
                <w:sz w:val="15"/>
                <w:szCs w:val="15"/>
                <w:color w:val="auto"/>
              </w:rPr>
              <w:t>172,809</w:t>
            </w:r>
          </w:p>
        </w:tc>
        <w:tc>
          <w:tcPr>
            <w:tcW w:w="80" w:type="dxa"/>
            <w:vAlign w:val="bottom"/>
          </w:tcPr>
          <w:p>
            <w:pPr>
              <w:spacing w:after="0"/>
              <w:rPr>
                <w:sz w:val="18"/>
                <w:szCs w:val="18"/>
                <w:color w:val="auto"/>
              </w:rPr>
            </w:pPr>
          </w:p>
        </w:tc>
        <w:tc>
          <w:tcPr>
            <w:tcW w:w="120" w:type="dxa"/>
            <w:vAlign w:val="bottom"/>
            <w:tcBorders>
              <w:top w:val="single" w:sz="8" w:color="98A3B8"/>
            </w:tcBorders>
          </w:tcPr>
          <w:p>
            <w:pPr>
              <w:spacing w:after="0"/>
              <w:rPr>
                <w:sz w:val="18"/>
                <w:szCs w:val="18"/>
                <w:color w:val="auto"/>
              </w:rPr>
            </w:pPr>
          </w:p>
        </w:tc>
        <w:tc>
          <w:tcPr>
            <w:tcW w:w="120" w:type="dxa"/>
            <w:vAlign w:val="bottom"/>
            <w:tcBorders>
              <w:top w:val="single" w:sz="8" w:color="98A3B8"/>
            </w:tcBorders>
          </w:tcPr>
          <w:p>
            <w:pPr>
              <w:spacing w:after="0"/>
              <w:rPr>
                <w:sz w:val="18"/>
                <w:szCs w:val="18"/>
                <w:color w:val="auto"/>
              </w:rPr>
            </w:pPr>
          </w:p>
        </w:tc>
        <w:tc>
          <w:tcPr>
            <w:tcW w:w="680" w:type="dxa"/>
            <w:vAlign w:val="bottom"/>
            <w:tcBorders>
              <w:top w:val="single" w:sz="8" w:color="98A3B8"/>
            </w:tcBorders>
          </w:tcPr>
          <w:p>
            <w:pPr>
              <w:jc w:val="right"/>
              <w:ind w:right="4"/>
              <w:spacing w:after="0"/>
              <w:rPr>
                <w:sz w:val="20"/>
                <w:szCs w:val="20"/>
                <w:color w:val="auto"/>
              </w:rPr>
            </w:pPr>
            <w:r>
              <w:rPr>
                <w:rFonts w:ascii="Arial" w:cs="Arial" w:eastAsia="Arial" w:hAnsi="Arial"/>
                <w:sz w:val="15"/>
                <w:szCs w:val="15"/>
                <w:color w:val="auto"/>
              </w:rPr>
              <w:t>126,426</w:t>
            </w: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9"/>
              <w:spacing w:after="0"/>
              <w:rPr>
                <w:sz w:val="20"/>
                <w:szCs w:val="20"/>
                <w:color w:val="auto"/>
              </w:rPr>
            </w:pPr>
            <w:r>
              <w:rPr>
                <w:rFonts w:ascii="Arial" w:cs="Arial" w:eastAsia="Arial" w:hAnsi="Arial"/>
                <w:sz w:val="15"/>
                <w:szCs w:val="15"/>
                <w:color w:val="auto"/>
              </w:rPr>
              <w:t>1,224,337</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25"/>
              <w:spacing w:after="0"/>
              <w:rPr>
                <w:sz w:val="20"/>
                <w:szCs w:val="20"/>
                <w:color w:val="auto"/>
              </w:rPr>
            </w:pPr>
            <w:r>
              <w:rPr>
                <w:rFonts w:ascii="Arial" w:cs="Arial" w:eastAsia="Arial" w:hAnsi="Arial"/>
                <w:sz w:val="15"/>
                <w:szCs w:val="15"/>
                <w:color w:val="auto"/>
              </w:rPr>
              <w:t>1,026,578</w:t>
            </w:r>
          </w:p>
        </w:tc>
      </w:tr>
      <w:tr>
        <w:trPr>
          <w:trHeight w:val="217"/>
        </w:trPr>
        <w:tc>
          <w:tcPr>
            <w:tcW w:w="5360" w:type="dxa"/>
            <w:vAlign w:val="bottom"/>
            <w:tcBorders>
              <w:top w:val="single" w:sz="8" w:color="98A3B8"/>
              <w:bottom w:val="single" w:sz="8" w:color="98A3B8"/>
            </w:tcBorders>
            <w:gridSpan w:val="2"/>
          </w:tcPr>
          <w:p>
            <w:pPr>
              <w:spacing w:after="0"/>
              <w:rPr>
                <w:sz w:val="20"/>
                <w:szCs w:val="20"/>
                <w:color w:val="auto"/>
              </w:rPr>
            </w:pPr>
            <w:r>
              <w:rPr>
                <w:rFonts w:ascii="Arial" w:cs="Arial" w:eastAsia="Arial" w:hAnsi="Arial"/>
                <w:sz w:val="15"/>
                <w:szCs w:val="15"/>
                <w:color w:val="auto"/>
              </w:rPr>
              <w:t>NOI from discontinued operations</w:t>
            </w:r>
          </w:p>
        </w:tc>
        <w:tc>
          <w:tcPr>
            <w:tcW w:w="160" w:type="dxa"/>
            <w:vAlign w:val="bottom"/>
          </w:tcPr>
          <w:p>
            <w:pPr>
              <w:spacing w:after="0"/>
              <w:rPr>
                <w:sz w:val="18"/>
                <w:szCs w:val="18"/>
                <w:color w:val="auto"/>
              </w:rPr>
            </w:pPr>
          </w:p>
        </w:tc>
        <w:tc>
          <w:tcPr>
            <w:tcW w:w="80" w:type="dxa"/>
            <w:vAlign w:val="bottom"/>
            <w:tcBorders>
              <w:top w:val="single" w:sz="8" w:color="98A3B8"/>
              <w:bottom w:val="single" w:sz="8" w:color="98A3B8"/>
            </w:tcBorders>
          </w:tcPr>
          <w:p>
            <w:pPr>
              <w:spacing w:after="0"/>
              <w:rPr>
                <w:sz w:val="18"/>
                <w:szCs w:val="18"/>
                <w:color w:val="auto"/>
              </w:rPr>
            </w:pPr>
          </w:p>
        </w:tc>
        <w:tc>
          <w:tcPr>
            <w:tcW w:w="800" w:type="dxa"/>
            <w:vAlign w:val="bottom"/>
            <w:tcBorders>
              <w:top w:val="single" w:sz="8" w:color="98A3B8"/>
              <w:bottom w:val="single" w:sz="8" w:color="98A3B8"/>
            </w:tcBorders>
          </w:tcPr>
          <w:p>
            <w:pPr>
              <w:jc w:val="right"/>
              <w:ind w:right="2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100" w:type="dxa"/>
            <w:vAlign w:val="bottom"/>
            <w:tcBorders>
              <w:top w:val="single" w:sz="8" w:color="98A3B8"/>
              <w:bottom w:val="single" w:sz="8" w:color="98A3B8"/>
            </w:tcBorders>
          </w:tcPr>
          <w:p>
            <w:pPr>
              <w:spacing w:after="0"/>
              <w:rPr>
                <w:sz w:val="18"/>
                <w:szCs w:val="18"/>
                <w:color w:val="auto"/>
              </w:rPr>
            </w:pPr>
          </w:p>
        </w:tc>
        <w:tc>
          <w:tcPr>
            <w:tcW w:w="780" w:type="dxa"/>
            <w:vAlign w:val="bottom"/>
            <w:tcBorders>
              <w:top w:val="single" w:sz="8" w:color="98A3B8"/>
              <w:bottom w:val="single" w:sz="8" w:color="98A3B8"/>
            </w:tcBorders>
          </w:tcPr>
          <w:p>
            <w:pPr>
              <w:jc w:val="right"/>
              <w:ind w:right="2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80" w:type="dxa"/>
            <w:vAlign w:val="bottom"/>
            <w:tcBorders>
              <w:top w:val="single" w:sz="8" w:color="98A3B8"/>
              <w:bottom w:val="single" w:sz="8" w:color="98A3B8"/>
            </w:tcBorders>
          </w:tcPr>
          <w:p>
            <w:pPr>
              <w:spacing w:after="0"/>
              <w:rPr>
                <w:sz w:val="18"/>
                <w:szCs w:val="18"/>
                <w:color w:val="auto"/>
              </w:rPr>
            </w:pPr>
          </w:p>
        </w:tc>
        <w:tc>
          <w:tcPr>
            <w:tcW w:w="840" w:type="dxa"/>
            <w:vAlign w:val="bottom"/>
            <w:tcBorders>
              <w:top w:val="single" w:sz="8" w:color="98A3B8"/>
              <w:bottom w:val="single" w:sz="8" w:color="98A3B8"/>
            </w:tcBorders>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120" w:type="dxa"/>
            <w:vAlign w:val="bottom"/>
            <w:tcBorders>
              <w:top w:val="single" w:sz="8" w:color="98A3B8"/>
              <w:bottom w:val="single" w:sz="8" w:color="98A3B8"/>
            </w:tcBorders>
          </w:tcPr>
          <w:p>
            <w:pPr>
              <w:spacing w:after="0"/>
              <w:rPr>
                <w:sz w:val="18"/>
                <w:szCs w:val="18"/>
                <w:color w:val="auto"/>
              </w:rPr>
            </w:pPr>
          </w:p>
        </w:tc>
        <w:tc>
          <w:tcPr>
            <w:tcW w:w="120" w:type="dxa"/>
            <w:vAlign w:val="bottom"/>
            <w:tcBorders>
              <w:top w:val="single" w:sz="8" w:color="98A3B8"/>
              <w:bottom w:val="single" w:sz="8" w:color="98A3B8"/>
            </w:tcBorders>
          </w:tcPr>
          <w:p>
            <w:pPr>
              <w:spacing w:after="0"/>
              <w:rPr>
                <w:sz w:val="18"/>
                <w:szCs w:val="18"/>
                <w:color w:val="auto"/>
              </w:rPr>
            </w:pPr>
          </w:p>
        </w:tc>
        <w:tc>
          <w:tcPr>
            <w:tcW w:w="680" w:type="dxa"/>
            <w:vAlign w:val="bottom"/>
            <w:tcBorders>
              <w:top w:val="single" w:sz="8" w:color="98A3B8"/>
              <w:bottom w:val="single" w:sz="8" w:color="98A3B8"/>
            </w:tcBorders>
          </w:tcPr>
          <w:p>
            <w:pPr>
              <w:jc w:val="right"/>
              <w:ind w:right="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98A3B8"/>
              <w:bottom w:val="single" w:sz="8" w:color="98A3B8"/>
            </w:tcBorders>
          </w:tcPr>
          <w:p>
            <w:pPr>
              <w:spacing w:after="0"/>
              <w:rPr>
                <w:sz w:val="18"/>
                <w:szCs w:val="18"/>
                <w:color w:val="auto"/>
              </w:rPr>
            </w:pPr>
          </w:p>
        </w:tc>
        <w:tc>
          <w:tcPr>
            <w:tcW w:w="800" w:type="dxa"/>
            <w:vAlign w:val="bottom"/>
            <w:tcBorders>
              <w:top w:val="single" w:sz="8" w:color="98A3B8"/>
              <w:bottom w:val="single" w:sz="8" w:color="98A3B8"/>
            </w:tcBorders>
          </w:tcPr>
          <w:p>
            <w:pPr>
              <w:jc w:val="right"/>
              <w:ind w:right="29"/>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100" w:type="dxa"/>
            <w:vAlign w:val="bottom"/>
            <w:tcBorders>
              <w:top w:val="single" w:sz="8" w:color="98A3B8"/>
              <w:bottom w:val="single" w:sz="8" w:color="98A3B8"/>
            </w:tcBorders>
          </w:tcPr>
          <w:p>
            <w:pPr>
              <w:spacing w:after="0"/>
              <w:rPr>
                <w:sz w:val="18"/>
                <w:szCs w:val="18"/>
                <w:color w:val="auto"/>
              </w:rPr>
            </w:pPr>
          </w:p>
        </w:tc>
        <w:tc>
          <w:tcPr>
            <w:tcW w:w="800" w:type="dxa"/>
            <w:vAlign w:val="bottom"/>
            <w:tcBorders>
              <w:top w:val="single" w:sz="8" w:color="98A3B8"/>
              <w:bottom w:val="single" w:sz="8" w:color="98A3B8"/>
            </w:tcBorders>
          </w:tcPr>
          <w:p>
            <w:pPr>
              <w:jc w:val="right"/>
              <w:ind w:right="25"/>
              <w:spacing w:after="0"/>
              <w:rPr>
                <w:sz w:val="20"/>
                <w:szCs w:val="20"/>
                <w:color w:val="auto"/>
              </w:rPr>
            </w:pPr>
            <w:r>
              <w:rPr>
                <w:rFonts w:ascii="Arial" w:cs="Arial" w:eastAsia="Arial" w:hAnsi="Arial"/>
                <w:sz w:val="15"/>
                <w:szCs w:val="15"/>
                <w:color w:val="auto"/>
              </w:rPr>
              <w:t>—</w:t>
            </w:r>
          </w:p>
        </w:tc>
      </w:tr>
      <w:tr>
        <w:trPr>
          <w:trHeight w:val="217"/>
        </w:trPr>
        <w:tc>
          <w:tcPr>
            <w:tcW w:w="5360" w:type="dxa"/>
            <w:vAlign w:val="bottom"/>
            <w:tcBorders>
              <w:bottom w:val="single" w:sz="8" w:color="98A3B8"/>
            </w:tcBorders>
            <w:gridSpan w:val="2"/>
          </w:tcPr>
          <w:p>
            <w:pPr>
              <w:spacing w:after="0"/>
              <w:rPr>
                <w:sz w:val="20"/>
                <w:szCs w:val="20"/>
                <w:color w:val="auto"/>
              </w:rPr>
            </w:pPr>
            <w:r>
              <w:rPr>
                <w:rFonts w:ascii="Arial" w:cs="Arial" w:eastAsia="Arial" w:hAnsi="Arial"/>
                <w:sz w:val="15"/>
                <w:szCs w:val="15"/>
                <w:color w:val="auto"/>
              </w:rPr>
              <w:t>NOI from other properties/affiliates</w:t>
            </w:r>
          </w:p>
        </w:tc>
        <w:tc>
          <w:tcPr>
            <w:tcW w:w="160" w:type="dxa"/>
            <w:vAlign w:val="bottom"/>
          </w:tcPr>
          <w:p>
            <w:pPr>
              <w:spacing w:after="0"/>
              <w:rPr>
                <w:sz w:val="18"/>
                <w:szCs w:val="18"/>
                <w:color w:val="auto"/>
              </w:rPr>
            </w:pPr>
          </w:p>
        </w:tc>
        <w:tc>
          <w:tcPr>
            <w:tcW w:w="80" w:type="dxa"/>
            <w:vAlign w:val="bottom"/>
            <w:tcBorders>
              <w:bottom w:val="single" w:sz="8" w:color="98A3B8"/>
            </w:tcBorders>
          </w:tcPr>
          <w:p>
            <w:pPr>
              <w:spacing w:after="0"/>
              <w:rPr>
                <w:sz w:val="18"/>
                <w:szCs w:val="18"/>
                <w:color w:val="auto"/>
              </w:rPr>
            </w:pPr>
          </w:p>
        </w:tc>
        <w:tc>
          <w:tcPr>
            <w:tcW w:w="8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(381,013)</w:t>
            </w:r>
          </w:p>
        </w:tc>
        <w:tc>
          <w:tcPr>
            <w:tcW w:w="80" w:type="dxa"/>
            <w:vAlign w:val="bottom"/>
          </w:tcPr>
          <w:p>
            <w:pPr>
              <w:spacing w:after="0"/>
              <w:rPr>
                <w:sz w:val="18"/>
                <w:szCs w:val="18"/>
                <w:color w:val="auto"/>
              </w:rPr>
            </w:pPr>
          </w:p>
        </w:tc>
        <w:tc>
          <w:tcPr>
            <w:tcW w:w="100" w:type="dxa"/>
            <w:vAlign w:val="bottom"/>
            <w:tcBorders>
              <w:bottom w:val="single" w:sz="8" w:color="98A3B8"/>
            </w:tcBorders>
          </w:tcPr>
          <w:p>
            <w:pPr>
              <w:spacing w:after="0"/>
              <w:rPr>
                <w:sz w:val="18"/>
                <w:szCs w:val="18"/>
                <w:color w:val="auto"/>
              </w:rPr>
            </w:pPr>
          </w:p>
        </w:tc>
        <w:tc>
          <w:tcPr>
            <w:tcW w:w="78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(231,392)</w:t>
            </w:r>
          </w:p>
        </w:tc>
        <w:tc>
          <w:tcPr>
            <w:tcW w:w="140" w:type="dxa"/>
            <w:vAlign w:val="bottom"/>
          </w:tcPr>
          <w:p>
            <w:pPr>
              <w:spacing w:after="0"/>
              <w:rPr>
                <w:sz w:val="18"/>
                <w:szCs w:val="18"/>
                <w:color w:val="auto"/>
              </w:rPr>
            </w:pPr>
          </w:p>
        </w:tc>
        <w:tc>
          <w:tcPr>
            <w:tcW w:w="80" w:type="dxa"/>
            <w:vAlign w:val="bottom"/>
            <w:tcBorders>
              <w:bottom w:val="single" w:sz="8" w:color="98A3B8"/>
            </w:tcBorders>
          </w:tcPr>
          <w:p>
            <w:pPr>
              <w:spacing w:after="0"/>
              <w:rPr>
                <w:sz w:val="18"/>
                <w:szCs w:val="18"/>
                <w:color w:val="auto"/>
              </w:rPr>
            </w:pPr>
          </w:p>
        </w:tc>
        <w:tc>
          <w:tcPr>
            <w:tcW w:w="84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(84,317)</w:t>
            </w:r>
          </w:p>
        </w:tc>
        <w:tc>
          <w:tcPr>
            <w:tcW w:w="80" w:type="dxa"/>
            <w:vAlign w:val="bottom"/>
          </w:tcPr>
          <w:p>
            <w:pPr>
              <w:spacing w:after="0"/>
              <w:rPr>
                <w:sz w:val="18"/>
                <w:szCs w:val="18"/>
                <w:color w:val="auto"/>
              </w:rPr>
            </w:pPr>
          </w:p>
        </w:tc>
        <w:tc>
          <w:tcPr>
            <w:tcW w:w="120" w:type="dxa"/>
            <w:vAlign w:val="bottom"/>
            <w:tcBorders>
              <w:bottom w:val="single" w:sz="8" w:color="98A3B8"/>
            </w:tcBorders>
          </w:tcPr>
          <w:p>
            <w:pPr>
              <w:spacing w:after="0"/>
              <w:rPr>
                <w:sz w:val="18"/>
                <w:szCs w:val="18"/>
                <w:color w:val="auto"/>
              </w:rPr>
            </w:pPr>
          </w:p>
        </w:tc>
        <w:tc>
          <w:tcPr>
            <w:tcW w:w="120" w:type="dxa"/>
            <w:vAlign w:val="bottom"/>
            <w:tcBorders>
              <w:bottom w:val="single" w:sz="8" w:color="98A3B8"/>
            </w:tcBorders>
          </w:tcPr>
          <w:p>
            <w:pPr>
              <w:spacing w:after="0"/>
              <w:rPr>
                <w:sz w:val="18"/>
                <w:szCs w:val="18"/>
                <w:color w:val="auto"/>
              </w:rPr>
            </w:pPr>
          </w:p>
        </w:tc>
        <w:tc>
          <w:tcPr>
            <w:tcW w:w="68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(44,402)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98A3B8"/>
            </w:tcBorders>
          </w:tcPr>
          <w:p>
            <w:pPr>
              <w:spacing w:after="0"/>
              <w:rPr>
                <w:sz w:val="18"/>
                <w:szCs w:val="18"/>
                <w:color w:val="auto"/>
              </w:rPr>
            </w:pPr>
          </w:p>
        </w:tc>
        <w:tc>
          <w:tcPr>
            <w:tcW w:w="8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(465,330)</w:t>
            </w:r>
          </w:p>
        </w:tc>
        <w:tc>
          <w:tcPr>
            <w:tcW w:w="80" w:type="dxa"/>
            <w:vAlign w:val="bottom"/>
          </w:tcPr>
          <w:p>
            <w:pPr>
              <w:spacing w:after="0"/>
              <w:rPr>
                <w:sz w:val="18"/>
                <w:szCs w:val="18"/>
                <w:color w:val="auto"/>
              </w:rPr>
            </w:pPr>
          </w:p>
        </w:tc>
        <w:tc>
          <w:tcPr>
            <w:tcW w:w="100" w:type="dxa"/>
            <w:vAlign w:val="bottom"/>
            <w:tcBorders>
              <w:bottom w:val="single" w:sz="8" w:color="98A3B8"/>
            </w:tcBorders>
          </w:tcPr>
          <w:p>
            <w:pPr>
              <w:spacing w:after="0"/>
              <w:rPr>
                <w:sz w:val="18"/>
                <w:szCs w:val="18"/>
                <w:color w:val="auto"/>
              </w:rPr>
            </w:pPr>
          </w:p>
        </w:tc>
        <w:tc>
          <w:tcPr>
            <w:tcW w:w="8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(275,794)</w:t>
            </w:r>
          </w:p>
        </w:tc>
      </w:tr>
      <w:tr>
        <w:trPr>
          <w:trHeight w:val="217"/>
        </w:trPr>
        <w:tc>
          <w:tcPr>
            <w:tcW w:w="5360" w:type="dxa"/>
            <w:vAlign w:val="bottom"/>
            <w:gridSpan w:val="2"/>
          </w:tcPr>
          <w:p>
            <w:pPr>
              <w:spacing w:after="0"/>
              <w:rPr>
                <w:sz w:val="20"/>
                <w:szCs w:val="20"/>
                <w:color w:val="auto"/>
              </w:rPr>
            </w:pPr>
            <w:r>
              <w:rPr>
                <w:rFonts w:ascii="Arial" w:cs="Arial" w:eastAsia="Arial" w:hAnsi="Arial"/>
                <w:sz w:val="15"/>
                <w:szCs w:val="15"/>
                <w:b w:val="1"/>
                <w:bCs w:val="1"/>
                <w:color w:val="auto"/>
              </w:rPr>
              <w:t>Same-Store NOI</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5"/>
              <w:spacing w:after="0"/>
              <w:rPr>
                <w:sz w:val="20"/>
                <w:szCs w:val="20"/>
                <w:color w:val="auto"/>
              </w:rPr>
            </w:pPr>
            <w:r>
              <w:rPr>
                <w:rFonts w:ascii="Arial" w:cs="Arial" w:eastAsia="Arial" w:hAnsi="Arial"/>
                <w:sz w:val="15"/>
                <w:szCs w:val="15"/>
                <w:color w:val="auto"/>
              </w:rPr>
              <w:t>670,515</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668,760</w:t>
            </w:r>
          </w:p>
        </w:tc>
        <w:tc>
          <w:tcPr>
            <w:tcW w:w="1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88,492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82,024</w:t>
            </w: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9"/>
              <w:spacing w:after="0"/>
              <w:rPr>
                <w:sz w:val="20"/>
                <w:szCs w:val="20"/>
                <w:color w:val="auto"/>
              </w:rPr>
            </w:pPr>
            <w:r>
              <w:rPr>
                <w:rFonts w:ascii="Arial" w:cs="Arial" w:eastAsia="Arial" w:hAnsi="Arial"/>
                <w:sz w:val="15"/>
                <w:szCs w:val="15"/>
                <w:color w:val="auto"/>
              </w:rPr>
              <w:t>759,007</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25"/>
              <w:spacing w:after="0"/>
              <w:rPr>
                <w:sz w:val="20"/>
                <w:szCs w:val="20"/>
                <w:color w:val="auto"/>
              </w:rPr>
            </w:pPr>
            <w:r>
              <w:rPr>
                <w:rFonts w:ascii="Arial" w:cs="Arial" w:eastAsia="Arial" w:hAnsi="Arial"/>
                <w:sz w:val="15"/>
                <w:szCs w:val="15"/>
                <w:color w:val="auto"/>
              </w:rPr>
              <w:t>750,784</w:t>
            </w:r>
          </w:p>
        </w:tc>
      </w:tr>
      <w:tr>
        <w:trPr>
          <w:trHeight w:val="217"/>
        </w:trPr>
        <w:tc>
          <w:tcPr>
            <w:tcW w:w="5360" w:type="dxa"/>
            <w:vAlign w:val="bottom"/>
            <w:tcBorders>
              <w:top w:val="single" w:sz="8" w:color="98A3B8"/>
              <w:bottom w:val="single" w:sz="8" w:color="98A3B8"/>
            </w:tcBorders>
            <w:gridSpan w:val="2"/>
          </w:tcPr>
          <w:p>
            <w:pPr>
              <w:spacing w:after="0"/>
              <w:rPr>
                <w:sz w:val="20"/>
                <w:szCs w:val="20"/>
                <w:color w:val="auto"/>
              </w:rPr>
            </w:pPr>
            <w:r>
              <w:rPr>
                <w:rFonts w:ascii="Arial" w:cs="Arial" w:eastAsia="Arial" w:hAnsi="Arial"/>
                <w:sz w:val="15"/>
                <w:szCs w:val="15"/>
                <w:color w:val="auto"/>
              </w:rPr>
              <w:t>Ground lease straight-line adjustment</w:t>
            </w:r>
          </w:p>
        </w:tc>
        <w:tc>
          <w:tcPr>
            <w:tcW w:w="160" w:type="dxa"/>
            <w:vAlign w:val="bottom"/>
          </w:tcPr>
          <w:p>
            <w:pPr>
              <w:spacing w:after="0"/>
              <w:rPr>
                <w:sz w:val="18"/>
                <w:szCs w:val="18"/>
                <w:color w:val="auto"/>
              </w:rPr>
            </w:pPr>
          </w:p>
        </w:tc>
        <w:tc>
          <w:tcPr>
            <w:tcW w:w="80" w:type="dxa"/>
            <w:vAlign w:val="bottom"/>
            <w:tcBorders>
              <w:top w:val="single" w:sz="8" w:color="98A3B8"/>
              <w:bottom w:val="single" w:sz="8" w:color="98A3B8"/>
            </w:tcBorders>
          </w:tcPr>
          <w:p>
            <w:pPr>
              <w:spacing w:after="0"/>
              <w:rPr>
                <w:sz w:val="18"/>
                <w:szCs w:val="18"/>
                <w:color w:val="auto"/>
              </w:rPr>
            </w:pPr>
          </w:p>
        </w:tc>
        <w:tc>
          <w:tcPr>
            <w:tcW w:w="800" w:type="dxa"/>
            <w:vAlign w:val="bottom"/>
            <w:tcBorders>
              <w:top w:val="single" w:sz="8" w:color="98A3B8"/>
              <w:bottom w:val="single" w:sz="8" w:color="98A3B8"/>
            </w:tcBorders>
          </w:tcPr>
          <w:p>
            <w:pPr>
              <w:jc w:val="right"/>
              <w:ind w:right="25"/>
              <w:spacing w:after="0"/>
              <w:rPr>
                <w:sz w:val="20"/>
                <w:szCs w:val="20"/>
                <w:color w:val="auto"/>
              </w:rPr>
            </w:pPr>
            <w:r>
              <w:rPr>
                <w:rFonts w:ascii="Arial" w:cs="Arial" w:eastAsia="Arial" w:hAnsi="Arial"/>
                <w:sz w:val="15"/>
                <w:szCs w:val="15"/>
                <w:color w:val="auto"/>
              </w:rPr>
              <w:t>1,749</w:t>
            </w:r>
          </w:p>
        </w:tc>
        <w:tc>
          <w:tcPr>
            <w:tcW w:w="80" w:type="dxa"/>
            <w:vAlign w:val="bottom"/>
          </w:tcPr>
          <w:p>
            <w:pPr>
              <w:spacing w:after="0"/>
              <w:rPr>
                <w:sz w:val="18"/>
                <w:szCs w:val="18"/>
                <w:color w:val="auto"/>
              </w:rPr>
            </w:pPr>
          </w:p>
        </w:tc>
        <w:tc>
          <w:tcPr>
            <w:tcW w:w="100" w:type="dxa"/>
            <w:vAlign w:val="bottom"/>
            <w:tcBorders>
              <w:top w:val="single" w:sz="8" w:color="98A3B8"/>
              <w:bottom w:val="single" w:sz="8" w:color="98A3B8"/>
            </w:tcBorders>
          </w:tcPr>
          <w:p>
            <w:pPr>
              <w:spacing w:after="0"/>
              <w:rPr>
                <w:sz w:val="18"/>
                <w:szCs w:val="18"/>
                <w:color w:val="auto"/>
              </w:rPr>
            </w:pPr>
          </w:p>
        </w:tc>
        <w:tc>
          <w:tcPr>
            <w:tcW w:w="780" w:type="dxa"/>
            <w:vAlign w:val="bottom"/>
            <w:tcBorders>
              <w:top w:val="single" w:sz="8" w:color="98A3B8"/>
              <w:bottom w:val="single" w:sz="8" w:color="98A3B8"/>
            </w:tcBorders>
          </w:tcPr>
          <w:p>
            <w:pPr>
              <w:jc w:val="right"/>
              <w:ind w:right="24"/>
              <w:spacing w:after="0"/>
              <w:rPr>
                <w:sz w:val="20"/>
                <w:szCs w:val="20"/>
                <w:color w:val="auto"/>
              </w:rPr>
            </w:pPr>
            <w:r>
              <w:rPr>
                <w:rFonts w:ascii="Arial" w:cs="Arial" w:eastAsia="Arial" w:hAnsi="Arial"/>
                <w:sz w:val="15"/>
                <w:szCs w:val="15"/>
                <w:color w:val="auto"/>
              </w:rPr>
              <w:t>1,887</w:t>
            </w:r>
          </w:p>
        </w:tc>
        <w:tc>
          <w:tcPr>
            <w:tcW w:w="140" w:type="dxa"/>
            <w:vAlign w:val="bottom"/>
          </w:tcPr>
          <w:p>
            <w:pPr>
              <w:spacing w:after="0"/>
              <w:rPr>
                <w:sz w:val="18"/>
                <w:szCs w:val="18"/>
                <w:color w:val="auto"/>
              </w:rPr>
            </w:pPr>
          </w:p>
        </w:tc>
        <w:tc>
          <w:tcPr>
            <w:tcW w:w="80" w:type="dxa"/>
            <w:vAlign w:val="bottom"/>
            <w:tcBorders>
              <w:top w:val="single" w:sz="8" w:color="98A3B8"/>
              <w:bottom w:val="single" w:sz="8" w:color="98A3B8"/>
            </w:tcBorders>
          </w:tcPr>
          <w:p>
            <w:pPr>
              <w:spacing w:after="0"/>
              <w:rPr>
                <w:sz w:val="18"/>
                <w:szCs w:val="18"/>
                <w:color w:val="auto"/>
              </w:rPr>
            </w:pPr>
          </w:p>
        </w:tc>
        <w:tc>
          <w:tcPr>
            <w:tcW w:w="840" w:type="dxa"/>
            <w:vAlign w:val="bottom"/>
            <w:tcBorders>
              <w:top w:val="single" w:sz="8" w:color="98A3B8"/>
              <w:bottom w:val="single" w:sz="8" w:color="98A3B8"/>
            </w:tcBorders>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120" w:type="dxa"/>
            <w:vAlign w:val="bottom"/>
            <w:tcBorders>
              <w:top w:val="single" w:sz="8" w:color="98A3B8"/>
              <w:bottom w:val="single" w:sz="8" w:color="98A3B8"/>
            </w:tcBorders>
          </w:tcPr>
          <w:p>
            <w:pPr>
              <w:spacing w:after="0"/>
              <w:rPr>
                <w:sz w:val="18"/>
                <w:szCs w:val="18"/>
                <w:color w:val="auto"/>
              </w:rPr>
            </w:pPr>
          </w:p>
        </w:tc>
        <w:tc>
          <w:tcPr>
            <w:tcW w:w="120" w:type="dxa"/>
            <w:vAlign w:val="bottom"/>
            <w:tcBorders>
              <w:top w:val="single" w:sz="8" w:color="98A3B8"/>
              <w:bottom w:val="single" w:sz="8" w:color="98A3B8"/>
            </w:tcBorders>
          </w:tcPr>
          <w:p>
            <w:pPr>
              <w:spacing w:after="0"/>
              <w:rPr>
                <w:sz w:val="18"/>
                <w:szCs w:val="18"/>
                <w:color w:val="auto"/>
              </w:rPr>
            </w:pPr>
          </w:p>
        </w:tc>
        <w:tc>
          <w:tcPr>
            <w:tcW w:w="680" w:type="dxa"/>
            <w:vAlign w:val="bottom"/>
            <w:tcBorders>
              <w:top w:val="single" w:sz="8" w:color="98A3B8"/>
              <w:bottom w:val="single" w:sz="8" w:color="98A3B8"/>
            </w:tcBorders>
          </w:tcPr>
          <w:p>
            <w:pPr>
              <w:jc w:val="right"/>
              <w:ind w:right="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98A3B8"/>
              <w:bottom w:val="single" w:sz="8" w:color="98A3B8"/>
            </w:tcBorders>
          </w:tcPr>
          <w:p>
            <w:pPr>
              <w:spacing w:after="0"/>
              <w:rPr>
                <w:sz w:val="18"/>
                <w:szCs w:val="18"/>
                <w:color w:val="auto"/>
              </w:rPr>
            </w:pPr>
          </w:p>
        </w:tc>
        <w:tc>
          <w:tcPr>
            <w:tcW w:w="800" w:type="dxa"/>
            <w:vAlign w:val="bottom"/>
            <w:tcBorders>
              <w:top w:val="single" w:sz="8" w:color="98A3B8"/>
              <w:bottom w:val="single" w:sz="8" w:color="98A3B8"/>
            </w:tcBorders>
          </w:tcPr>
          <w:p>
            <w:pPr>
              <w:jc w:val="right"/>
              <w:ind w:right="29"/>
              <w:spacing w:after="0"/>
              <w:rPr>
                <w:sz w:val="20"/>
                <w:szCs w:val="20"/>
                <w:color w:val="auto"/>
              </w:rPr>
            </w:pPr>
            <w:r>
              <w:rPr>
                <w:rFonts w:ascii="Arial" w:cs="Arial" w:eastAsia="Arial" w:hAnsi="Arial"/>
                <w:sz w:val="15"/>
                <w:szCs w:val="15"/>
                <w:color w:val="auto"/>
              </w:rPr>
              <w:t>1,749</w:t>
            </w:r>
          </w:p>
        </w:tc>
        <w:tc>
          <w:tcPr>
            <w:tcW w:w="80" w:type="dxa"/>
            <w:vAlign w:val="bottom"/>
          </w:tcPr>
          <w:p>
            <w:pPr>
              <w:spacing w:after="0"/>
              <w:rPr>
                <w:sz w:val="18"/>
                <w:szCs w:val="18"/>
                <w:color w:val="auto"/>
              </w:rPr>
            </w:pPr>
          </w:p>
        </w:tc>
        <w:tc>
          <w:tcPr>
            <w:tcW w:w="100" w:type="dxa"/>
            <w:vAlign w:val="bottom"/>
            <w:tcBorders>
              <w:top w:val="single" w:sz="8" w:color="98A3B8"/>
              <w:bottom w:val="single" w:sz="8" w:color="98A3B8"/>
            </w:tcBorders>
          </w:tcPr>
          <w:p>
            <w:pPr>
              <w:spacing w:after="0"/>
              <w:rPr>
                <w:sz w:val="18"/>
                <w:szCs w:val="18"/>
                <w:color w:val="auto"/>
              </w:rPr>
            </w:pPr>
          </w:p>
        </w:tc>
        <w:tc>
          <w:tcPr>
            <w:tcW w:w="800" w:type="dxa"/>
            <w:vAlign w:val="bottom"/>
            <w:tcBorders>
              <w:top w:val="single" w:sz="8" w:color="98A3B8"/>
              <w:bottom w:val="single" w:sz="8" w:color="98A3B8"/>
            </w:tcBorders>
          </w:tcPr>
          <w:p>
            <w:pPr>
              <w:jc w:val="right"/>
              <w:ind w:right="25"/>
              <w:spacing w:after="0"/>
              <w:rPr>
                <w:sz w:val="20"/>
                <w:szCs w:val="20"/>
                <w:color w:val="auto"/>
              </w:rPr>
            </w:pPr>
            <w:r>
              <w:rPr>
                <w:rFonts w:ascii="Arial" w:cs="Arial" w:eastAsia="Arial" w:hAnsi="Arial"/>
                <w:sz w:val="15"/>
                <w:szCs w:val="15"/>
                <w:color w:val="auto"/>
              </w:rPr>
              <w:t>1,887</w:t>
            </w:r>
          </w:p>
        </w:tc>
      </w:tr>
      <w:tr>
        <w:trPr>
          <w:trHeight w:val="217"/>
        </w:trPr>
        <w:tc>
          <w:tcPr>
            <w:tcW w:w="5360" w:type="dxa"/>
            <w:vAlign w:val="bottom"/>
            <w:tcBorders>
              <w:bottom w:val="single" w:sz="8" w:color="98A3B8"/>
            </w:tcBorders>
            <w:gridSpan w:val="2"/>
          </w:tcPr>
          <w:p>
            <w:pPr>
              <w:spacing w:after="0"/>
              <w:rPr>
                <w:sz w:val="20"/>
                <w:szCs w:val="20"/>
                <w:color w:val="auto"/>
              </w:rPr>
            </w:pPr>
            <w:r>
              <w:rPr>
                <w:rFonts w:ascii="Arial" w:cs="Arial" w:eastAsia="Arial" w:hAnsi="Arial"/>
                <w:sz w:val="15"/>
                <w:szCs w:val="15"/>
                <w:color w:val="auto"/>
              </w:rPr>
              <w:t>Straight-line and free rent</w:t>
            </w:r>
          </w:p>
        </w:tc>
        <w:tc>
          <w:tcPr>
            <w:tcW w:w="160" w:type="dxa"/>
            <w:vAlign w:val="bottom"/>
          </w:tcPr>
          <w:p>
            <w:pPr>
              <w:spacing w:after="0"/>
              <w:rPr>
                <w:sz w:val="18"/>
                <w:szCs w:val="18"/>
                <w:color w:val="auto"/>
              </w:rPr>
            </w:pPr>
          </w:p>
        </w:tc>
        <w:tc>
          <w:tcPr>
            <w:tcW w:w="80" w:type="dxa"/>
            <w:vAlign w:val="bottom"/>
            <w:tcBorders>
              <w:bottom w:val="single" w:sz="8" w:color="98A3B8"/>
            </w:tcBorders>
          </w:tcPr>
          <w:p>
            <w:pPr>
              <w:spacing w:after="0"/>
              <w:rPr>
                <w:sz w:val="18"/>
                <w:szCs w:val="18"/>
                <w:color w:val="auto"/>
              </w:rPr>
            </w:pPr>
          </w:p>
        </w:tc>
        <w:tc>
          <w:tcPr>
            <w:tcW w:w="8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(27,442)</w:t>
            </w:r>
          </w:p>
        </w:tc>
        <w:tc>
          <w:tcPr>
            <w:tcW w:w="80" w:type="dxa"/>
            <w:vAlign w:val="bottom"/>
          </w:tcPr>
          <w:p>
            <w:pPr>
              <w:spacing w:after="0"/>
              <w:rPr>
                <w:sz w:val="18"/>
                <w:szCs w:val="18"/>
                <w:color w:val="auto"/>
              </w:rPr>
            </w:pPr>
          </w:p>
        </w:tc>
        <w:tc>
          <w:tcPr>
            <w:tcW w:w="100" w:type="dxa"/>
            <w:vAlign w:val="bottom"/>
            <w:tcBorders>
              <w:bottom w:val="single" w:sz="8" w:color="98A3B8"/>
            </w:tcBorders>
          </w:tcPr>
          <w:p>
            <w:pPr>
              <w:spacing w:after="0"/>
              <w:rPr>
                <w:sz w:val="18"/>
                <w:szCs w:val="18"/>
                <w:color w:val="auto"/>
              </w:rPr>
            </w:pPr>
          </w:p>
        </w:tc>
        <w:tc>
          <w:tcPr>
            <w:tcW w:w="78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(48,468)</w:t>
            </w:r>
          </w:p>
        </w:tc>
        <w:tc>
          <w:tcPr>
            <w:tcW w:w="140" w:type="dxa"/>
            <w:vAlign w:val="bottom"/>
          </w:tcPr>
          <w:p>
            <w:pPr>
              <w:spacing w:after="0"/>
              <w:rPr>
                <w:sz w:val="18"/>
                <w:szCs w:val="18"/>
                <w:color w:val="auto"/>
              </w:rPr>
            </w:pPr>
          </w:p>
        </w:tc>
        <w:tc>
          <w:tcPr>
            <w:tcW w:w="80" w:type="dxa"/>
            <w:vAlign w:val="bottom"/>
            <w:tcBorders>
              <w:bottom w:val="single" w:sz="8" w:color="98A3B8"/>
            </w:tcBorders>
          </w:tcPr>
          <w:p>
            <w:pPr>
              <w:spacing w:after="0"/>
              <w:rPr>
                <w:sz w:val="18"/>
                <w:szCs w:val="18"/>
                <w:color w:val="auto"/>
              </w:rPr>
            </w:pPr>
          </w:p>
        </w:tc>
        <w:tc>
          <w:tcPr>
            <w:tcW w:w="84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(7,697)</w:t>
            </w:r>
          </w:p>
        </w:tc>
        <w:tc>
          <w:tcPr>
            <w:tcW w:w="80" w:type="dxa"/>
            <w:vAlign w:val="bottom"/>
          </w:tcPr>
          <w:p>
            <w:pPr>
              <w:spacing w:after="0"/>
              <w:rPr>
                <w:sz w:val="18"/>
                <w:szCs w:val="18"/>
                <w:color w:val="auto"/>
              </w:rPr>
            </w:pPr>
          </w:p>
        </w:tc>
        <w:tc>
          <w:tcPr>
            <w:tcW w:w="120" w:type="dxa"/>
            <w:vAlign w:val="bottom"/>
            <w:tcBorders>
              <w:bottom w:val="single" w:sz="8" w:color="98A3B8"/>
            </w:tcBorders>
          </w:tcPr>
          <w:p>
            <w:pPr>
              <w:spacing w:after="0"/>
              <w:rPr>
                <w:sz w:val="18"/>
                <w:szCs w:val="18"/>
                <w:color w:val="auto"/>
              </w:rPr>
            </w:pPr>
          </w:p>
        </w:tc>
        <w:tc>
          <w:tcPr>
            <w:tcW w:w="120" w:type="dxa"/>
            <w:vAlign w:val="bottom"/>
            <w:tcBorders>
              <w:bottom w:val="single" w:sz="8" w:color="98A3B8"/>
            </w:tcBorders>
          </w:tcPr>
          <w:p>
            <w:pPr>
              <w:spacing w:after="0"/>
              <w:rPr>
                <w:sz w:val="18"/>
                <w:szCs w:val="18"/>
                <w:color w:val="auto"/>
              </w:rPr>
            </w:pPr>
          </w:p>
        </w:tc>
        <w:tc>
          <w:tcPr>
            <w:tcW w:w="68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(5,879)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98A3B8"/>
            </w:tcBorders>
          </w:tcPr>
          <w:p>
            <w:pPr>
              <w:spacing w:after="0"/>
              <w:rPr>
                <w:sz w:val="18"/>
                <w:szCs w:val="18"/>
                <w:color w:val="auto"/>
              </w:rPr>
            </w:pPr>
          </w:p>
        </w:tc>
        <w:tc>
          <w:tcPr>
            <w:tcW w:w="8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(35,139)</w:t>
            </w:r>
          </w:p>
        </w:tc>
        <w:tc>
          <w:tcPr>
            <w:tcW w:w="80" w:type="dxa"/>
            <w:vAlign w:val="bottom"/>
          </w:tcPr>
          <w:p>
            <w:pPr>
              <w:spacing w:after="0"/>
              <w:rPr>
                <w:sz w:val="18"/>
                <w:szCs w:val="18"/>
                <w:color w:val="auto"/>
              </w:rPr>
            </w:pPr>
          </w:p>
        </w:tc>
        <w:tc>
          <w:tcPr>
            <w:tcW w:w="100" w:type="dxa"/>
            <w:vAlign w:val="bottom"/>
            <w:tcBorders>
              <w:bottom w:val="single" w:sz="8" w:color="98A3B8"/>
            </w:tcBorders>
          </w:tcPr>
          <w:p>
            <w:pPr>
              <w:spacing w:after="0"/>
              <w:rPr>
                <w:sz w:val="18"/>
                <w:szCs w:val="18"/>
                <w:color w:val="auto"/>
              </w:rPr>
            </w:pPr>
          </w:p>
        </w:tc>
        <w:tc>
          <w:tcPr>
            <w:tcW w:w="8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(54,347)</w:t>
            </w:r>
          </w:p>
        </w:tc>
      </w:tr>
      <w:tr>
        <w:trPr>
          <w:trHeight w:val="217"/>
        </w:trPr>
        <w:tc>
          <w:tcPr>
            <w:tcW w:w="5360" w:type="dxa"/>
            <w:vAlign w:val="bottom"/>
            <w:tcBorders>
              <w:bottom w:val="single" w:sz="8" w:color="98A3B8"/>
            </w:tcBorders>
            <w:gridSpan w:val="2"/>
          </w:tcPr>
          <w:p>
            <w:pPr>
              <w:spacing w:after="0"/>
              <w:rPr>
                <w:sz w:val="20"/>
                <w:szCs w:val="20"/>
                <w:color w:val="auto"/>
              </w:rPr>
            </w:pPr>
            <w:r>
              <w:rPr>
                <w:rFonts w:ascii="Arial" w:cs="Arial" w:eastAsia="Arial" w:hAnsi="Arial"/>
                <w:sz w:val="15"/>
                <w:szCs w:val="15"/>
                <w:color w:val="auto"/>
              </w:rPr>
              <w:t>Rental income - FAS 141</w:t>
            </w:r>
          </w:p>
        </w:tc>
        <w:tc>
          <w:tcPr>
            <w:tcW w:w="160" w:type="dxa"/>
            <w:vAlign w:val="bottom"/>
          </w:tcPr>
          <w:p>
            <w:pPr>
              <w:spacing w:after="0"/>
              <w:rPr>
                <w:sz w:val="18"/>
                <w:szCs w:val="18"/>
                <w:color w:val="auto"/>
              </w:rPr>
            </w:pPr>
          </w:p>
        </w:tc>
        <w:tc>
          <w:tcPr>
            <w:tcW w:w="80" w:type="dxa"/>
            <w:vAlign w:val="bottom"/>
            <w:tcBorders>
              <w:bottom w:val="single" w:sz="8" w:color="98A3B8"/>
            </w:tcBorders>
          </w:tcPr>
          <w:p>
            <w:pPr>
              <w:spacing w:after="0"/>
              <w:rPr>
                <w:sz w:val="18"/>
                <w:szCs w:val="18"/>
                <w:color w:val="auto"/>
              </w:rPr>
            </w:pPr>
          </w:p>
        </w:tc>
        <w:tc>
          <w:tcPr>
            <w:tcW w:w="8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(4,050)</w:t>
            </w:r>
          </w:p>
        </w:tc>
        <w:tc>
          <w:tcPr>
            <w:tcW w:w="80" w:type="dxa"/>
            <w:vAlign w:val="bottom"/>
          </w:tcPr>
          <w:p>
            <w:pPr>
              <w:spacing w:after="0"/>
              <w:rPr>
                <w:sz w:val="18"/>
                <w:szCs w:val="18"/>
                <w:color w:val="auto"/>
              </w:rPr>
            </w:pPr>
          </w:p>
        </w:tc>
        <w:tc>
          <w:tcPr>
            <w:tcW w:w="100" w:type="dxa"/>
            <w:vAlign w:val="bottom"/>
            <w:tcBorders>
              <w:bottom w:val="single" w:sz="8" w:color="98A3B8"/>
            </w:tcBorders>
          </w:tcPr>
          <w:p>
            <w:pPr>
              <w:spacing w:after="0"/>
              <w:rPr>
                <w:sz w:val="18"/>
                <w:szCs w:val="18"/>
                <w:color w:val="auto"/>
              </w:rPr>
            </w:pPr>
          </w:p>
        </w:tc>
        <w:tc>
          <w:tcPr>
            <w:tcW w:w="78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(17,100)</w:t>
            </w:r>
          </w:p>
        </w:tc>
        <w:tc>
          <w:tcPr>
            <w:tcW w:w="140" w:type="dxa"/>
            <w:vAlign w:val="bottom"/>
          </w:tcPr>
          <w:p>
            <w:pPr>
              <w:spacing w:after="0"/>
              <w:rPr>
                <w:sz w:val="18"/>
                <w:szCs w:val="18"/>
                <w:color w:val="auto"/>
              </w:rPr>
            </w:pPr>
          </w:p>
        </w:tc>
        <w:tc>
          <w:tcPr>
            <w:tcW w:w="80" w:type="dxa"/>
            <w:vAlign w:val="bottom"/>
            <w:tcBorders>
              <w:bottom w:val="single" w:sz="8" w:color="98A3B8"/>
            </w:tcBorders>
          </w:tcPr>
          <w:p>
            <w:pPr>
              <w:spacing w:after="0"/>
              <w:rPr>
                <w:sz w:val="18"/>
                <w:szCs w:val="18"/>
                <w:color w:val="auto"/>
              </w:rPr>
            </w:pPr>
          </w:p>
        </w:tc>
        <w:tc>
          <w:tcPr>
            <w:tcW w:w="84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(1,557)</w:t>
            </w:r>
          </w:p>
        </w:tc>
        <w:tc>
          <w:tcPr>
            <w:tcW w:w="80" w:type="dxa"/>
            <w:vAlign w:val="bottom"/>
          </w:tcPr>
          <w:p>
            <w:pPr>
              <w:spacing w:after="0"/>
              <w:rPr>
                <w:sz w:val="18"/>
                <w:szCs w:val="18"/>
                <w:color w:val="auto"/>
              </w:rPr>
            </w:pPr>
          </w:p>
        </w:tc>
        <w:tc>
          <w:tcPr>
            <w:tcW w:w="120" w:type="dxa"/>
            <w:vAlign w:val="bottom"/>
            <w:tcBorders>
              <w:bottom w:val="single" w:sz="8" w:color="98A3B8"/>
            </w:tcBorders>
          </w:tcPr>
          <w:p>
            <w:pPr>
              <w:spacing w:after="0"/>
              <w:rPr>
                <w:sz w:val="18"/>
                <w:szCs w:val="18"/>
                <w:color w:val="auto"/>
              </w:rPr>
            </w:pPr>
          </w:p>
        </w:tc>
        <w:tc>
          <w:tcPr>
            <w:tcW w:w="120" w:type="dxa"/>
            <w:vAlign w:val="bottom"/>
            <w:tcBorders>
              <w:bottom w:val="single" w:sz="8" w:color="98A3B8"/>
            </w:tcBorders>
          </w:tcPr>
          <w:p>
            <w:pPr>
              <w:spacing w:after="0"/>
              <w:rPr>
                <w:sz w:val="18"/>
                <w:szCs w:val="18"/>
                <w:color w:val="auto"/>
              </w:rPr>
            </w:pPr>
          </w:p>
        </w:tc>
        <w:tc>
          <w:tcPr>
            <w:tcW w:w="68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(1,867)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98A3B8"/>
            </w:tcBorders>
          </w:tcPr>
          <w:p>
            <w:pPr>
              <w:spacing w:after="0"/>
              <w:rPr>
                <w:sz w:val="18"/>
                <w:szCs w:val="18"/>
                <w:color w:val="auto"/>
              </w:rPr>
            </w:pPr>
          </w:p>
        </w:tc>
        <w:tc>
          <w:tcPr>
            <w:tcW w:w="8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(5,607)</w:t>
            </w:r>
          </w:p>
        </w:tc>
        <w:tc>
          <w:tcPr>
            <w:tcW w:w="80" w:type="dxa"/>
            <w:vAlign w:val="bottom"/>
          </w:tcPr>
          <w:p>
            <w:pPr>
              <w:spacing w:after="0"/>
              <w:rPr>
                <w:sz w:val="18"/>
                <w:szCs w:val="18"/>
                <w:color w:val="auto"/>
              </w:rPr>
            </w:pPr>
          </w:p>
        </w:tc>
        <w:tc>
          <w:tcPr>
            <w:tcW w:w="100" w:type="dxa"/>
            <w:vAlign w:val="bottom"/>
            <w:tcBorders>
              <w:bottom w:val="single" w:sz="8" w:color="98A3B8"/>
            </w:tcBorders>
          </w:tcPr>
          <w:p>
            <w:pPr>
              <w:spacing w:after="0"/>
              <w:rPr>
                <w:sz w:val="18"/>
                <w:szCs w:val="18"/>
                <w:color w:val="auto"/>
              </w:rPr>
            </w:pPr>
          </w:p>
        </w:tc>
        <w:tc>
          <w:tcPr>
            <w:tcW w:w="8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(18,967)</w:t>
            </w:r>
          </w:p>
        </w:tc>
      </w:tr>
      <w:tr>
        <w:trPr>
          <w:trHeight w:val="217"/>
        </w:trPr>
        <w:tc>
          <w:tcPr>
            <w:tcW w:w="5360" w:type="dxa"/>
            <w:vAlign w:val="bottom"/>
            <w:gridSpan w:val="2"/>
          </w:tcPr>
          <w:p>
            <w:pPr>
              <w:spacing w:after="0"/>
              <w:rPr>
                <w:sz w:val="20"/>
                <w:szCs w:val="20"/>
                <w:color w:val="auto"/>
              </w:rPr>
            </w:pPr>
            <w:r>
              <w:rPr>
                <w:rFonts w:ascii="Arial" w:cs="Arial" w:eastAsia="Arial" w:hAnsi="Arial"/>
                <w:sz w:val="15"/>
                <w:szCs w:val="15"/>
                <w:b w:val="1"/>
                <w:bCs w:val="1"/>
                <w:color w:val="auto"/>
              </w:rPr>
              <w:t>Same-store cash NOI</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5"/>
              <w:spacing w:after="0"/>
              <w:rPr>
                <w:sz w:val="20"/>
                <w:szCs w:val="20"/>
                <w:color w:val="auto"/>
              </w:rPr>
            </w:pPr>
            <w:r>
              <w:rPr>
                <w:rFonts w:ascii="Arial" w:cs="Arial" w:eastAsia="Arial" w:hAnsi="Arial"/>
                <w:sz w:val="15"/>
                <w:szCs w:val="15"/>
                <w:color w:val="auto"/>
              </w:rPr>
              <w:t>640,772</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605,079</w:t>
            </w:r>
          </w:p>
        </w:tc>
        <w:tc>
          <w:tcPr>
            <w:tcW w:w="1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79,238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74,278</w:t>
            </w: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9"/>
              <w:spacing w:after="0"/>
              <w:rPr>
                <w:sz w:val="20"/>
                <w:szCs w:val="20"/>
                <w:color w:val="auto"/>
              </w:rPr>
            </w:pPr>
            <w:r>
              <w:rPr>
                <w:rFonts w:ascii="Arial" w:cs="Arial" w:eastAsia="Arial" w:hAnsi="Arial"/>
                <w:sz w:val="15"/>
                <w:szCs w:val="15"/>
                <w:color w:val="auto"/>
              </w:rPr>
              <w:t>720,010</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25"/>
              <w:spacing w:after="0"/>
              <w:rPr>
                <w:sz w:val="20"/>
                <w:szCs w:val="20"/>
                <w:color w:val="auto"/>
              </w:rPr>
            </w:pPr>
            <w:r>
              <w:rPr>
                <w:rFonts w:ascii="Arial" w:cs="Arial" w:eastAsia="Arial" w:hAnsi="Arial"/>
                <w:sz w:val="15"/>
                <w:szCs w:val="15"/>
                <w:color w:val="auto"/>
              </w:rPr>
              <w:t>679,357</w:t>
            </w:r>
          </w:p>
        </w:tc>
      </w:tr>
      <w:tr>
        <w:trPr>
          <w:trHeight w:val="30"/>
        </w:trPr>
        <w:tc>
          <w:tcPr>
            <w:tcW w:w="1780" w:type="dxa"/>
            <w:vAlign w:val="bottom"/>
            <w:shd w:val="clear" w:color="auto" w:fill="325889"/>
          </w:tcPr>
          <w:p>
            <w:pPr>
              <w:spacing w:after="0"/>
              <w:rPr>
                <w:sz w:val="2"/>
                <w:szCs w:val="2"/>
                <w:color w:val="auto"/>
              </w:rPr>
            </w:pPr>
          </w:p>
        </w:tc>
        <w:tc>
          <w:tcPr>
            <w:tcW w:w="3580" w:type="dxa"/>
            <w:vAlign w:val="bottom"/>
            <w:shd w:val="clear" w:color="auto" w:fill="325889"/>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325889"/>
          </w:tcPr>
          <w:p>
            <w:pPr>
              <w:spacing w:after="0"/>
              <w:rPr>
                <w:sz w:val="2"/>
                <w:szCs w:val="2"/>
                <w:color w:val="auto"/>
              </w:rPr>
            </w:pPr>
          </w:p>
        </w:tc>
        <w:tc>
          <w:tcPr>
            <w:tcW w:w="800" w:type="dxa"/>
            <w:vAlign w:val="bottom"/>
            <w:shd w:val="clear" w:color="auto" w:fill="325889"/>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325889"/>
          </w:tcPr>
          <w:p>
            <w:pPr>
              <w:spacing w:after="0"/>
              <w:rPr>
                <w:sz w:val="2"/>
                <w:szCs w:val="2"/>
                <w:color w:val="auto"/>
              </w:rPr>
            </w:pPr>
          </w:p>
        </w:tc>
        <w:tc>
          <w:tcPr>
            <w:tcW w:w="780" w:type="dxa"/>
            <w:vAlign w:val="bottom"/>
            <w:shd w:val="clear" w:color="auto" w:fill="325889"/>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325889"/>
          </w:tcPr>
          <w:p>
            <w:pPr>
              <w:spacing w:after="0"/>
              <w:rPr>
                <w:sz w:val="2"/>
                <w:szCs w:val="2"/>
                <w:color w:val="auto"/>
              </w:rPr>
            </w:pPr>
          </w:p>
        </w:tc>
        <w:tc>
          <w:tcPr>
            <w:tcW w:w="840" w:type="dxa"/>
            <w:vAlign w:val="bottom"/>
            <w:shd w:val="clear" w:color="auto" w:fill="325889"/>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325889"/>
          </w:tcPr>
          <w:p>
            <w:pPr>
              <w:spacing w:after="0"/>
              <w:rPr>
                <w:sz w:val="2"/>
                <w:szCs w:val="2"/>
                <w:color w:val="auto"/>
              </w:rPr>
            </w:pPr>
          </w:p>
        </w:tc>
        <w:tc>
          <w:tcPr>
            <w:tcW w:w="120" w:type="dxa"/>
            <w:vAlign w:val="bottom"/>
            <w:shd w:val="clear" w:color="auto" w:fill="325889"/>
          </w:tcPr>
          <w:p>
            <w:pPr>
              <w:spacing w:after="0"/>
              <w:rPr>
                <w:sz w:val="2"/>
                <w:szCs w:val="2"/>
                <w:color w:val="auto"/>
              </w:rPr>
            </w:pPr>
          </w:p>
        </w:tc>
        <w:tc>
          <w:tcPr>
            <w:tcW w:w="680" w:type="dxa"/>
            <w:vAlign w:val="bottom"/>
            <w:shd w:val="clear" w:color="auto" w:fill="325889"/>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325889"/>
          </w:tcPr>
          <w:p>
            <w:pPr>
              <w:spacing w:after="0"/>
              <w:rPr>
                <w:sz w:val="2"/>
                <w:szCs w:val="2"/>
                <w:color w:val="auto"/>
              </w:rPr>
            </w:pPr>
          </w:p>
        </w:tc>
        <w:tc>
          <w:tcPr>
            <w:tcW w:w="800" w:type="dxa"/>
            <w:vAlign w:val="bottom"/>
            <w:shd w:val="clear" w:color="auto" w:fill="325889"/>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325889"/>
          </w:tcPr>
          <w:p>
            <w:pPr>
              <w:spacing w:after="0"/>
              <w:rPr>
                <w:sz w:val="2"/>
                <w:szCs w:val="2"/>
                <w:color w:val="auto"/>
              </w:rPr>
            </w:pPr>
          </w:p>
        </w:tc>
        <w:tc>
          <w:tcPr>
            <w:tcW w:w="800" w:type="dxa"/>
            <w:vAlign w:val="bottom"/>
            <w:shd w:val="clear" w:color="auto" w:fill="325889"/>
          </w:tcPr>
          <w:p>
            <w:pPr>
              <w:spacing w:after="0"/>
              <w:rPr>
                <w:sz w:val="2"/>
                <w:szCs w:val="2"/>
                <w:color w:val="auto"/>
              </w:rPr>
            </w:pP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325889"/>
        </w:rPr>
        <w:t xml:space="preserve">A-2 </w:t>
      </w:r>
      <w:r>
        <w:rPr>
          <w:rFonts w:ascii="Arial" w:cs="Arial" w:eastAsia="Arial" w:hAnsi="Arial"/>
          <w:sz w:val="15"/>
          <w:szCs w:val="15"/>
          <w:color w:val="000000"/>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83450" cy="203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0"/>
          </w:cols>
          <w:pgMar w:left="240" w:top="528" w:right="219" w:bottom="1440" w:gutter="0" w:footer="0" w:header="0"/>
        </w:sectPr>
      </w:pPr>
    </w:p>
    <w:bookmarkStart w:id="68" w:name="page69"/>
    <w:bookmarkEnd w:id="68"/>
    <w:p>
      <w:pPr>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325889"/>
        </w:rPr>
        <w:t>APPENDIX A: INFORMATION REGARDING CERTAIN FINANCIAL MEASURES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920" w:type="dxa"/>
            <w:vAlign w:val="bottom"/>
            <w:gridSpan w:val="2"/>
          </w:tcPr>
          <w:p>
            <w:pPr>
              <w:spacing w:after="0"/>
              <w:rPr>
                <w:sz w:val="20"/>
                <w:szCs w:val="20"/>
                <w:color w:val="auto"/>
              </w:rPr>
            </w:pPr>
            <w:r>
              <w:rPr>
                <w:rFonts w:ascii="Arial" w:cs="Arial" w:eastAsia="Arial" w:hAnsi="Arial"/>
                <w:sz w:val="12"/>
                <w:szCs w:val="12"/>
                <w:b w:val="1"/>
                <w:bCs w:val="1"/>
                <w:color w:val="325889"/>
              </w:rPr>
              <w:t>Reconciliation of 2015 and 2014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321"/>
        </w:trPr>
        <w:tc>
          <w:tcPr>
            <w:tcW w:w="1780" w:type="dxa"/>
            <w:vAlign w:val="bottom"/>
            <w:tcBorders>
              <w:top w:val="single" w:sz="8" w:color="325889"/>
            </w:tcBorders>
          </w:tcPr>
          <w:p>
            <w:pPr>
              <w:spacing w:after="0"/>
              <w:rPr>
                <w:sz w:val="24"/>
                <w:szCs w:val="24"/>
                <w:color w:val="auto"/>
              </w:rPr>
            </w:pPr>
          </w:p>
        </w:tc>
        <w:tc>
          <w:tcPr>
            <w:tcW w:w="4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6"/>
          </w:tcPr>
          <w:p>
            <w:pPr>
              <w:jc w:val="center"/>
              <w:ind w:right="180"/>
              <w:spacing w:after="0"/>
              <w:rPr>
                <w:sz w:val="20"/>
                <w:szCs w:val="20"/>
                <w:color w:val="auto"/>
              </w:rPr>
            </w:pPr>
            <w:r>
              <w:rPr>
                <w:rFonts w:ascii="Arial" w:cs="Arial" w:eastAsia="Arial" w:hAnsi="Arial"/>
                <w:sz w:val="12"/>
                <w:szCs w:val="12"/>
                <w:b w:val="1"/>
                <w:bCs w:val="1"/>
                <w:color w:val="325889"/>
                <w:w w:val="99"/>
              </w:rPr>
              <w:t>Unconsolidated Joint</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3"/>
        </w:trPr>
        <w:tc>
          <w:tcPr>
            <w:tcW w:w="178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325889"/>
            </w:tcBorders>
          </w:tcPr>
          <w:p>
            <w:pPr>
              <w:spacing w:after="0"/>
              <w:rPr>
                <w:sz w:val="15"/>
                <w:szCs w:val="15"/>
                <w:color w:val="auto"/>
              </w:rPr>
            </w:pPr>
          </w:p>
        </w:tc>
        <w:tc>
          <w:tcPr>
            <w:tcW w:w="1700" w:type="dxa"/>
            <w:vAlign w:val="bottom"/>
            <w:tcBorders>
              <w:bottom w:val="single" w:sz="8" w:color="325889"/>
            </w:tcBorders>
            <w:gridSpan w:val="4"/>
          </w:tcPr>
          <w:p>
            <w:pPr>
              <w:jc w:val="center"/>
              <w:ind w:right="4"/>
              <w:spacing w:after="0"/>
              <w:rPr>
                <w:sz w:val="20"/>
                <w:szCs w:val="20"/>
                <w:color w:val="auto"/>
              </w:rPr>
            </w:pPr>
            <w:r>
              <w:rPr>
                <w:rFonts w:ascii="Arial" w:cs="Arial" w:eastAsia="Arial" w:hAnsi="Arial"/>
                <w:sz w:val="12"/>
                <w:szCs w:val="12"/>
                <w:b w:val="1"/>
                <w:bCs w:val="1"/>
                <w:color w:val="325889"/>
                <w:w w:val="99"/>
              </w:rPr>
              <w:t>Consolidated Properties</w:t>
            </w:r>
          </w:p>
        </w:tc>
        <w:tc>
          <w:tcPr>
            <w:tcW w:w="100" w:type="dxa"/>
            <w:vAlign w:val="bottom"/>
          </w:tcPr>
          <w:p>
            <w:pPr>
              <w:spacing w:after="0"/>
              <w:rPr>
                <w:sz w:val="15"/>
                <w:szCs w:val="15"/>
                <w:color w:val="auto"/>
              </w:rPr>
            </w:pPr>
          </w:p>
        </w:tc>
        <w:tc>
          <w:tcPr>
            <w:tcW w:w="100" w:type="dxa"/>
            <w:vAlign w:val="bottom"/>
            <w:tcBorders>
              <w:bottom w:val="single" w:sz="8" w:color="325889"/>
            </w:tcBorders>
          </w:tcPr>
          <w:p>
            <w:pPr>
              <w:spacing w:after="0"/>
              <w:rPr>
                <w:sz w:val="15"/>
                <w:szCs w:val="15"/>
                <w:color w:val="auto"/>
              </w:rPr>
            </w:pPr>
          </w:p>
        </w:tc>
        <w:tc>
          <w:tcPr>
            <w:tcW w:w="1520" w:type="dxa"/>
            <w:vAlign w:val="bottom"/>
            <w:tcBorders>
              <w:bottom w:val="single" w:sz="8" w:color="325889"/>
            </w:tcBorders>
            <w:gridSpan w:val="5"/>
          </w:tcPr>
          <w:p>
            <w:pPr>
              <w:jc w:val="center"/>
              <w:ind w:right="24"/>
              <w:spacing w:after="0"/>
              <w:rPr>
                <w:sz w:val="20"/>
                <w:szCs w:val="20"/>
                <w:color w:val="auto"/>
              </w:rPr>
            </w:pPr>
            <w:r>
              <w:rPr>
                <w:rFonts w:ascii="Arial" w:cs="Arial" w:eastAsia="Arial" w:hAnsi="Arial"/>
                <w:sz w:val="12"/>
                <w:szCs w:val="12"/>
                <w:b w:val="1"/>
                <w:bCs w:val="1"/>
                <w:color w:val="325889"/>
                <w:w w:val="97"/>
              </w:rPr>
              <w:t>Ventures</w:t>
            </w:r>
          </w:p>
        </w:tc>
        <w:tc>
          <w:tcPr>
            <w:tcW w:w="80" w:type="dxa"/>
            <w:vAlign w:val="bottom"/>
          </w:tcPr>
          <w:p>
            <w:pPr>
              <w:spacing w:after="0"/>
              <w:rPr>
                <w:sz w:val="15"/>
                <w:szCs w:val="15"/>
                <w:color w:val="auto"/>
              </w:rPr>
            </w:pPr>
          </w:p>
        </w:tc>
        <w:tc>
          <w:tcPr>
            <w:tcW w:w="100" w:type="dxa"/>
            <w:vAlign w:val="bottom"/>
            <w:tcBorders>
              <w:bottom w:val="single" w:sz="8" w:color="325889"/>
            </w:tcBorders>
          </w:tcPr>
          <w:p>
            <w:pPr>
              <w:spacing w:after="0"/>
              <w:rPr>
                <w:sz w:val="15"/>
                <w:szCs w:val="15"/>
                <w:color w:val="auto"/>
              </w:rPr>
            </w:pPr>
          </w:p>
        </w:tc>
        <w:tc>
          <w:tcPr>
            <w:tcW w:w="1720" w:type="dxa"/>
            <w:vAlign w:val="bottom"/>
            <w:tcBorders>
              <w:bottom w:val="single" w:sz="8" w:color="325889"/>
            </w:tcBorders>
            <w:gridSpan w:val="4"/>
          </w:tcPr>
          <w:p>
            <w:pPr>
              <w:jc w:val="center"/>
              <w:ind w:right="25"/>
              <w:spacing w:after="0"/>
              <w:rPr>
                <w:sz w:val="20"/>
                <w:szCs w:val="20"/>
                <w:color w:val="auto"/>
              </w:rPr>
            </w:pPr>
            <w:r>
              <w:rPr>
                <w:rFonts w:ascii="Arial" w:cs="Arial" w:eastAsia="Arial" w:hAnsi="Arial"/>
                <w:sz w:val="12"/>
                <w:szCs w:val="12"/>
                <w:b w:val="1"/>
                <w:bCs w:val="1"/>
                <w:color w:val="325889"/>
                <w:w w:val="98"/>
              </w:rPr>
              <w:t>Combined</w:t>
            </w:r>
          </w:p>
        </w:tc>
      </w:tr>
      <w:tr>
        <w:trPr>
          <w:trHeight w:val="140"/>
        </w:trPr>
        <w:tc>
          <w:tcPr>
            <w:tcW w:w="17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5"/>
          </w:tcPr>
          <w:p>
            <w:pPr>
              <w:jc w:val="center"/>
              <w:ind w:right="200"/>
              <w:spacing w:after="0"/>
              <w:rPr>
                <w:sz w:val="20"/>
                <w:szCs w:val="20"/>
                <w:color w:val="auto"/>
              </w:rPr>
            </w:pPr>
            <w:r>
              <w:rPr>
                <w:rFonts w:ascii="Arial" w:cs="Arial" w:eastAsia="Arial" w:hAnsi="Arial"/>
                <w:sz w:val="12"/>
                <w:szCs w:val="12"/>
                <w:b w:val="1"/>
                <w:bCs w:val="1"/>
                <w:color w:val="325889"/>
                <w:w w:val="98"/>
              </w:rPr>
              <w:t>Twelve Months Ended</w:t>
            </w:r>
          </w:p>
        </w:tc>
        <w:tc>
          <w:tcPr>
            <w:tcW w:w="100" w:type="dxa"/>
            <w:vAlign w:val="bottom"/>
          </w:tcPr>
          <w:p>
            <w:pPr>
              <w:spacing w:after="0"/>
              <w:rPr>
                <w:sz w:val="12"/>
                <w:szCs w:val="12"/>
                <w:color w:val="auto"/>
              </w:rPr>
            </w:pPr>
          </w:p>
        </w:tc>
        <w:tc>
          <w:tcPr>
            <w:tcW w:w="1600" w:type="dxa"/>
            <w:vAlign w:val="bottom"/>
            <w:gridSpan w:val="6"/>
          </w:tcPr>
          <w:p>
            <w:pPr>
              <w:jc w:val="center"/>
              <w:ind w:right="200"/>
              <w:spacing w:after="0"/>
              <w:rPr>
                <w:sz w:val="20"/>
                <w:szCs w:val="20"/>
                <w:color w:val="auto"/>
              </w:rPr>
            </w:pPr>
            <w:r>
              <w:rPr>
                <w:rFonts w:ascii="Arial" w:cs="Arial" w:eastAsia="Arial" w:hAnsi="Arial"/>
                <w:sz w:val="12"/>
                <w:szCs w:val="12"/>
                <w:b w:val="1"/>
                <w:bCs w:val="1"/>
                <w:color w:val="325889"/>
                <w:w w:val="98"/>
              </w:rPr>
              <w:t>Twelve Months Ended</w:t>
            </w:r>
          </w:p>
        </w:tc>
        <w:tc>
          <w:tcPr>
            <w:tcW w:w="100" w:type="dxa"/>
            <w:vAlign w:val="bottom"/>
          </w:tcPr>
          <w:p>
            <w:pPr>
              <w:spacing w:after="0"/>
              <w:rPr>
                <w:sz w:val="12"/>
                <w:szCs w:val="12"/>
                <w:color w:val="auto"/>
              </w:rPr>
            </w:pPr>
          </w:p>
        </w:tc>
        <w:tc>
          <w:tcPr>
            <w:tcW w:w="1720" w:type="dxa"/>
            <w:vAlign w:val="bottom"/>
            <w:gridSpan w:val="4"/>
          </w:tcPr>
          <w:p>
            <w:pPr>
              <w:jc w:val="center"/>
              <w:ind w:right="5"/>
              <w:spacing w:after="0"/>
              <w:rPr>
                <w:sz w:val="20"/>
                <w:szCs w:val="20"/>
                <w:color w:val="auto"/>
              </w:rPr>
            </w:pPr>
            <w:r>
              <w:rPr>
                <w:rFonts w:ascii="Arial" w:cs="Arial" w:eastAsia="Arial" w:hAnsi="Arial"/>
                <w:sz w:val="12"/>
                <w:szCs w:val="12"/>
                <w:b w:val="1"/>
                <w:bCs w:val="1"/>
                <w:color w:val="325889"/>
                <w:w w:val="98"/>
              </w:rPr>
              <w:t>Twelve Months Ended</w:t>
            </w:r>
          </w:p>
        </w:tc>
      </w:tr>
      <w:tr>
        <w:trPr>
          <w:trHeight w:val="173"/>
        </w:trPr>
        <w:tc>
          <w:tcPr>
            <w:tcW w:w="178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5"/>
          </w:tcPr>
          <w:p>
            <w:pPr>
              <w:jc w:val="center"/>
              <w:ind w:right="180"/>
              <w:spacing w:after="0"/>
              <w:rPr>
                <w:sz w:val="20"/>
                <w:szCs w:val="20"/>
                <w:color w:val="auto"/>
              </w:rPr>
            </w:pPr>
            <w:r>
              <w:rPr>
                <w:rFonts w:ascii="Arial" w:cs="Arial" w:eastAsia="Arial" w:hAnsi="Arial"/>
                <w:sz w:val="12"/>
                <w:szCs w:val="12"/>
                <w:b w:val="1"/>
                <w:bCs w:val="1"/>
                <w:color w:val="325889"/>
                <w:w w:val="99"/>
              </w:rPr>
              <w:t>December 31</w:t>
            </w:r>
            <w:r>
              <w:rPr>
                <w:rFonts w:ascii="Arial" w:cs="Arial" w:eastAsia="Arial" w:hAnsi="Arial"/>
                <w:sz w:val="12"/>
                <w:szCs w:val="12"/>
                <w:b w:val="1"/>
                <w:bCs w:val="1"/>
                <w:color w:val="000000"/>
                <w:w w:val="99"/>
              </w:rPr>
              <w:t>,</w:t>
            </w:r>
          </w:p>
        </w:tc>
        <w:tc>
          <w:tcPr>
            <w:tcW w:w="100" w:type="dxa"/>
            <w:vAlign w:val="bottom"/>
          </w:tcPr>
          <w:p>
            <w:pPr>
              <w:spacing w:after="0"/>
              <w:rPr>
                <w:sz w:val="15"/>
                <w:szCs w:val="15"/>
                <w:color w:val="auto"/>
              </w:rPr>
            </w:pPr>
          </w:p>
        </w:tc>
        <w:tc>
          <w:tcPr>
            <w:tcW w:w="1600" w:type="dxa"/>
            <w:vAlign w:val="bottom"/>
            <w:gridSpan w:val="6"/>
          </w:tcPr>
          <w:p>
            <w:pPr>
              <w:jc w:val="center"/>
              <w:ind w:right="180"/>
              <w:spacing w:after="0"/>
              <w:rPr>
                <w:sz w:val="20"/>
                <w:szCs w:val="20"/>
                <w:color w:val="auto"/>
              </w:rPr>
            </w:pPr>
            <w:r>
              <w:rPr>
                <w:rFonts w:ascii="Arial" w:cs="Arial" w:eastAsia="Arial" w:hAnsi="Arial"/>
                <w:sz w:val="12"/>
                <w:szCs w:val="12"/>
                <w:b w:val="1"/>
                <w:bCs w:val="1"/>
                <w:color w:val="325889"/>
                <w:w w:val="99"/>
              </w:rPr>
              <w:t>December 31</w:t>
            </w:r>
            <w:r>
              <w:rPr>
                <w:rFonts w:ascii="Arial" w:cs="Arial" w:eastAsia="Arial" w:hAnsi="Arial"/>
                <w:sz w:val="12"/>
                <w:szCs w:val="12"/>
                <w:b w:val="1"/>
                <w:bCs w:val="1"/>
                <w:color w:val="000000"/>
                <w:w w:val="99"/>
              </w:rPr>
              <w:t>,</w:t>
            </w:r>
          </w:p>
        </w:tc>
        <w:tc>
          <w:tcPr>
            <w:tcW w:w="100" w:type="dxa"/>
            <w:vAlign w:val="bottom"/>
          </w:tcPr>
          <w:p>
            <w:pPr>
              <w:spacing w:after="0"/>
              <w:rPr>
                <w:sz w:val="15"/>
                <w:szCs w:val="15"/>
                <w:color w:val="auto"/>
              </w:rPr>
            </w:pPr>
          </w:p>
        </w:tc>
        <w:tc>
          <w:tcPr>
            <w:tcW w:w="1720" w:type="dxa"/>
            <w:vAlign w:val="bottom"/>
            <w:gridSpan w:val="4"/>
          </w:tcPr>
          <w:p>
            <w:pPr>
              <w:jc w:val="center"/>
              <w:ind w:right="25"/>
              <w:spacing w:after="0"/>
              <w:rPr>
                <w:sz w:val="20"/>
                <w:szCs w:val="20"/>
                <w:color w:val="auto"/>
              </w:rPr>
            </w:pPr>
            <w:r>
              <w:rPr>
                <w:rFonts w:ascii="Arial" w:cs="Arial" w:eastAsia="Arial" w:hAnsi="Arial"/>
                <w:sz w:val="12"/>
                <w:szCs w:val="12"/>
                <w:b w:val="1"/>
                <w:bCs w:val="1"/>
                <w:color w:val="325889"/>
                <w:w w:val="99"/>
              </w:rPr>
              <w:t>December 31</w:t>
            </w:r>
            <w:r>
              <w:rPr>
                <w:rFonts w:ascii="Arial" w:cs="Arial" w:eastAsia="Arial" w:hAnsi="Arial"/>
                <w:sz w:val="12"/>
                <w:szCs w:val="12"/>
                <w:b w:val="1"/>
                <w:bCs w:val="1"/>
                <w:color w:val="000000"/>
                <w:w w:val="99"/>
              </w:rPr>
              <w:t>,</w:t>
            </w:r>
          </w:p>
        </w:tc>
      </w:tr>
      <w:tr>
        <w:trPr>
          <w:trHeight w:val="182"/>
        </w:trPr>
        <w:tc>
          <w:tcPr>
            <w:tcW w:w="178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325889"/>
            </w:tcBorders>
          </w:tcPr>
          <w:p>
            <w:pPr>
              <w:spacing w:after="0"/>
              <w:rPr>
                <w:sz w:val="15"/>
                <w:szCs w:val="15"/>
                <w:color w:val="auto"/>
              </w:rPr>
            </w:pPr>
          </w:p>
        </w:tc>
        <w:tc>
          <w:tcPr>
            <w:tcW w:w="880" w:type="dxa"/>
            <w:vAlign w:val="bottom"/>
            <w:tcBorders>
              <w:top w:val="single" w:sz="8" w:color="325889"/>
            </w:tcBorders>
            <w:gridSpan w:val="2"/>
          </w:tcPr>
          <w:p>
            <w:pPr>
              <w:jc w:val="right"/>
              <w:ind w:right="80"/>
              <w:spacing w:after="0"/>
              <w:rPr>
                <w:sz w:val="20"/>
                <w:szCs w:val="20"/>
                <w:color w:val="auto"/>
              </w:rPr>
            </w:pPr>
            <w:r>
              <w:rPr>
                <w:rFonts w:ascii="Arial" w:cs="Arial" w:eastAsia="Arial" w:hAnsi="Arial"/>
                <w:sz w:val="12"/>
                <w:szCs w:val="12"/>
                <w:b w:val="1"/>
                <w:bCs w:val="1"/>
                <w:color w:val="325889"/>
              </w:rPr>
              <w:t>2015</w:t>
            </w:r>
          </w:p>
        </w:tc>
        <w:tc>
          <w:tcPr>
            <w:tcW w:w="100" w:type="dxa"/>
            <w:vAlign w:val="bottom"/>
            <w:tcBorders>
              <w:top w:val="single" w:sz="8" w:color="325889"/>
            </w:tcBorders>
          </w:tcPr>
          <w:p>
            <w:pPr>
              <w:spacing w:after="0"/>
              <w:rPr>
                <w:sz w:val="15"/>
                <w:szCs w:val="15"/>
                <w:color w:val="auto"/>
              </w:rPr>
            </w:pPr>
          </w:p>
        </w:tc>
        <w:tc>
          <w:tcPr>
            <w:tcW w:w="720" w:type="dxa"/>
            <w:vAlign w:val="bottom"/>
            <w:tcBorders>
              <w:top w:val="single" w:sz="8" w:color="325889"/>
            </w:tcBorders>
          </w:tcPr>
          <w:p>
            <w:pPr>
              <w:jc w:val="right"/>
              <w:spacing w:after="0"/>
              <w:rPr>
                <w:sz w:val="20"/>
                <w:szCs w:val="20"/>
                <w:color w:val="auto"/>
              </w:rPr>
            </w:pPr>
            <w:r>
              <w:rPr>
                <w:rFonts w:ascii="Arial" w:cs="Arial" w:eastAsia="Arial" w:hAnsi="Arial"/>
                <w:sz w:val="12"/>
                <w:szCs w:val="12"/>
                <w:b w:val="1"/>
                <w:bCs w:val="1"/>
                <w:color w:val="325889"/>
              </w:rPr>
              <w:t>2014</w:t>
            </w:r>
          </w:p>
        </w:tc>
        <w:tc>
          <w:tcPr>
            <w:tcW w:w="100" w:type="dxa"/>
            <w:vAlign w:val="bottom"/>
          </w:tcPr>
          <w:p>
            <w:pPr>
              <w:spacing w:after="0"/>
              <w:rPr>
                <w:sz w:val="15"/>
                <w:szCs w:val="15"/>
                <w:color w:val="auto"/>
              </w:rPr>
            </w:pPr>
          </w:p>
        </w:tc>
        <w:tc>
          <w:tcPr>
            <w:tcW w:w="100" w:type="dxa"/>
            <w:vAlign w:val="bottom"/>
            <w:tcBorders>
              <w:top w:val="single" w:sz="8" w:color="325889"/>
            </w:tcBorders>
          </w:tcPr>
          <w:p>
            <w:pPr>
              <w:spacing w:after="0"/>
              <w:rPr>
                <w:sz w:val="15"/>
                <w:szCs w:val="15"/>
                <w:color w:val="auto"/>
              </w:rPr>
            </w:pPr>
          </w:p>
        </w:tc>
        <w:tc>
          <w:tcPr>
            <w:tcW w:w="700" w:type="dxa"/>
            <w:vAlign w:val="bottom"/>
            <w:tcBorders>
              <w:top w:val="single" w:sz="8" w:color="325889"/>
            </w:tcBorders>
            <w:gridSpan w:val="2"/>
          </w:tcPr>
          <w:p>
            <w:pPr>
              <w:jc w:val="right"/>
              <w:ind w:right="40"/>
              <w:spacing w:after="0"/>
              <w:rPr>
                <w:sz w:val="20"/>
                <w:szCs w:val="20"/>
                <w:color w:val="auto"/>
              </w:rPr>
            </w:pPr>
            <w:r>
              <w:rPr>
                <w:rFonts w:ascii="Arial" w:cs="Arial" w:eastAsia="Arial" w:hAnsi="Arial"/>
                <w:sz w:val="12"/>
                <w:szCs w:val="12"/>
                <w:b w:val="1"/>
                <w:bCs w:val="1"/>
                <w:color w:val="325889"/>
              </w:rPr>
              <w:t>2015</w:t>
            </w:r>
          </w:p>
        </w:tc>
        <w:tc>
          <w:tcPr>
            <w:tcW w:w="60" w:type="dxa"/>
            <w:vAlign w:val="bottom"/>
            <w:tcBorders>
              <w:top w:val="single" w:sz="8" w:color="325889"/>
            </w:tcBorders>
          </w:tcPr>
          <w:p>
            <w:pPr>
              <w:spacing w:after="0"/>
              <w:rPr>
                <w:sz w:val="15"/>
                <w:szCs w:val="15"/>
                <w:color w:val="auto"/>
              </w:rPr>
            </w:pPr>
          </w:p>
        </w:tc>
        <w:tc>
          <w:tcPr>
            <w:tcW w:w="100" w:type="dxa"/>
            <w:vAlign w:val="bottom"/>
            <w:tcBorders>
              <w:top w:val="single" w:sz="8" w:color="325889"/>
            </w:tcBorders>
          </w:tcPr>
          <w:p>
            <w:pPr>
              <w:spacing w:after="0"/>
              <w:rPr>
                <w:sz w:val="15"/>
                <w:szCs w:val="15"/>
                <w:color w:val="auto"/>
              </w:rPr>
            </w:pPr>
          </w:p>
        </w:tc>
        <w:tc>
          <w:tcPr>
            <w:tcW w:w="660" w:type="dxa"/>
            <w:vAlign w:val="bottom"/>
            <w:tcBorders>
              <w:top w:val="single" w:sz="8" w:color="325889"/>
            </w:tcBorders>
          </w:tcPr>
          <w:p>
            <w:pPr>
              <w:jc w:val="right"/>
              <w:spacing w:after="0"/>
              <w:rPr>
                <w:sz w:val="20"/>
                <w:szCs w:val="20"/>
                <w:color w:val="auto"/>
              </w:rPr>
            </w:pPr>
            <w:r>
              <w:rPr>
                <w:rFonts w:ascii="Arial" w:cs="Arial" w:eastAsia="Arial" w:hAnsi="Arial"/>
                <w:sz w:val="12"/>
                <w:szCs w:val="12"/>
                <w:b w:val="1"/>
                <w:bCs w:val="1"/>
                <w:color w:val="325889"/>
              </w:rPr>
              <w:t>2014</w:t>
            </w:r>
          </w:p>
        </w:tc>
        <w:tc>
          <w:tcPr>
            <w:tcW w:w="80" w:type="dxa"/>
            <w:vAlign w:val="bottom"/>
          </w:tcPr>
          <w:p>
            <w:pPr>
              <w:spacing w:after="0"/>
              <w:rPr>
                <w:sz w:val="15"/>
                <w:szCs w:val="15"/>
                <w:color w:val="auto"/>
              </w:rPr>
            </w:pPr>
          </w:p>
        </w:tc>
        <w:tc>
          <w:tcPr>
            <w:tcW w:w="100" w:type="dxa"/>
            <w:vAlign w:val="bottom"/>
            <w:tcBorders>
              <w:top w:val="single" w:sz="8" w:color="325889"/>
            </w:tcBorders>
          </w:tcPr>
          <w:p>
            <w:pPr>
              <w:spacing w:after="0"/>
              <w:rPr>
                <w:sz w:val="15"/>
                <w:szCs w:val="15"/>
                <w:color w:val="auto"/>
              </w:rPr>
            </w:pPr>
          </w:p>
        </w:tc>
        <w:tc>
          <w:tcPr>
            <w:tcW w:w="900" w:type="dxa"/>
            <w:vAlign w:val="bottom"/>
            <w:tcBorders>
              <w:top w:val="single" w:sz="8" w:color="325889"/>
            </w:tcBorders>
            <w:gridSpan w:val="2"/>
          </w:tcPr>
          <w:p>
            <w:pPr>
              <w:jc w:val="right"/>
              <w:ind w:right="100"/>
              <w:spacing w:after="0"/>
              <w:rPr>
                <w:sz w:val="20"/>
                <w:szCs w:val="20"/>
                <w:color w:val="auto"/>
              </w:rPr>
            </w:pPr>
            <w:r>
              <w:rPr>
                <w:rFonts w:ascii="Arial" w:cs="Arial" w:eastAsia="Arial" w:hAnsi="Arial"/>
                <w:sz w:val="12"/>
                <w:szCs w:val="12"/>
                <w:b w:val="1"/>
                <w:bCs w:val="1"/>
                <w:color w:val="325889"/>
              </w:rPr>
              <w:t>2015</w:t>
            </w:r>
          </w:p>
        </w:tc>
        <w:tc>
          <w:tcPr>
            <w:tcW w:w="100" w:type="dxa"/>
            <w:vAlign w:val="bottom"/>
            <w:tcBorders>
              <w:top w:val="single" w:sz="8" w:color="325889"/>
            </w:tcBorders>
          </w:tcPr>
          <w:p>
            <w:pPr>
              <w:spacing w:after="0"/>
              <w:rPr>
                <w:sz w:val="15"/>
                <w:szCs w:val="15"/>
                <w:color w:val="auto"/>
              </w:rPr>
            </w:pPr>
          </w:p>
        </w:tc>
        <w:tc>
          <w:tcPr>
            <w:tcW w:w="720" w:type="dxa"/>
            <w:vAlign w:val="bottom"/>
            <w:tcBorders>
              <w:top w:val="single" w:sz="8" w:color="325889"/>
            </w:tcBorders>
          </w:tcPr>
          <w:p>
            <w:pPr>
              <w:jc w:val="right"/>
              <w:spacing w:after="0"/>
              <w:rPr>
                <w:sz w:val="20"/>
                <w:szCs w:val="20"/>
                <w:color w:val="auto"/>
              </w:rPr>
            </w:pPr>
            <w:r>
              <w:rPr>
                <w:rFonts w:ascii="Arial" w:cs="Arial" w:eastAsia="Arial" w:hAnsi="Arial"/>
                <w:sz w:val="12"/>
                <w:szCs w:val="12"/>
                <w:b w:val="1"/>
                <w:bCs w:val="1"/>
                <w:color w:val="325889"/>
              </w:rPr>
              <w:t>2014</w:t>
            </w:r>
          </w:p>
        </w:tc>
      </w:tr>
      <w:tr>
        <w:trPr>
          <w:trHeight w:val="186"/>
        </w:trPr>
        <w:tc>
          <w:tcPr>
            <w:tcW w:w="5920" w:type="dxa"/>
            <w:vAlign w:val="bottom"/>
            <w:tcBorders>
              <w:top w:val="single" w:sz="8" w:color="325889"/>
            </w:tcBorders>
            <w:gridSpan w:val="2"/>
          </w:tcPr>
          <w:p>
            <w:pPr>
              <w:spacing w:after="0"/>
              <w:rPr>
                <w:sz w:val="20"/>
                <w:szCs w:val="20"/>
                <w:color w:val="auto"/>
              </w:rPr>
            </w:pPr>
            <w:r>
              <w:rPr>
                <w:rFonts w:ascii="Arial" w:cs="Arial" w:eastAsia="Arial" w:hAnsi="Arial"/>
                <w:sz w:val="15"/>
                <w:szCs w:val="15"/>
                <w:b w:val="1"/>
                <w:bCs w:val="1"/>
                <w:color w:val="auto"/>
              </w:rPr>
              <w:t>Operating income and Same-store</w:t>
            </w:r>
          </w:p>
        </w:tc>
        <w:tc>
          <w:tcPr>
            <w:tcW w:w="100" w:type="dxa"/>
            <w:vAlign w:val="bottom"/>
          </w:tcPr>
          <w:p>
            <w:pPr>
              <w:spacing w:after="0"/>
              <w:rPr>
                <w:sz w:val="16"/>
                <w:szCs w:val="16"/>
                <w:color w:val="auto"/>
              </w:rPr>
            </w:pPr>
          </w:p>
        </w:tc>
        <w:tc>
          <w:tcPr>
            <w:tcW w:w="100" w:type="dxa"/>
            <w:vAlign w:val="bottom"/>
            <w:tcBorders>
              <w:top w:val="single" w:sz="8" w:color="325889"/>
            </w:tcBorders>
          </w:tcPr>
          <w:p>
            <w:pPr>
              <w:spacing w:after="0"/>
              <w:rPr>
                <w:sz w:val="16"/>
                <w:szCs w:val="16"/>
                <w:color w:val="auto"/>
              </w:rPr>
            </w:pPr>
          </w:p>
        </w:tc>
        <w:tc>
          <w:tcPr>
            <w:tcW w:w="800" w:type="dxa"/>
            <w:vAlign w:val="bottom"/>
            <w:tcBorders>
              <w:top w:val="single" w:sz="8" w:color="325889"/>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325889"/>
            </w:tcBorders>
          </w:tcPr>
          <w:p>
            <w:pPr>
              <w:spacing w:after="0"/>
              <w:rPr>
                <w:sz w:val="16"/>
                <w:szCs w:val="16"/>
                <w:color w:val="auto"/>
              </w:rPr>
            </w:pPr>
          </w:p>
        </w:tc>
        <w:tc>
          <w:tcPr>
            <w:tcW w:w="720" w:type="dxa"/>
            <w:vAlign w:val="bottom"/>
            <w:tcBorders>
              <w:top w:val="single" w:sz="8" w:color="325889"/>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325889"/>
            </w:tcBorders>
          </w:tcPr>
          <w:p>
            <w:pPr>
              <w:spacing w:after="0"/>
              <w:rPr>
                <w:sz w:val="16"/>
                <w:szCs w:val="16"/>
                <w:color w:val="auto"/>
              </w:rPr>
            </w:pPr>
          </w:p>
        </w:tc>
        <w:tc>
          <w:tcPr>
            <w:tcW w:w="660" w:type="dxa"/>
            <w:vAlign w:val="bottom"/>
            <w:tcBorders>
              <w:top w:val="single" w:sz="8" w:color="325889"/>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325889"/>
            </w:tcBorders>
          </w:tcPr>
          <w:p>
            <w:pPr>
              <w:spacing w:after="0"/>
              <w:rPr>
                <w:sz w:val="16"/>
                <w:szCs w:val="16"/>
                <w:color w:val="auto"/>
              </w:rPr>
            </w:pPr>
          </w:p>
        </w:tc>
        <w:tc>
          <w:tcPr>
            <w:tcW w:w="660" w:type="dxa"/>
            <w:vAlign w:val="bottom"/>
            <w:tcBorders>
              <w:top w:val="single" w:sz="8" w:color="325889"/>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325889"/>
            </w:tcBorders>
          </w:tcPr>
          <w:p>
            <w:pPr>
              <w:spacing w:after="0"/>
              <w:rPr>
                <w:sz w:val="16"/>
                <w:szCs w:val="16"/>
                <w:color w:val="auto"/>
              </w:rPr>
            </w:pPr>
          </w:p>
        </w:tc>
        <w:tc>
          <w:tcPr>
            <w:tcW w:w="800" w:type="dxa"/>
            <w:vAlign w:val="bottom"/>
            <w:tcBorders>
              <w:top w:val="single" w:sz="8" w:color="325889"/>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325889"/>
            </w:tcBorders>
          </w:tcPr>
          <w:p>
            <w:pPr>
              <w:spacing w:after="0"/>
              <w:rPr>
                <w:sz w:val="16"/>
                <w:szCs w:val="16"/>
                <w:color w:val="auto"/>
              </w:rPr>
            </w:pPr>
          </w:p>
        </w:tc>
        <w:tc>
          <w:tcPr>
            <w:tcW w:w="720" w:type="dxa"/>
            <w:vAlign w:val="bottom"/>
            <w:tcBorders>
              <w:top w:val="single" w:sz="8" w:color="325889"/>
            </w:tcBorders>
          </w:tcPr>
          <w:p>
            <w:pPr>
              <w:spacing w:after="0"/>
              <w:rPr>
                <w:sz w:val="16"/>
                <w:szCs w:val="16"/>
                <w:color w:val="auto"/>
              </w:rPr>
            </w:pPr>
          </w:p>
        </w:tc>
      </w:tr>
      <w:tr>
        <w:trPr>
          <w:trHeight w:val="210"/>
        </w:trPr>
        <w:tc>
          <w:tcPr>
            <w:tcW w:w="5920" w:type="dxa"/>
            <w:vAlign w:val="bottom"/>
            <w:tcBorders>
              <w:bottom w:val="single" w:sz="8" w:color="98A3B8"/>
            </w:tcBorders>
            <w:gridSpan w:val="2"/>
          </w:tcPr>
          <w:p>
            <w:pPr>
              <w:spacing w:after="0"/>
              <w:rPr>
                <w:sz w:val="20"/>
                <w:szCs w:val="20"/>
                <w:color w:val="auto"/>
              </w:rPr>
            </w:pPr>
            <w:r>
              <w:rPr>
                <w:rFonts w:ascii="Arial" w:cs="Arial" w:eastAsia="Arial" w:hAnsi="Arial"/>
                <w:sz w:val="15"/>
                <w:szCs w:val="15"/>
                <w:b w:val="1"/>
                <w:bCs w:val="1"/>
                <w:color w:val="auto"/>
              </w:rPr>
              <w:t>NOI Reconciliation: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3"/>
        </w:trPr>
        <w:tc>
          <w:tcPr>
            <w:tcW w:w="5920" w:type="dxa"/>
            <w:vAlign w:val="bottom"/>
            <w:gridSpan w:val="2"/>
          </w:tcPr>
          <w:p>
            <w:pPr>
              <w:spacing w:after="0"/>
              <w:rPr>
                <w:sz w:val="20"/>
                <w:szCs w:val="20"/>
                <w:color w:val="auto"/>
              </w:rPr>
            </w:pPr>
            <w:r>
              <w:rPr>
                <w:rFonts w:ascii="Arial" w:cs="Arial" w:eastAsia="Arial" w:hAnsi="Arial"/>
                <w:sz w:val="15"/>
                <w:szCs w:val="15"/>
                <w:color w:val="auto"/>
              </w:rPr>
              <w:t>Income from continuing operations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78"/>
        </w:trPr>
        <w:tc>
          <w:tcPr>
            <w:tcW w:w="5920" w:type="dxa"/>
            <w:vAlign w:val="bottom"/>
            <w:gridSpan w:val="2"/>
          </w:tcPr>
          <w:p>
            <w:pPr>
              <w:spacing w:after="0"/>
              <w:rPr>
                <w:sz w:val="20"/>
                <w:szCs w:val="20"/>
                <w:color w:val="auto"/>
              </w:rPr>
            </w:pPr>
            <w:r>
              <w:rPr>
                <w:rFonts w:ascii="Arial" w:cs="Arial" w:eastAsia="Arial" w:hAnsi="Arial"/>
                <w:sz w:val="15"/>
                <w:szCs w:val="15"/>
                <w:color w:val="auto"/>
              </w:rPr>
              <w:t>before equity in net income from</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8"/>
        </w:trPr>
        <w:tc>
          <w:tcPr>
            <w:tcW w:w="5920" w:type="dxa"/>
            <w:vAlign w:val="bottom"/>
            <w:gridSpan w:val="2"/>
          </w:tcPr>
          <w:p>
            <w:pPr>
              <w:spacing w:after="0"/>
              <w:rPr>
                <w:sz w:val="20"/>
                <w:szCs w:val="20"/>
                <w:color w:val="auto"/>
              </w:rPr>
            </w:pPr>
            <w:r>
              <w:rPr>
                <w:rFonts w:ascii="Arial" w:cs="Arial" w:eastAsia="Arial" w:hAnsi="Arial"/>
                <w:sz w:val="15"/>
                <w:szCs w:val="15"/>
                <w:color w:val="auto"/>
              </w:rPr>
              <w:t>unconsolidated joint ventures,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8"/>
        </w:trPr>
        <w:tc>
          <w:tcPr>
            <w:tcW w:w="5920" w:type="dxa"/>
            <w:vAlign w:val="bottom"/>
            <w:gridSpan w:val="2"/>
          </w:tcPr>
          <w:p>
            <w:pPr>
              <w:spacing w:after="0"/>
              <w:rPr>
                <w:sz w:val="20"/>
                <w:szCs w:val="20"/>
                <w:color w:val="auto"/>
              </w:rPr>
            </w:pPr>
            <w:r>
              <w:rPr>
                <w:rFonts w:ascii="Arial" w:cs="Arial" w:eastAsia="Arial" w:hAnsi="Arial"/>
                <w:sz w:val="15"/>
                <w:szCs w:val="15"/>
                <w:color w:val="auto"/>
              </w:rPr>
              <w:t>equity in net gain on sale of interest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8"/>
        </w:trPr>
        <w:tc>
          <w:tcPr>
            <w:tcW w:w="5920" w:type="dxa"/>
            <w:vAlign w:val="bottom"/>
            <w:gridSpan w:val="2"/>
          </w:tcPr>
          <w:p>
            <w:pPr>
              <w:spacing w:after="0"/>
              <w:rPr>
                <w:sz w:val="20"/>
                <w:szCs w:val="20"/>
                <w:color w:val="auto"/>
              </w:rPr>
            </w:pPr>
            <w:r>
              <w:rPr>
                <w:rFonts w:ascii="Arial" w:cs="Arial" w:eastAsia="Arial" w:hAnsi="Arial"/>
                <w:sz w:val="15"/>
                <w:szCs w:val="15"/>
                <w:color w:val="auto"/>
              </w:rPr>
              <w:t>in unconsolidated joint venture/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8"/>
        </w:trPr>
        <w:tc>
          <w:tcPr>
            <w:tcW w:w="5920" w:type="dxa"/>
            <w:vAlign w:val="bottom"/>
            <w:gridSpan w:val="2"/>
          </w:tcPr>
          <w:p>
            <w:pPr>
              <w:spacing w:after="0"/>
              <w:rPr>
                <w:sz w:val="20"/>
                <w:szCs w:val="20"/>
                <w:color w:val="auto"/>
              </w:rPr>
            </w:pPr>
            <w:r>
              <w:rPr>
                <w:rFonts w:ascii="Arial" w:cs="Arial" w:eastAsia="Arial" w:hAnsi="Arial"/>
                <w:sz w:val="15"/>
                <w:szCs w:val="15"/>
                <w:color w:val="auto"/>
              </w:rPr>
              <w:t>real estate, purchase price fair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8"/>
        </w:trPr>
        <w:tc>
          <w:tcPr>
            <w:tcW w:w="5920" w:type="dxa"/>
            <w:vAlign w:val="bottom"/>
            <w:gridSpan w:val="2"/>
          </w:tcPr>
          <w:p>
            <w:pPr>
              <w:spacing w:after="0"/>
              <w:rPr>
                <w:sz w:val="20"/>
                <w:szCs w:val="20"/>
                <w:color w:val="auto"/>
              </w:rPr>
            </w:pPr>
            <w:r>
              <w:rPr>
                <w:rFonts w:ascii="Arial" w:cs="Arial" w:eastAsia="Arial" w:hAnsi="Arial"/>
                <w:sz w:val="15"/>
                <w:szCs w:val="15"/>
                <w:color w:val="auto"/>
              </w:rPr>
              <w:t>value adjustment, gain on sale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8"/>
        </w:trPr>
        <w:tc>
          <w:tcPr>
            <w:tcW w:w="5920" w:type="dxa"/>
            <w:vAlign w:val="bottom"/>
            <w:gridSpan w:val="2"/>
          </w:tcPr>
          <w:p>
            <w:pPr>
              <w:spacing w:after="0"/>
              <w:rPr>
                <w:sz w:val="20"/>
                <w:szCs w:val="20"/>
                <w:color w:val="auto"/>
              </w:rPr>
            </w:pPr>
            <w:r>
              <w:rPr>
                <w:rFonts w:ascii="Arial" w:cs="Arial" w:eastAsia="Arial" w:hAnsi="Arial"/>
                <w:sz w:val="15"/>
                <w:szCs w:val="15"/>
                <w:color w:val="auto"/>
              </w:rPr>
              <w:t>of real estate, depreciable real</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8"/>
        </w:trPr>
        <w:tc>
          <w:tcPr>
            <w:tcW w:w="5920" w:type="dxa"/>
            <w:vAlign w:val="bottom"/>
            <w:gridSpan w:val="2"/>
          </w:tcPr>
          <w:p>
            <w:pPr>
              <w:spacing w:after="0"/>
              <w:rPr>
                <w:sz w:val="20"/>
                <w:szCs w:val="20"/>
                <w:color w:val="auto"/>
              </w:rPr>
            </w:pPr>
            <w:r>
              <w:rPr>
                <w:rFonts w:ascii="Arial" w:cs="Arial" w:eastAsia="Arial" w:hAnsi="Arial"/>
                <w:sz w:val="15"/>
                <w:szCs w:val="15"/>
                <w:color w:val="auto"/>
              </w:rPr>
              <w:t>estate reserves and loss on early</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92"/>
        </w:trPr>
        <w:tc>
          <w:tcPr>
            <w:tcW w:w="5920" w:type="dxa"/>
            <w:vAlign w:val="bottom"/>
            <w:gridSpan w:val="2"/>
          </w:tcPr>
          <w:p>
            <w:pPr>
              <w:spacing w:after="0"/>
              <w:rPr>
                <w:sz w:val="20"/>
                <w:szCs w:val="20"/>
                <w:color w:val="auto"/>
              </w:rPr>
            </w:pPr>
            <w:r>
              <w:rPr>
                <w:rFonts w:ascii="Arial" w:cs="Arial" w:eastAsia="Arial" w:hAnsi="Arial"/>
                <w:sz w:val="15"/>
                <w:szCs w:val="15"/>
                <w:color w:val="auto"/>
              </w:rPr>
              <w:t>extinguishment of debt</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6"/>
              <w:spacing w:after="0"/>
              <w:rPr>
                <w:sz w:val="20"/>
                <w:szCs w:val="20"/>
                <w:color w:val="auto"/>
              </w:rPr>
            </w:pPr>
            <w:r>
              <w:rPr>
                <w:rFonts w:ascii="Arial" w:cs="Arial" w:eastAsia="Arial" w:hAnsi="Arial"/>
                <w:sz w:val="15"/>
                <w:szCs w:val="15"/>
                <w:color w:val="auto"/>
              </w:rPr>
              <w:t>77,261</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174,963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3"/>
        </w:trPr>
        <w:tc>
          <w:tcPr>
            <w:tcW w:w="5920" w:type="dxa"/>
            <w:vAlign w:val="bottom"/>
            <w:tcBorders>
              <w:top w:val="single" w:sz="8" w:color="98A3B8"/>
            </w:tcBorders>
            <w:gridSpan w:val="2"/>
          </w:tcPr>
          <w:p>
            <w:pPr>
              <w:spacing w:after="0"/>
              <w:rPr>
                <w:sz w:val="20"/>
                <w:szCs w:val="20"/>
                <w:color w:val="auto"/>
              </w:rPr>
            </w:pPr>
            <w:r>
              <w:rPr>
                <w:rFonts w:ascii="Arial" w:cs="Arial" w:eastAsia="Arial" w:hAnsi="Arial"/>
                <w:sz w:val="15"/>
                <w:szCs w:val="15"/>
                <w:color w:val="auto"/>
              </w:rPr>
              <w:t>Equity in net income from</w:t>
            </w:r>
          </w:p>
        </w:tc>
        <w:tc>
          <w:tcPr>
            <w:tcW w:w="100" w:type="dxa"/>
            <w:vAlign w:val="bottom"/>
          </w:tcPr>
          <w:p>
            <w:pPr>
              <w:spacing w:after="0"/>
              <w:rPr>
                <w:sz w:val="17"/>
                <w:szCs w:val="17"/>
                <w:color w:val="auto"/>
              </w:rPr>
            </w:pPr>
          </w:p>
        </w:tc>
        <w:tc>
          <w:tcPr>
            <w:tcW w:w="100" w:type="dxa"/>
            <w:vAlign w:val="bottom"/>
            <w:tcBorders>
              <w:top w:val="single" w:sz="8" w:color="98A3B8"/>
            </w:tcBorders>
          </w:tcPr>
          <w:p>
            <w:pPr>
              <w:spacing w:after="0"/>
              <w:rPr>
                <w:sz w:val="17"/>
                <w:szCs w:val="17"/>
                <w:color w:val="auto"/>
              </w:rPr>
            </w:pPr>
          </w:p>
        </w:tc>
        <w:tc>
          <w:tcPr>
            <w:tcW w:w="800" w:type="dxa"/>
            <w:vAlign w:val="bottom"/>
            <w:tcBorders>
              <w:top w:val="single" w:sz="8" w:color="98A3B8"/>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98A3B8"/>
            </w:tcBorders>
          </w:tcPr>
          <w:p>
            <w:pPr>
              <w:spacing w:after="0"/>
              <w:rPr>
                <w:sz w:val="17"/>
                <w:szCs w:val="17"/>
                <w:color w:val="auto"/>
              </w:rPr>
            </w:pPr>
          </w:p>
        </w:tc>
        <w:tc>
          <w:tcPr>
            <w:tcW w:w="720" w:type="dxa"/>
            <w:vAlign w:val="bottom"/>
            <w:tcBorders>
              <w:top w:val="single" w:sz="8" w:color="98A3B8"/>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98A3B8"/>
            </w:tcBorders>
          </w:tcPr>
          <w:p>
            <w:pPr>
              <w:spacing w:after="0"/>
              <w:rPr>
                <w:sz w:val="17"/>
                <w:szCs w:val="17"/>
                <w:color w:val="auto"/>
              </w:rPr>
            </w:pPr>
          </w:p>
        </w:tc>
        <w:tc>
          <w:tcPr>
            <w:tcW w:w="660" w:type="dxa"/>
            <w:vAlign w:val="bottom"/>
            <w:tcBorders>
              <w:top w:val="single" w:sz="8" w:color="98A3B8"/>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98A3B8"/>
            </w:tcBorders>
          </w:tcPr>
          <w:p>
            <w:pPr>
              <w:spacing w:after="0"/>
              <w:rPr>
                <w:sz w:val="17"/>
                <w:szCs w:val="17"/>
                <w:color w:val="auto"/>
              </w:rPr>
            </w:pPr>
          </w:p>
        </w:tc>
        <w:tc>
          <w:tcPr>
            <w:tcW w:w="660" w:type="dxa"/>
            <w:vAlign w:val="bottom"/>
            <w:tcBorders>
              <w:top w:val="single" w:sz="8" w:color="98A3B8"/>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2"/>
        </w:trPr>
        <w:tc>
          <w:tcPr>
            <w:tcW w:w="5920" w:type="dxa"/>
            <w:vAlign w:val="bottom"/>
            <w:tcBorders>
              <w:bottom w:val="single" w:sz="8" w:color="98A3B8"/>
            </w:tcBorders>
            <w:gridSpan w:val="2"/>
          </w:tcPr>
          <w:p>
            <w:pPr>
              <w:spacing w:after="0"/>
              <w:rPr>
                <w:sz w:val="20"/>
                <w:szCs w:val="20"/>
                <w:color w:val="auto"/>
              </w:rPr>
            </w:pPr>
            <w:r>
              <w:rPr>
                <w:rFonts w:ascii="Arial" w:cs="Arial" w:eastAsia="Arial" w:hAnsi="Arial"/>
                <w:sz w:val="15"/>
                <w:szCs w:val="15"/>
                <w:color w:val="auto"/>
              </w:rPr>
              <w:t>unconsolidated joint ventures</w:t>
            </w:r>
          </w:p>
        </w:tc>
        <w:tc>
          <w:tcPr>
            <w:tcW w:w="100" w:type="dxa"/>
            <w:vAlign w:val="bottom"/>
          </w:tcPr>
          <w:p>
            <w:pPr>
              <w:spacing w:after="0"/>
              <w:rPr>
                <w:sz w:val="16"/>
                <w:szCs w:val="16"/>
                <w:color w:val="auto"/>
              </w:rPr>
            </w:pPr>
          </w:p>
        </w:tc>
        <w:tc>
          <w:tcPr>
            <w:tcW w:w="100" w:type="dxa"/>
            <w:vAlign w:val="bottom"/>
            <w:tcBorders>
              <w:bottom w:val="single" w:sz="8" w:color="98A3B8"/>
            </w:tcBorders>
          </w:tcPr>
          <w:p>
            <w:pPr>
              <w:spacing w:after="0"/>
              <w:rPr>
                <w:sz w:val="16"/>
                <w:szCs w:val="16"/>
                <w:color w:val="auto"/>
              </w:rPr>
            </w:pPr>
          </w:p>
        </w:tc>
        <w:tc>
          <w:tcPr>
            <w:tcW w:w="800" w:type="dxa"/>
            <w:vAlign w:val="bottom"/>
            <w:tcBorders>
              <w:bottom w:val="single" w:sz="8" w:color="98A3B8"/>
            </w:tcBorders>
          </w:tcPr>
          <w:p>
            <w:pPr>
              <w:jc w:val="right"/>
              <w:ind w:right="26"/>
              <w:spacing w:after="0"/>
              <w:rPr>
                <w:sz w:val="20"/>
                <w:szCs w:val="20"/>
                <w:color w:val="auto"/>
              </w:rPr>
            </w:pPr>
            <w:r>
              <w:rPr>
                <w:rFonts w:ascii="Arial" w:cs="Arial" w:eastAsia="Arial" w:hAnsi="Arial"/>
                <w:sz w:val="15"/>
                <w:szCs w:val="15"/>
                <w:color w:val="auto"/>
              </w:rPr>
              <w:t>13,028</w:t>
            </w:r>
          </w:p>
        </w:tc>
        <w:tc>
          <w:tcPr>
            <w:tcW w:w="80" w:type="dxa"/>
            <w:vAlign w:val="bottom"/>
          </w:tcPr>
          <w:p>
            <w:pPr>
              <w:spacing w:after="0"/>
              <w:rPr>
                <w:sz w:val="16"/>
                <w:szCs w:val="16"/>
                <w:color w:val="auto"/>
              </w:rPr>
            </w:pPr>
          </w:p>
        </w:tc>
        <w:tc>
          <w:tcPr>
            <w:tcW w:w="100" w:type="dxa"/>
            <w:vAlign w:val="bottom"/>
            <w:tcBorders>
              <w:bottom w:val="single" w:sz="8" w:color="98A3B8"/>
            </w:tcBorders>
          </w:tcPr>
          <w:p>
            <w:pPr>
              <w:spacing w:after="0"/>
              <w:rPr>
                <w:sz w:val="16"/>
                <w:szCs w:val="16"/>
                <w:color w:val="auto"/>
              </w:rPr>
            </w:pPr>
          </w:p>
        </w:tc>
        <w:tc>
          <w:tcPr>
            <w:tcW w:w="720" w:type="dxa"/>
            <w:vAlign w:val="bottom"/>
            <w:tcBorders>
              <w:bottom w:val="single" w:sz="8" w:color="98A3B8"/>
            </w:tcBorders>
          </w:tcPr>
          <w:p>
            <w:pPr>
              <w:jc w:val="right"/>
              <w:ind w:right="4"/>
              <w:spacing w:after="0"/>
              <w:rPr>
                <w:sz w:val="20"/>
                <w:szCs w:val="20"/>
                <w:color w:val="auto"/>
              </w:rPr>
            </w:pPr>
            <w:r>
              <w:rPr>
                <w:rFonts w:ascii="Arial" w:cs="Arial" w:eastAsia="Arial" w:hAnsi="Arial"/>
                <w:sz w:val="15"/>
                <w:szCs w:val="15"/>
                <w:color w:val="auto"/>
              </w:rPr>
              <w:t>26,537</w:t>
            </w:r>
          </w:p>
        </w:tc>
        <w:tc>
          <w:tcPr>
            <w:tcW w:w="100" w:type="dxa"/>
            <w:vAlign w:val="bottom"/>
          </w:tcPr>
          <w:p>
            <w:pPr>
              <w:spacing w:after="0"/>
              <w:rPr>
                <w:sz w:val="16"/>
                <w:szCs w:val="16"/>
                <w:color w:val="auto"/>
              </w:rPr>
            </w:pPr>
          </w:p>
        </w:tc>
        <w:tc>
          <w:tcPr>
            <w:tcW w:w="100" w:type="dxa"/>
            <w:vAlign w:val="bottom"/>
            <w:tcBorders>
              <w:bottom w:val="single" w:sz="8" w:color="98A3B8"/>
            </w:tcBorders>
          </w:tcPr>
          <w:p>
            <w:pPr>
              <w:spacing w:after="0"/>
              <w:rPr>
                <w:sz w:val="16"/>
                <w:szCs w:val="16"/>
                <w:color w:val="auto"/>
              </w:rPr>
            </w:pPr>
          </w:p>
        </w:tc>
        <w:tc>
          <w:tcPr>
            <w:tcW w:w="660" w:type="dxa"/>
            <w:vAlign w:val="bottom"/>
            <w:tcBorders>
              <w:bottom w:val="single" w:sz="8" w:color="98A3B8"/>
            </w:tcBorders>
          </w:tcPr>
          <w:p>
            <w:pPr>
              <w:jc w:val="right"/>
              <w:ind w:right="26"/>
              <w:spacing w:after="0"/>
              <w:rPr>
                <w:sz w:val="20"/>
                <w:szCs w:val="20"/>
                <w:color w:val="auto"/>
              </w:rPr>
            </w:pPr>
            <w:r>
              <w:rPr>
                <w:rFonts w:ascii="Arial" w:cs="Arial" w:eastAsia="Arial" w:hAnsi="Arial"/>
                <w:sz w:val="15"/>
                <w:szCs w:val="15"/>
                <w:color w:val="auto"/>
              </w:rPr>
              <w:t>13,028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98A3B8"/>
            </w:tcBorders>
          </w:tcPr>
          <w:p>
            <w:pPr>
              <w:spacing w:after="0"/>
              <w:rPr>
                <w:sz w:val="16"/>
                <w:szCs w:val="16"/>
                <w:color w:val="auto"/>
              </w:rPr>
            </w:pPr>
          </w:p>
        </w:tc>
        <w:tc>
          <w:tcPr>
            <w:tcW w:w="660" w:type="dxa"/>
            <w:vAlign w:val="bottom"/>
            <w:tcBorders>
              <w:bottom w:val="single" w:sz="8" w:color="98A3B8"/>
            </w:tcBorders>
          </w:tcPr>
          <w:p>
            <w:pPr>
              <w:jc w:val="right"/>
              <w:ind w:right="24"/>
              <w:spacing w:after="0"/>
              <w:rPr>
                <w:sz w:val="20"/>
                <w:szCs w:val="20"/>
                <w:color w:val="auto"/>
              </w:rPr>
            </w:pPr>
            <w:r>
              <w:rPr>
                <w:rFonts w:ascii="Arial" w:cs="Arial" w:eastAsia="Arial" w:hAnsi="Arial"/>
                <w:sz w:val="15"/>
                <w:szCs w:val="15"/>
                <w:color w:val="auto"/>
              </w:rPr>
              <w:t>26,537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7"/>
        </w:trPr>
        <w:tc>
          <w:tcPr>
            <w:tcW w:w="5920" w:type="dxa"/>
            <w:vAlign w:val="bottom"/>
            <w:tcBorders>
              <w:bottom w:val="single" w:sz="8" w:color="98A3B8"/>
            </w:tcBorders>
            <w:gridSpan w:val="2"/>
          </w:tcPr>
          <w:p>
            <w:pPr>
              <w:spacing w:after="0"/>
              <w:rPr>
                <w:sz w:val="20"/>
                <w:szCs w:val="20"/>
                <w:color w:val="auto"/>
              </w:rPr>
            </w:pPr>
            <w:r>
              <w:rPr>
                <w:rFonts w:ascii="Arial" w:cs="Arial" w:eastAsia="Arial" w:hAnsi="Arial"/>
                <w:sz w:val="15"/>
                <w:szCs w:val="15"/>
                <w:color w:val="auto"/>
              </w:rPr>
              <w:t>Depreciation and amortization</w:t>
            </w:r>
          </w:p>
        </w:tc>
        <w:tc>
          <w:tcPr>
            <w:tcW w:w="100" w:type="dxa"/>
            <w:vAlign w:val="bottom"/>
          </w:tcPr>
          <w:p>
            <w:pPr>
              <w:spacing w:after="0"/>
              <w:rPr>
                <w:sz w:val="18"/>
                <w:szCs w:val="18"/>
                <w:color w:val="auto"/>
              </w:rPr>
            </w:pPr>
          </w:p>
        </w:tc>
        <w:tc>
          <w:tcPr>
            <w:tcW w:w="100" w:type="dxa"/>
            <w:vAlign w:val="bottom"/>
            <w:tcBorders>
              <w:bottom w:val="single" w:sz="8" w:color="98A3B8"/>
            </w:tcBorders>
          </w:tcPr>
          <w:p>
            <w:pPr>
              <w:spacing w:after="0"/>
              <w:rPr>
                <w:sz w:val="18"/>
                <w:szCs w:val="18"/>
                <w:color w:val="auto"/>
              </w:rPr>
            </w:pPr>
          </w:p>
        </w:tc>
        <w:tc>
          <w:tcPr>
            <w:tcW w:w="800" w:type="dxa"/>
            <w:vAlign w:val="bottom"/>
            <w:tcBorders>
              <w:bottom w:val="single" w:sz="8" w:color="98A3B8"/>
            </w:tcBorders>
          </w:tcPr>
          <w:p>
            <w:pPr>
              <w:jc w:val="right"/>
              <w:ind w:right="26"/>
              <w:spacing w:after="0"/>
              <w:rPr>
                <w:sz w:val="20"/>
                <w:szCs w:val="20"/>
                <w:color w:val="auto"/>
              </w:rPr>
            </w:pPr>
            <w:r>
              <w:rPr>
                <w:rFonts w:ascii="Arial" w:cs="Arial" w:eastAsia="Arial" w:hAnsi="Arial"/>
                <w:sz w:val="15"/>
                <w:szCs w:val="15"/>
                <w:color w:val="auto"/>
              </w:rPr>
              <w:t>560,887</w:t>
            </w:r>
          </w:p>
        </w:tc>
        <w:tc>
          <w:tcPr>
            <w:tcW w:w="80" w:type="dxa"/>
            <w:vAlign w:val="bottom"/>
          </w:tcPr>
          <w:p>
            <w:pPr>
              <w:spacing w:after="0"/>
              <w:rPr>
                <w:sz w:val="18"/>
                <w:szCs w:val="18"/>
                <w:color w:val="auto"/>
              </w:rPr>
            </w:pPr>
          </w:p>
        </w:tc>
        <w:tc>
          <w:tcPr>
            <w:tcW w:w="100" w:type="dxa"/>
            <w:vAlign w:val="bottom"/>
            <w:tcBorders>
              <w:bottom w:val="single" w:sz="8" w:color="98A3B8"/>
            </w:tcBorders>
          </w:tcPr>
          <w:p>
            <w:pPr>
              <w:spacing w:after="0"/>
              <w:rPr>
                <w:sz w:val="18"/>
                <w:szCs w:val="18"/>
                <w:color w:val="auto"/>
              </w:rPr>
            </w:pPr>
          </w:p>
        </w:tc>
        <w:tc>
          <w:tcPr>
            <w:tcW w:w="720" w:type="dxa"/>
            <w:vAlign w:val="bottom"/>
            <w:tcBorders>
              <w:bottom w:val="single" w:sz="8" w:color="98A3B8"/>
            </w:tcBorders>
          </w:tcPr>
          <w:p>
            <w:pPr>
              <w:jc w:val="right"/>
              <w:ind w:right="4"/>
              <w:spacing w:after="0"/>
              <w:rPr>
                <w:sz w:val="20"/>
                <w:szCs w:val="20"/>
                <w:color w:val="auto"/>
              </w:rPr>
            </w:pPr>
            <w:r>
              <w:rPr>
                <w:rFonts w:ascii="Arial" w:cs="Arial" w:eastAsia="Arial" w:hAnsi="Arial"/>
                <w:sz w:val="15"/>
                <w:szCs w:val="15"/>
                <w:color w:val="auto"/>
              </w:rPr>
              <w:t>371,610</w:t>
            </w:r>
          </w:p>
        </w:tc>
        <w:tc>
          <w:tcPr>
            <w:tcW w:w="100" w:type="dxa"/>
            <w:vAlign w:val="bottom"/>
          </w:tcPr>
          <w:p>
            <w:pPr>
              <w:spacing w:after="0"/>
              <w:rPr>
                <w:sz w:val="18"/>
                <w:szCs w:val="18"/>
                <w:color w:val="auto"/>
              </w:rPr>
            </w:pPr>
          </w:p>
        </w:tc>
        <w:tc>
          <w:tcPr>
            <w:tcW w:w="100" w:type="dxa"/>
            <w:vAlign w:val="bottom"/>
            <w:tcBorders>
              <w:bottom w:val="single" w:sz="8" w:color="98A3B8"/>
            </w:tcBorders>
          </w:tcPr>
          <w:p>
            <w:pPr>
              <w:spacing w:after="0"/>
              <w:rPr>
                <w:sz w:val="18"/>
                <w:szCs w:val="18"/>
                <w:color w:val="auto"/>
              </w:rPr>
            </w:pPr>
          </w:p>
        </w:tc>
        <w:tc>
          <w:tcPr>
            <w:tcW w:w="660" w:type="dxa"/>
            <w:vAlign w:val="bottom"/>
            <w:tcBorders>
              <w:bottom w:val="single" w:sz="8" w:color="98A3B8"/>
            </w:tcBorders>
          </w:tcPr>
          <w:p>
            <w:pPr>
              <w:jc w:val="right"/>
              <w:ind w:right="26"/>
              <w:spacing w:after="0"/>
              <w:rPr>
                <w:sz w:val="20"/>
                <w:szCs w:val="20"/>
                <w:color w:val="auto"/>
              </w:rPr>
            </w:pPr>
            <w:r>
              <w:rPr>
                <w:rFonts w:ascii="Arial" w:cs="Arial" w:eastAsia="Arial" w:hAnsi="Arial"/>
                <w:sz w:val="15"/>
                <w:szCs w:val="15"/>
                <w:color w:val="auto"/>
              </w:rPr>
              <w:t>62,766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98A3B8"/>
            </w:tcBorders>
          </w:tcPr>
          <w:p>
            <w:pPr>
              <w:spacing w:after="0"/>
              <w:rPr>
                <w:sz w:val="18"/>
                <w:szCs w:val="18"/>
                <w:color w:val="auto"/>
              </w:rPr>
            </w:pPr>
          </w:p>
        </w:tc>
        <w:tc>
          <w:tcPr>
            <w:tcW w:w="660" w:type="dxa"/>
            <w:vAlign w:val="bottom"/>
            <w:tcBorders>
              <w:bottom w:val="single" w:sz="8" w:color="98A3B8"/>
            </w:tcBorders>
          </w:tcPr>
          <w:p>
            <w:pPr>
              <w:jc w:val="right"/>
              <w:ind w:right="24"/>
              <w:spacing w:after="0"/>
              <w:rPr>
                <w:sz w:val="20"/>
                <w:szCs w:val="20"/>
                <w:color w:val="auto"/>
              </w:rPr>
            </w:pPr>
            <w:r>
              <w:rPr>
                <w:rFonts w:ascii="Arial" w:cs="Arial" w:eastAsia="Arial" w:hAnsi="Arial"/>
                <w:sz w:val="15"/>
                <w:szCs w:val="15"/>
                <w:color w:val="auto"/>
              </w:rPr>
              <w:t>60,692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3"/>
        </w:trPr>
        <w:tc>
          <w:tcPr>
            <w:tcW w:w="5920" w:type="dxa"/>
            <w:vAlign w:val="bottom"/>
            <w:gridSpan w:val="2"/>
          </w:tcPr>
          <w:p>
            <w:pPr>
              <w:spacing w:after="0"/>
              <w:rPr>
                <w:sz w:val="20"/>
                <w:szCs w:val="20"/>
                <w:color w:val="auto"/>
              </w:rPr>
            </w:pPr>
            <w:r>
              <w:rPr>
                <w:rFonts w:ascii="Arial" w:cs="Arial" w:eastAsia="Arial" w:hAnsi="Arial"/>
                <w:sz w:val="15"/>
                <w:szCs w:val="15"/>
                <w:color w:val="auto"/>
              </w:rPr>
              <w:t>Interest expense,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2"/>
        </w:trPr>
        <w:tc>
          <w:tcPr>
            <w:tcW w:w="5920" w:type="dxa"/>
            <w:vAlign w:val="bottom"/>
            <w:tcBorders>
              <w:bottom w:val="single" w:sz="8" w:color="98A3B8"/>
            </w:tcBorders>
            <w:gridSpan w:val="2"/>
          </w:tcPr>
          <w:p>
            <w:pPr>
              <w:spacing w:after="0"/>
              <w:rPr>
                <w:sz w:val="20"/>
                <w:szCs w:val="20"/>
                <w:color w:val="auto"/>
              </w:rPr>
            </w:pPr>
            <w:r>
              <w:rPr>
                <w:rFonts w:ascii="Arial" w:cs="Arial" w:eastAsia="Arial" w:hAnsi="Arial"/>
                <w:sz w:val="15"/>
                <w:szCs w:val="15"/>
                <w:color w:val="auto"/>
              </w:rPr>
              <w:t>net of interest income</w:t>
            </w:r>
          </w:p>
        </w:tc>
        <w:tc>
          <w:tcPr>
            <w:tcW w:w="100" w:type="dxa"/>
            <w:vAlign w:val="bottom"/>
          </w:tcPr>
          <w:p>
            <w:pPr>
              <w:spacing w:after="0"/>
              <w:rPr>
                <w:sz w:val="16"/>
                <w:szCs w:val="16"/>
                <w:color w:val="auto"/>
              </w:rPr>
            </w:pPr>
          </w:p>
        </w:tc>
        <w:tc>
          <w:tcPr>
            <w:tcW w:w="100" w:type="dxa"/>
            <w:vAlign w:val="bottom"/>
            <w:tcBorders>
              <w:bottom w:val="single" w:sz="8" w:color="98A3B8"/>
            </w:tcBorders>
          </w:tcPr>
          <w:p>
            <w:pPr>
              <w:spacing w:after="0"/>
              <w:rPr>
                <w:sz w:val="16"/>
                <w:szCs w:val="16"/>
                <w:color w:val="auto"/>
              </w:rPr>
            </w:pPr>
          </w:p>
        </w:tc>
        <w:tc>
          <w:tcPr>
            <w:tcW w:w="800" w:type="dxa"/>
            <w:vAlign w:val="bottom"/>
            <w:tcBorders>
              <w:bottom w:val="single" w:sz="8" w:color="98A3B8"/>
            </w:tcBorders>
          </w:tcPr>
          <w:p>
            <w:pPr>
              <w:jc w:val="right"/>
              <w:ind w:right="26"/>
              <w:spacing w:after="0"/>
              <w:rPr>
                <w:sz w:val="20"/>
                <w:szCs w:val="20"/>
                <w:color w:val="auto"/>
              </w:rPr>
            </w:pPr>
            <w:r>
              <w:rPr>
                <w:rFonts w:ascii="Arial" w:cs="Arial" w:eastAsia="Arial" w:hAnsi="Arial"/>
                <w:sz w:val="15"/>
                <w:szCs w:val="15"/>
                <w:color w:val="auto"/>
              </w:rPr>
              <w:t>323,870</w:t>
            </w:r>
          </w:p>
        </w:tc>
        <w:tc>
          <w:tcPr>
            <w:tcW w:w="80" w:type="dxa"/>
            <w:vAlign w:val="bottom"/>
          </w:tcPr>
          <w:p>
            <w:pPr>
              <w:spacing w:after="0"/>
              <w:rPr>
                <w:sz w:val="16"/>
                <w:szCs w:val="16"/>
                <w:color w:val="auto"/>
              </w:rPr>
            </w:pPr>
          </w:p>
        </w:tc>
        <w:tc>
          <w:tcPr>
            <w:tcW w:w="100" w:type="dxa"/>
            <w:vAlign w:val="bottom"/>
            <w:tcBorders>
              <w:bottom w:val="single" w:sz="8" w:color="98A3B8"/>
            </w:tcBorders>
          </w:tcPr>
          <w:p>
            <w:pPr>
              <w:spacing w:after="0"/>
              <w:rPr>
                <w:sz w:val="16"/>
                <w:szCs w:val="16"/>
                <w:color w:val="auto"/>
              </w:rPr>
            </w:pPr>
          </w:p>
        </w:tc>
        <w:tc>
          <w:tcPr>
            <w:tcW w:w="720" w:type="dxa"/>
            <w:vAlign w:val="bottom"/>
            <w:tcBorders>
              <w:bottom w:val="single" w:sz="8" w:color="98A3B8"/>
            </w:tcBorders>
          </w:tcPr>
          <w:p>
            <w:pPr>
              <w:jc w:val="right"/>
              <w:ind w:right="4"/>
              <w:spacing w:after="0"/>
              <w:rPr>
                <w:sz w:val="20"/>
                <w:szCs w:val="20"/>
                <w:color w:val="auto"/>
              </w:rPr>
            </w:pPr>
            <w:r>
              <w:rPr>
                <w:rFonts w:ascii="Arial" w:cs="Arial" w:eastAsia="Arial" w:hAnsi="Arial"/>
                <w:sz w:val="15"/>
                <w:szCs w:val="15"/>
                <w:color w:val="auto"/>
              </w:rPr>
              <w:t>317,400</w:t>
            </w:r>
          </w:p>
        </w:tc>
        <w:tc>
          <w:tcPr>
            <w:tcW w:w="100" w:type="dxa"/>
            <w:vAlign w:val="bottom"/>
          </w:tcPr>
          <w:p>
            <w:pPr>
              <w:spacing w:after="0"/>
              <w:rPr>
                <w:sz w:val="16"/>
                <w:szCs w:val="16"/>
                <w:color w:val="auto"/>
              </w:rPr>
            </w:pPr>
          </w:p>
        </w:tc>
        <w:tc>
          <w:tcPr>
            <w:tcW w:w="100" w:type="dxa"/>
            <w:vAlign w:val="bottom"/>
            <w:tcBorders>
              <w:bottom w:val="single" w:sz="8" w:color="98A3B8"/>
            </w:tcBorders>
          </w:tcPr>
          <w:p>
            <w:pPr>
              <w:spacing w:after="0"/>
              <w:rPr>
                <w:sz w:val="16"/>
                <w:szCs w:val="16"/>
                <w:color w:val="auto"/>
              </w:rPr>
            </w:pPr>
          </w:p>
        </w:tc>
        <w:tc>
          <w:tcPr>
            <w:tcW w:w="660" w:type="dxa"/>
            <w:vAlign w:val="bottom"/>
            <w:tcBorders>
              <w:bottom w:val="single" w:sz="8" w:color="98A3B8"/>
            </w:tcBorders>
          </w:tcPr>
          <w:p>
            <w:pPr>
              <w:jc w:val="right"/>
              <w:ind w:right="26"/>
              <w:spacing w:after="0"/>
              <w:rPr>
                <w:sz w:val="20"/>
                <w:szCs w:val="20"/>
                <w:color w:val="auto"/>
              </w:rPr>
            </w:pPr>
            <w:r>
              <w:rPr>
                <w:rFonts w:ascii="Arial" w:cs="Arial" w:eastAsia="Arial" w:hAnsi="Arial"/>
                <w:sz w:val="15"/>
                <w:szCs w:val="15"/>
                <w:color w:val="auto"/>
              </w:rPr>
              <w:t>70,018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98A3B8"/>
            </w:tcBorders>
          </w:tcPr>
          <w:p>
            <w:pPr>
              <w:spacing w:after="0"/>
              <w:rPr>
                <w:sz w:val="16"/>
                <w:szCs w:val="16"/>
                <w:color w:val="auto"/>
              </w:rPr>
            </w:pPr>
          </w:p>
        </w:tc>
        <w:tc>
          <w:tcPr>
            <w:tcW w:w="660" w:type="dxa"/>
            <w:vAlign w:val="bottom"/>
            <w:tcBorders>
              <w:bottom w:val="single" w:sz="8" w:color="98A3B8"/>
            </w:tcBorders>
          </w:tcPr>
          <w:p>
            <w:pPr>
              <w:jc w:val="right"/>
              <w:ind w:right="24"/>
              <w:spacing w:after="0"/>
              <w:rPr>
                <w:sz w:val="20"/>
                <w:szCs w:val="20"/>
                <w:color w:val="auto"/>
              </w:rPr>
            </w:pPr>
            <w:r>
              <w:rPr>
                <w:rFonts w:ascii="Arial" w:cs="Arial" w:eastAsia="Arial" w:hAnsi="Arial"/>
                <w:sz w:val="15"/>
                <w:szCs w:val="15"/>
                <w:color w:val="auto"/>
              </w:rPr>
              <w:t>61,556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3"/>
        </w:trPr>
        <w:tc>
          <w:tcPr>
            <w:tcW w:w="5920" w:type="dxa"/>
            <w:vAlign w:val="bottom"/>
            <w:gridSpan w:val="2"/>
          </w:tcPr>
          <w:p>
            <w:pPr>
              <w:spacing w:after="0"/>
              <w:rPr>
                <w:sz w:val="20"/>
                <w:szCs w:val="20"/>
                <w:color w:val="auto"/>
              </w:rPr>
            </w:pPr>
            <w:r>
              <w:rPr>
                <w:rFonts w:ascii="Arial" w:cs="Arial" w:eastAsia="Arial" w:hAnsi="Arial"/>
                <w:sz w:val="15"/>
                <w:szCs w:val="15"/>
                <w:color w:val="auto"/>
              </w:rPr>
              <w:t>Amortization of deferred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2"/>
        </w:trPr>
        <w:tc>
          <w:tcPr>
            <w:tcW w:w="5920" w:type="dxa"/>
            <w:vAlign w:val="bottom"/>
            <w:tcBorders>
              <w:bottom w:val="single" w:sz="8" w:color="98A3B8"/>
            </w:tcBorders>
            <w:gridSpan w:val="2"/>
          </w:tcPr>
          <w:p>
            <w:pPr>
              <w:spacing w:after="0"/>
              <w:rPr>
                <w:sz w:val="20"/>
                <w:szCs w:val="20"/>
                <w:color w:val="auto"/>
              </w:rPr>
            </w:pPr>
            <w:r>
              <w:rPr>
                <w:rFonts w:ascii="Arial" w:cs="Arial" w:eastAsia="Arial" w:hAnsi="Arial"/>
                <w:sz w:val="15"/>
                <w:szCs w:val="15"/>
                <w:color w:val="auto"/>
              </w:rPr>
              <w:t>financing costs</w:t>
            </w:r>
          </w:p>
        </w:tc>
        <w:tc>
          <w:tcPr>
            <w:tcW w:w="100" w:type="dxa"/>
            <w:vAlign w:val="bottom"/>
          </w:tcPr>
          <w:p>
            <w:pPr>
              <w:spacing w:after="0"/>
              <w:rPr>
                <w:sz w:val="16"/>
                <w:szCs w:val="16"/>
                <w:color w:val="auto"/>
              </w:rPr>
            </w:pPr>
          </w:p>
        </w:tc>
        <w:tc>
          <w:tcPr>
            <w:tcW w:w="100" w:type="dxa"/>
            <w:vAlign w:val="bottom"/>
            <w:tcBorders>
              <w:bottom w:val="single" w:sz="8" w:color="98A3B8"/>
            </w:tcBorders>
          </w:tcPr>
          <w:p>
            <w:pPr>
              <w:spacing w:after="0"/>
              <w:rPr>
                <w:sz w:val="16"/>
                <w:szCs w:val="16"/>
                <w:color w:val="auto"/>
              </w:rPr>
            </w:pPr>
          </w:p>
        </w:tc>
        <w:tc>
          <w:tcPr>
            <w:tcW w:w="800" w:type="dxa"/>
            <w:vAlign w:val="bottom"/>
            <w:tcBorders>
              <w:bottom w:val="single" w:sz="8" w:color="98A3B8"/>
            </w:tcBorders>
          </w:tcPr>
          <w:p>
            <w:pPr>
              <w:jc w:val="right"/>
              <w:ind w:right="26"/>
              <w:spacing w:after="0"/>
              <w:rPr>
                <w:sz w:val="20"/>
                <w:szCs w:val="20"/>
                <w:color w:val="auto"/>
              </w:rPr>
            </w:pPr>
            <w:r>
              <w:rPr>
                <w:rFonts w:ascii="Arial" w:cs="Arial" w:eastAsia="Arial" w:hAnsi="Arial"/>
                <w:sz w:val="15"/>
                <w:szCs w:val="15"/>
                <w:color w:val="auto"/>
              </w:rPr>
              <w:t>27,348</w:t>
            </w:r>
          </w:p>
        </w:tc>
        <w:tc>
          <w:tcPr>
            <w:tcW w:w="80" w:type="dxa"/>
            <w:vAlign w:val="bottom"/>
          </w:tcPr>
          <w:p>
            <w:pPr>
              <w:spacing w:after="0"/>
              <w:rPr>
                <w:sz w:val="16"/>
                <w:szCs w:val="16"/>
                <w:color w:val="auto"/>
              </w:rPr>
            </w:pPr>
          </w:p>
        </w:tc>
        <w:tc>
          <w:tcPr>
            <w:tcW w:w="100" w:type="dxa"/>
            <w:vAlign w:val="bottom"/>
            <w:tcBorders>
              <w:bottom w:val="single" w:sz="8" w:color="98A3B8"/>
            </w:tcBorders>
          </w:tcPr>
          <w:p>
            <w:pPr>
              <w:spacing w:after="0"/>
              <w:rPr>
                <w:sz w:val="16"/>
                <w:szCs w:val="16"/>
                <w:color w:val="auto"/>
              </w:rPr>
            </w:pPr>
          </w:p>
        </w:tc>
        <w:tc>
          <w:tcPr>
            <w:tcW w:w="720" w:type="dxa"/>
            <w:vAlign w:val="bottom"/>
            <w:tcBorders>
              <w:bottom w:val="single" w:sz="8" w:color="98A3B8"/>
            </w:tcBorders>
          </w:tcPr>
          <w:p>
            <w:pPr>
              <w:jc w:val="right"/>
              <w:ind w:right="4"/>
              <w:spacing w:after="0"/>
              <w:rPr>
                <w:sz w:val="20"/>
                <w:szCs w:val="20"/>
                <w:color w:val="auto"/>
              </w:rPr>
            </w:pPr>
            <w:r>
              <w:rPr>
                <w:rFonts w:ascii="Arial" w:cs="Arial" w:eastAsia="Arial" w:hAnsi="Arial"/>
                <w:sz w:val="15"/>
                <w:szCs w:val="15"/>
                <w:color w:val="auto"/>
              </w:rPr>
              <w:t>22,377</w:t>
            </w:r>
          </w:p>
        </w:tc>
        <w:tc>
          <w:tcPr>
            <w:tcW w:w="100" w:type="dxa"/>
            <w:vAlign w:val="bottom"/>
          </w:tcPr>
          <w:p>
            <w:pPr>
              <w:spacing w:after="0"/>
              <w:rPr>
                <w:sz w:val="16"/>
                <w:szCs w:val="16"/>
                <w:color w:val="auto"/>
              </w:rPr>
            </w:pPr>
          </w:p>
        </w:tc>
        <w:tc>
          <w:tcPr>
            <w:tcW w:w="100" w:type="dxa"/>
            <w:vAlign w:val="bottom"/>
            <w:tcBorders>
              <w:bottom w:val="single" w:sz="8" w:color="98A3B8"/>
            </w:tcBorders>
          </w:tcPr>
          <w:p>
            <w:pPr>
              <w:spacing w:after="0"/>
              <w:rPr>
                <w:sz w:val="16"/>
                <w:szCs w:val="16"/>
                <w:color w:val="auto"/>
              </w:rPr>
            </w:pPr>
          </w:p>
        </w:tc>
        <w:tc>
          <w:tcPr>
            <w:tcW w:w="660" w:type="dxa"/>
            <w:vAlign w:val="bottom"/>
            <w:tcBorders>
              <w:bottom w:val="single" w:sz="8" w:color="98A3B8"/>
            </w:tcBorders>
          </w:tcPr>
          <w:p>
            <w:pPr>
              <w:jc w:val="right"/>
              <w:ind w:right="26"/>
              <w:spacing w:after="0"/>
              <w:rPr>
                <w:sz w:val="20"/>
                <w:szCs w:val="20"/>
                <w:color w:val="auto"/>
              </w:rPr>
            </w:pPr>
            <w:r>
              <w:rPr>
                <w:rFonts w:ascii="Arial" w:cs="Arial" w:eastAsia="Arial" w:hAnsi="Arial"/>
                <w:sz w:val="15"/>
                <w:szCs w:val="15"/>
                <w:color w:val="auto"/>
              </w:rPr>
              <w:t>5,770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98A3B8"/>
            </w:tcBorders>
          </w:tcPr>
          <w:p>
            <w:pPr>
              <w:spacing w:after="0"/>
              <w:rPr>
                <w:sz w:val="16"/>
                <w:szCs w:val="16"/>
                <w:color w:val="auto"/>
              </w:rPr>
            </w:pPr>
          </w:p>
        </w:tc>
        <w:tc>
          <w:tcPr>
            <w:tcW w:w="660" w:type="dxa"/>
            <w:vAlign w:val="bottom"/>
            <w:tcBorders>
              <w:bottom w:val="single" w:sz="8" w:color="98A3B8"/>
            </w:tcBorders>
          </w:tcPr>
          <w:p>
            <w:pPr>
              <w:jc w:val="right"/>
              <w:ind w:right="24"/>
              <w:spacing w:after="0"/>
              <w:rPr>
                <w:sz w:val="20"/>
                <w:szCs w:val="20"/>
                <w:color w:val="auto"/>
              </w:rPr>
            </w:pPr>
            <w:r>
              <w:rPr>
                <w:rFonts w:ascii="Arial" w:cs="Arial" w:eastAsia="Arial" w:hAnsi="Arial"/>
                <w:sz w:val="15"/>
                <w:szCs w:val="15"/>
                <w:color w:val="auto"/>
              </w:rPr>
              <w:t>6,008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3"/>
        </w:trPr>
        <w:tc>
          <w:tcPr>
            <w:tcW w:w="5920" w:type="dxa"/>
            <w:vAlign w:val="bottom"/>
            <w:gridSpan w:val="2"/>
          </w:tcPr>
          <w:p>
            <w:pPr>
              <w:spacing w:after="0"/>
              <w:rPr>
                <w:sz w:val="20"/>
                <w:szCs w:val="20"/>
                <w:color w:val="auto"/>
              </w:rPr>
            </w:pPr>
            <w:r>
              <w:rPr>
                <w:rFonts w:ascii="Arial" w:cs="Arial" w:eastAsia="Arial" w:hAnsi="Arial"/>
                <w:sz w:val="15"/>
                <w:szCs w:val="15"/>
                <w:color w:val="auto"/>
              </w:rPr>
              <w:t>Loss on early extinguishment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2"/>
        </w:trPr>
        <w:tc>
          <w:tcPr>
            <w:tcW w:w="5920" w:type="dxa"/>
            <w:vAlign w:val="bottom"/>
            <w:tcBorders>
              <w:bottom w:val="single" w:sz="8" w:color="98A3B8"/>
            </w:tcBorders>
            <w:gridSpan w:val="2"/>
          </w:tcPr>
          <w:p>
            <w:pPr>
              <w:spacing w:after="0"/>
              <w:rPr>
                <w:sz w:val="20"/>
                <w:szCs w:val="20"/>
                <w:color w:val="auto"/>
              </w:rPr>
            </w:pPr>
            <w:r>
              <w:rPr>
                <w:rFonts w:ascii="Arial" w:cs="Arial" w:eastAsia="Arial" w:hAnsi="Arial"/>
                <w:sz w:val="15"/>
                <w:szCs w:val="15"/>
                <w:color w:val="auto"/>
              </w:rPr>
              <w:t>of debt</w:t>
            </w:r>
          </w:p>
        </w:tc>
        <w:tc>
          <w:tcPr>
            <w:tcW w:w="100" w:type="dxa"/>
            <w:vAlign w:val="bottom"/>
          </w:tcPr>
          <w:p>
            <w:pPr>
              <w:spacing w:after="0"/>
              <w:rPr>
                <w:sz w:val="16"/>
                <w:szCs w:val="16"/>
                <w:color w:val="auto"/>
              </w:rPr>
            </w:pPr>
          </w:p>
        </w:tc>
        <w:tc>
          <w:tcPr>
            <w:tcW w:w="100" w:type="dxa"/>
            <w:vAlign w:val="bottom"/>
            <w:tcBorders>
              <w:bottom w:val="single" w:sz="8" w:color="98A3B8"/>
            </w:tcBorders>
          </w:tcPr>
          <w:p>
            <w:pPr>
              <w:spacing w:after="0"/>
              <w:rPr>
                <w:sz w:val="16"/>
                <w:szCs w:val="16"/>
                <w:color w:val="auto"/>
              </w:rPr>
            </w:pPr>
          </w:p>
        </w:tc>
        <w:tc>
          <w:tcPr>
            <w:tcW w:w="8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(49)</w:t>
            </w:r>
          </w:p>
        </w:tc>
        <w:tc>
          <w:tcPr>
            <w:tcW w:w="80" w:type="dxa"/>
            <w:vAlign w:val="bottom"/>
          </w:tcPr>
          <w:p>
            <w:pPr>
              <w:spacing w:after="0"/>
              <w:rPr>
                <w:sz w:val="16"/>
                <w:szCs w:val="16"/>
                <w:color w:val="auto"/>
              </w:rPr>
            </w:pPr>
          </w:p>
        </w:tc>
        <w:tc>
          <w:tcPr>
            <w:tcW w:w="100" w:type="dxa"/>
            <w:vAlign w:val="bottom"/>
            <w:tcBorders>
              <w:bottom w:val="single" w:sz="8" w:color="98A3B8"/>
            </w:tcBorders>
          </w:tcPr>
          <w:p>
            <w:pPr>
              <w:spacing w:after="0"/>
              <w:rPr>
                <w:sz w:val="16"/>
                <w:szCs w:val="16"/>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(32,365)</w:t>
            </w:r>
          </w:p>
        </w:tc>
        <w:tc>
          <w:tcPr>
            <w:tcW w:w="100" w:type="dxa"/>
            <w:vAlign w:val="bottom"/>
          </w:tcPr>
          <w:p>
            <w:pPr>
              <w:spacing w:after="0"/>
              <w:rPr>
                <w:sz w:val="16"/>
                <w:szCs w:val="16"/>
                <w:color w:val="auto"/>
              </w:rPr>
            </w:pPr>
          </w:p>
        </w:tc>
        <w:tc>
          <w:tcPr>
            <w:tcW w:w="100" w:type="dxa"/>
            <w:vAlign w:val="bottom"/>
            <w:tcBorders>
              <w:bottom w:val="single" w:sz="8" w:color="98A3B8"/>
            </w:tcBorders>
          </w:tcPr>
          <w:p>
            <w:pPr>
              <w:spacing w:after="0"/>
              <w:rPr>
                <w:sz w:val="16"/>
                <w:szCs w:val="16"/>
                <w:color w:val="auto"/>
              </w:rPr>
            </w:pPr>
          </w:p>
        </w:tc>
        <w:tc>
          <w:tcPr>
            <w:tcW w:w="660" w:type="dxa"/>
            <w:vAlign w:val="bottom"/>
            <w:tcBorders>
              <w:bottom w:val="single" w:sz="8" w:color="98A3B8"/>
            </w:tcBorders>
          </w:tcPr>
          <w:p>
            <w:pPr>
              <w:jc w:val="right"/>
              <w:ind w:right="26"/>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98A3B8"/>
            </w:tcBorders>
          </w:tcPr>
          <w:p>
            <w:pPr>
              <w:spacing w:after="0"/>
              <w:rPr>
                <w:sz w:val="16"/>
                <w:szCs w:val="16"/>
                <w:color w:val="auto"/>
              </w:rPr>
            </w:pPr>
          </w:p>
        </w:tc>
        <w:tc>
          <w:tcPr>
            <w:tcW w:w="660" w:type="dxa"/>
            <w:vAlign w:val="bottom"/>
            <w:tcBorders>
              <w:bottom w:val="single" w:sz="8" w:color="98A3B8"/>
            </w:tcBorders>
          </w:tcPr>
          <w:p>
            <w:pPr>
              <w:jc w:val="right"/>
              <w:ind w:right="2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7"/>
        </w:trPr>
        <w:tc>
          <w:tcPr>
            <w:tcW w:w="5920" w:type="dxa"/>
            <w:vAlign w:val="bottom"/>
            <w:gridSpan w:val="2"/>
          </w:tcPr>
          <w:p>
            <w:pPr>
              <w:spacing w:after="0"/>
              <w:rPr>
                <w:sz w:val="20"/>
                <w:szCs w:val="20"/>
                <w:color w:val="auto"/>
              </w:rPr>
            </w:pPr>
            <w:r>
              <w:rPr>
                <w:rFonts w:ascii="Arial" w:cs="Arial" w:eastAsia="Arial" w:hAnsi="Arial"/>
                <w:sz w:val="15"/>
                <w:szCs w:val="15"/>
                <w:b w:val="1"/>
                <w:bCs w:val="1"/>
                <w:color w:val="auto"/>
              </w:rPr>
              <w:t>Operating income</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6"/>
              <w:spacing w:after="0"/>
              <w:rPr>
                <w:sz w:val="20"/>
                <w:szCs w:val="20"/>
                <w:color w:val="auto"/>
              </w:rPr>
            </w:pPr>
            <w:r>
              <w:rPr>
                <w:rFonts w:ascii="Arial" w:cs="Arial" w:eastAsia="Arial" w:hAnsi="Arial"/>
                <w:sz w:val="15"/>
                <w:szCs w:val="15"/>
                <w:color w:val="auto"/>
              </w:rPr>
              <w:t>1,002,345</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880,522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26"/>
              <w:spacing w:after="0"/>
              <w:rPr>
                <w:sz w:val="20"/>
                <w:szCs w:val="20"/>
                <w:color w:val="auto"/>
              </w:rPr>
            </w:pPr>
            <w:r>
              <w:rPr>
                <w:rFonts w:ascii="Arial" w:cs="Arial" w:eastAsia="Arial" w:hAnsi="Arial"/>
                <w:sz w:val="15"/>
                <w:szCs w:val="15"/>
                <w:color w:val="auto"/>
                <w:w w:val="99"/>
              </w:rPr>
              <w:t>151,582</w:t>
            </w:r>
          </w:p>
        </w:tc>
        <w:tc>
          <w:tcPr>
            <w:tcW w:w="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4"/>
              <w:spacing w:after="0"/>
              <w:rPr>
                <w:sz w:val="20"/>
                <w:szCs w:val="20"/>
                <w:color w:val="auto"/>
              </w:rPr>
            </w:pPr>
            <w:r>
              <w:rPr>
                <w:rFonts w:ascii="Arial" w:cs="Arial" w:eastAsia="Arial" w:hAnsi="Arial"/>
                <w:sz w:val="15"/>
                <w:szCs w:val="15"/>
                <w:color w:val="auto"/>
                <w:w w:val="99"/>
              </w:rPr>
              <w:t>154,793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3"/>
        </w:trPr>
        <w:tc>
          <w:tcPr>
            <w:tcW w:w="5920" w:type="dxa"/>
            <w:vAlign w:val="bottom"/>
            <w:tcBorders>
              <w:top w:val="single" w:sz="8" w:color="98A3B8"/>
            </w:tcBorders>
            <w:gridSpan w:val="2"/>
          </w:tcPr>
          <w:p>
            <w:pPr>
              <w:spacing w:after="0"/>
              <w:rPr>
                <w:sz w:val="20"/>
                <w:szCs w:val="20"/>
                <w:color w:val="auto"/>
              </w:rPr>
            </w:pPr>
            <w:r>
              <w:rPr>
                <w:rFonts w:ascii="Arial" w:cs="Arial" w:eastAsia="Arial" w:hAnsi="Arial"/>
                <w:sz w:val="15"/>
                <w:szCs w:val="15"/>
                <w:color w:val="auto"/>
              </w:rPr>
              <w:t>Marketing, general and</w:t>
            </w:r>
          </w:p>
        </w:tc>
        <w:tc>
          <w:tcPr>
            <w:tcW w:w="100" w:type="dxa"/>
            <w:vAlign w:val="bottom"/>
          </w:tcPr>
          <w:p>
            <w:pPr>
              <w:spacing w:after="0"/>
              <w:rPr>
                <w:sz w:val="17"/>
                <w:szCs w:val="17"/>
                <w:color w:val="auto"/>
              </w:rPr>
            </w:pPr>
          </w:p>
        </w:tc>
        <w:tc>
          <w:tcPr>
            <w:tcW w:w="100" w:type="dxa"/>
            <w:vAlign w:val="bottom"/>
            <w:tcBorders>
              <w:top w:val="single" w:sz="8" w:color="98A3B8"/>
            </w:tcBorders>
          </w:tcPr>
          <w:p>
            <w:pPr>
              <w:spacing w:after="0"/>
              <w:rPr>
                <w:sz w:val="17"/>
                <w:szCs w:val="17"/>
                <w:color w:val="auto"/>
              </w:rPr>
            </w:pPr>
          </w:p>
        </w:tc>
        <w:tc>
          <w:tcPr>
            <w:tcW w:w="800" w:type="dxa"/>
            <w:vAlign w:val="bottom"/>
            <w:tcBorders>
              <w:top w:val="single" w:sz="8" w:color="98A3B8"/>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98A3B8"/>
            </w:tcBorders>
          </w:tcPr>
          <w:p>
            <w:pPr>
              <w:spacing w:after="0"/>
              <w:rPr>
                <w:sz w:val="17"/>
                <w:szCs w:val="17"/>
                <w:color w:val="auto"/>
              </w:rPr>
            </w:pPr>
          </w:p>
        </w:tc>
        <w:tc>
          <w:tcPr>
            <w:tcW w:w="720" w:type="dxa"/>
            <w:vAlign w:val="bottom"/>
            <w:tcBorders>
              <w:top w:val="single" w:sz="8" w:color="98A3B8"/>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98A3B8"/>
            </w:tcBorders>
          </w:tcPr>
          <w:p>
            <w:pPr>
              <w:spacing w:after="0"/>
              <w:rPr>
                <w:sz w:val="17"/>
                <w:szCs w:val="17"/>
                <w:color w:val="auto"/>
              </w:rPr>
            </w:pPr>
          </w:p>
        </w:tc>
        <w:tc>
          <w:tcPr>
            <w:tcW w:w="660" w:type="dxa"/>
            <w:vAlign w:val="bottom"/>
            <w:tcBorders>
              <w:top w:val="single" w:sz="8" w:color="98A3B8"/>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98A3B8"/>
            </w:tcBorders>
          </w:tcPr>
          <w:p>
            <w:pPr>
              <w:spacing w:after="0"/>
              <w:rPr>
                <w:sz w:val="17"/>
                <w:szCs w:val="17"/>
                <w:color w:val="auto"/>
              </w:rPr>
            </w:pPr>
          </w:p>
        </w:tc>
        <w:tc>
          <w:tcPr>
            <w:tcW w:w="660" w:type="dxa"/>
            <w:vAlign w:val="bottom"/>
            <w:tcBorders>
              <w:top w:val="single" w:sz="8" w:color="98A3B8"/>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2"/>
        </w:trPr>
        <w:tc>
          <w:tcPr>
            <w:tcW w:w="5920" w:type="dxa"/>
            <w:vAlign w:val="bottom"/>
            <w:gridSpan w:val="2"/>
          </w:tcPr>
          <w:p>
            <w:pPr>
              <w:spacing w:after="0"/>
              <w:rPr>
                <w:sz w:val="20"/>
                <w:szCs w:val="20"/>
                <w:color w:val="auto"/>
              </w:rPr>
            </w:pPr>
            <w:r>
              <w:rPr>
                <w:rFonts w:ascii="Arial" w:cs="Arial" w:eastAsia="Arial" w:hAnsi="Arial"/>
                <w:sz w:val="15"/>
                <w:szCs w:val="15"/>
                <w:color w:val="auto"/>
              </w:rPr>
              <w:t>administrative expense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6"/>
              <w:spacing w:after="0"/>
              <w:rPr>
                <w:sz w:val="20"/>
                <w:szCs w:val="20"/>
                <w:color w:val="auto"/>
              </w:rPr>
            </w:pPr>
            <w:r>
              <w:rPr>
                <w:rFonts w:ascii="Arial" w:cs="Arial" w:eastAsia="Arial" w:hAnsi="Arial"/>
                <w:sz w:val="15"/>
                <w:szCs w:val="15"/>
                <w:color w:val="auto"/>
              </w:rPr>
              <w:t>94,873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92,488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3"/>
        </w:trPr>
        <w:tc>
          <w:tcPr>
            <w:tcW w:w="5920" w:type="dxa"/>
            <w:vAlign w:val="bottom"/>
            <w:tcBorders>
              <w:top w:val="single" w:sz="8" w:color="98A3B8"/>
            </w:tcBorders>
            <w:gridSpan w:val="2"/>
          </w:tcPr>
          <w:p>
            <w:pPr>
              <w:spacing w:after="0"/>
              <w:rPr>
                <w:sz w:val="20"/>
                <w:szCs w:val="20"/>
                <w:color w:val="auto"/>
              </w:rPr>
            </w:pPr>
            <w:r>
              <w:rPr>
                <w:rFonts w:ascii="Arial" w:cs="Arial" w:eastAsia="Arial" w:hAnsi="Arial"/>
                <w:sz w:val="15"/>
                <w:szCs w:val="15"/>
                <w:color w:val="auto"/>
              </w:rPr>
              <w:t>Net operating income from</w:t>
            </w:r>
          </w:p>
        </w:tc>
        <w:tc>
          <w:tcPr>
            <w:tcW w:w="100" w:type="dxa"/>
            <w:vAlign w:val="bottom"/>
          </w:tcPr>
          <w:p>
            <w:pPr>
              <w:spacing w:after="0"/>
              <w:rPr>
                <w:sz w:val="17"/>
                <w:szCs w:val="17"/>
                <w:color w:val="auto"/>
              </w:rPr>
            </w:pPr>
          </w:p>
        </w:tc>
        <w:tc>
          <w:tcPr>
            <w:tcW w:w="100" w:type="dxa"/>
            <w:vAlign w:val="bottom"/>
            <w:tcBorders>
              <w:top w:val="single" w:sz="8" w:color="98A3B8"/>
            </w:tcBorders>
          </w:tcPr>
          <w:p>
            <w:pPr>
              <w:spacing w:after="0"/>
              <w:rPr>
                <w:sz w:val="17"/>
                <w:szCs w:val="17"/>
                <w:color w:val="auto"/>
              </w:rPr>
            </w:pPr>
          </w:p>
        </w:tc>
        <w:tc>
          <w:tcPr>
            <w:tcW w:w="800" w:type="dxa"/>
            <w:vAlign w:val="bottom"/>
            <w:tcBorders>
              <w:top w:val="single" w:sz="8" w:color="98A3B8"/>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98A3B8"/>
            </w:tcBorders>
          </w:tcPr>
          <w:p>
            <w:pPr>
              <w:spacing w:after="0"/>
              <w:rPr>
                <w:sz w:val="17"/>
                <w:szCs w:val="17"/>
                <w:color w:val="auto"/>
              </w:rPr>
            </w:pPr>
          </w:p>
        </w:tc>
        <w:tc>
          <w:tcPr>
            <w:tcW w:w="720" w:type="dxa"/>
            <w:vAlign w:val="bottom"/>
            <w:tcBorders>
              <w:top w:val="single" w:sz="8" w:color="98A3B8"/>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98A3B8"/>
            </w:tcBorders>
          </w:tcPr>
          <w:p>
            <w:pPr>
              <w:spacing w:after="0"/>
              <w:rPr>
                <w:sz w:val="17"/>
                <w:szCs w:val="17"/>
                <w:color w:val="auto"/>
              </w:rPr>
            </w:pPr>
          </w:p>
        </w:tc>
        <w:tc>
          <w:tcPr>
            <w:tcW w:w="660" w:type="dxa"/>
            <w:vAlign w:val="bottom"/>
            <w:tcBorders>
              <w:top w:val="single" w:sz="8" w:color="98A3B8"/>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98A3B8"/>
            </w:tcBorders>
          </w:tcPr>
          <w:p>
            <w:pPr>
              <w:spacing w:after="0"/>
              <w:rPr>
                <w:sz w:val="17"/>
                <w:szCs w:val="17"/>
                <w:color w:val="auto"/>
              </w:rPr>
            </w:pPr>
          </w:p>
        </w:tc>
        <w:tc>
          <w:tcPr>
            <w:tcW w:w="660" w:type="dxa"/>
            <w:vAlign w:val="bottom"/>
            <w:tcBorders>
              <w:top w:val="single" w:sz="8" w:color="98A3B8"/>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2"/>
        </w:trPr>
        <w:tc>
          <w:tcPr>
            <w:tcW w:w="5920" w:type="dxa"/>
            <w:vAlign w:val="bottom"/>
            <w:gridSpan w:val="2"/>
          </w:tcPr>
          <w:p>
            <w:pPr>
              <w:spacing w:after="0"/>
              <w:rPr>
                <w:sz w:val="20"/>
                <w:szCs w:val="20"/>
                <w:color w:val="auto"/>
              </w:rPr>
            </w:pPr>
            <w:r>
              <w:rPr>
                <w:rFonts w:ascii="Arial" w:cs="Arial" w:eastAsia="Arial" w:hAnsi="Arial"/>
                <w:sz w:val="15"/>
                <w:szCs w:val="15"/>
                <w:color w:val="auto"/>
              </w:rPr>
              <w:t>discontinued operations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6"/>
              <w:spacing w:after="0"/>
              <w:rPr>
                <w:sz w:val="20"/>
                <w:szCs w:val="20"/>
                <w:color w:val="auto"/>
              </w:rPr>
            </w:pPr>
            <w:r>
              <w:rPr>
                <w:rFonts w:ascii="Arial" w:cs="Arial" w:eastAsia="Arial" w:hAnsi="Arial"/>
                <w:sz w:val="15"/>
                <w:szCs w:val="15"/>
                <w:color w:val="auto"/>
              </w:rPr>
              <w:t>488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37,790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7"/>
        </w:trPr>
        <w:tc>
          <w:tcPr>
            <w:tcW w:w="5920" w:type="dxa"/>
            <w:vAlign w:val="bottom"/>
            <w:tcBorders>
              <w:top w:val="single" w:sz="8" w:color="98A3B8"/>
              <w:bottom w:val="single" w:sz="8" w:color="98A3B8"/>
            </w:tcBorders>
            <w:gridSpan w:val="2"/>
          </w:tcPr>
          <w:p>
            <w:pPr>
              <w:spacing w:after="0"/>
              <w:rPr>
                <w:sz w:val="20"/>
                <w:szCs w:val="20"/>
                <w:color w:val="auto"/>
              </w:rPr>
            </w:pPr>
            <w:r>
              <w:rPr>
                <w:rFonts w:ascii="Arial" w:cs="Arial" w:eastAsia="Arial" w:hAnsi="Arial"/>
                <w:sz w:val="15"/>
                <w:szCs w:val="15"/>
                <w:color w:val="auto"/>
              </w:rPr>
              <w:t>Transaction related costs, net</w:t>
            </w:r>
          </w:p>
        </w:tc>
        <w:tc>
          <w:tcPr>
            <w:tcW w:w="100" w:type="dxa"/>
            <w:vAlign w:val="bottom"/>
          </w:tcPr>
          <w:p>
            <w:pPr>
              <w:spacing w:after="0"/>
              <w:rPr>
                <w:sz w:val="18"/>
                <w:szCs w:val="18"/>
                <w:color w:val="auto"/>
              </w:rPr>
            </w:pPr>
          </w:p>
        </w:tc>
        <w:tc>
          <w:tcPr>
            <w:tcW w:w="100" w:type="dxa"/>
            <w:vAlign w:val="bottom"/>
            <w:tcBorders>
              <w:top w:val="single" w:sz="8" w:color="98A3B8"/>
              <w:bottom w:val="single" w:sz="8" w:color="98A3B8"/>
            </w:tcBorders>
          </w:tcPr>
          <w:p>
            <w:pPr>
              <w:spacing w:after="0"/>
              <w:rPr>
                <w:sz w:val="18"/>
                <w:szCs w:val="18"/>
                <w:color w:val="auto"/>
              </w:rPr>
            </w:pPr>
          </w:p>
        </w:tc>
        <w:tc>
          <w:tcPr>
            <w:tcW w:w="800" w:type="dxa"/>
            <w:vAlign w:val="bottom"/>
            <w:tcBorders>
              <w:top w:val="single" w:sz="8" w:color="98A3B8"/>
              <w:bottom w:val="single" w:sz="8" w:color="98A3B8"/>
            </w:tcBorders>
          </w:tcPr>
          <w:p>
            <w:pPr>
              <w:jc w:val="right"/>
              <w:ind w:right="26"/>
              <w:spacing w:after="0"/>
              <w:rPr>
                <w:sz w:val="20"/>
                <w:szCs w:val="20"/>
                <w:color w:val="auto"/>
              </w:rPr>
            </w:pPr>
            <w:r>
              <w:rPr>
                <w:rFonts w:ascii="Arial" w:cs="Arial" w:eastAsia="Arial" w:hAnsi="Arial"/>
                <w:sz w:val="15"/>
                <w:szCs w:val="15"/>
                <w:color w:val="auto"/>
              </w:rPr>
              <w:t>11,430</w:t>
            </w:r>
          </w:p>
        </w:tc>
        <w:tc>
          <w:tcPr>
            <w:tcW w:w="80" w:type="dxa"/>
            <w:vAlign w:val="bottom"/>
          </w:tcPr>
          <w:p>
            <w:pPr>
              <w:spacing w:after="0"/>
              <w:rPr>
                <w:sz w:val="18"/>
                <w:szCs w:val="18"/>
                <w:color w:val="auto"/>
              </w:rPr>
            </w:pPr>
          </w:p>
        </w:tc>
        <w:tc>
          <w:tcPr>
            <w:tcW w:w="100" w:type="dxa"/>
            <w:vAlign w:val="bottom"/>
            <w:tcBorders>
              <w:top w:val="single" w:sz="8" w:color="98A3B8"/>
              <w:bottom w:val="single" w:sz="8" w:color="98A3B8"/>
            </w:tcBorders>
          </w:tcPr>
          <w:p>
            <w:pPr>
              <w:spacing w:after="0"/>
              <w:rPr>
                <w:sz w:val="18"/>
                <w:szCs w:val="18"/>
                <w:color w:val="auto"/>
              </w:rPr>
            </w:pPr>
          </w:p>
        </w:tc>
        <w:tc>
          <w:tcPr>
            <w:tcW w:w="720" w:type="dxa"/>
            <w:vAlign w:val="bottom"/>
            <w:tcBorders>
              <w:top w:val="single" w:sz="8" w:color="98A3B8"/>
              <w:bottom w:val="single" w:sz="8" w:color="98A3B8"/>
            </w:tcBorders>
          </w:tcPr>
          <w:p>
            <w:pPr>
              <w:jc w:val="right"/>
              <w:ind w:right="4"/>
              <w:spacing w:after="0"/>
              <w:rPr>
                <w:sz w:val="20"/>
                <w:szCs w:val="20"/>
                <w:color w:val="auto"/>
              </w:rPr>
            </w:pPr>
            <w:r>
              <w:rPr>
                <w:rFonts w:ascii="Arial" w:cs="Arial" w:eastAsia="Arial" w:hAnsi="Arial"/>
                <w:sz w:val="15"/>
                <w:szCs w:val="15"/>
                <w:color w:val="auto"/>
              </w:rPr>
              <w:t>8,707</w:t>
            </w:r>
          </w:p>
        </w:tc>
        <w:tc>
          <w:tcPr>
            <w:tcW w:w="100" w:type="dxa"/>
            <w:vAlign w:val="bottom"/>
          </w:tcPr>
          <w:p>
            <w:pPr>
              <w:spacing w:after="0"/>
              <w:rPr>
                <w:sz w:val="18"/>
                <w:szCs w:val="18"/>
                <w:color w:val="auto"/>
              </w:rPr>
            </w:pPr>
          </w:p>
        </w:tc>
        <w:tc>
          <w:tcPr>
            <w:tcW w:w="100" w:type="dxa"/>
            <w:vAlign w:val="bottom"/>
            <w:tcBorders>
              <w:top w:val="single" w:sz="8" w:color="98A3B8"/>
              <w:bottom w:val="single" w:sz="8" w:color="98A3B8"/>
            </w:tcBorders>
          </w:tcPr>
          <w:p>
            <w:pPr>
              <w:spacing w:after="0"/>
              <w:rPr>
                <w:sz w:val="18"/>
                <w:szCs w:val="18"/>
                <w:color w:val="auto"/>
              </w:rPr>
            </w:pPr>
          </w:p>
        </w:tc>
        <w:tc>
          <w:tcPr>
            <w:tcW w:w="660" w:type="dxa"/>
            <w:vAlign w:val="bottom"/>
            <w:tcBorders>
              <w:top w:val="single" w:sz="8" w:color="98A3B8"/>
              <w:bottom w:val="single" w:sz="8" w:color="98A3B8"/>
            </w:tcBorders>
          </w:tcPr>
          <w:p>
            <w:pPr>
              <w:jc w:val="right"/>
              <w:ind w:right="26"/>
              <w:spacing w:after="0"/>
              <w:rPr>
                <w:sz w:val="20"/>
                <w:szCs w:val="20"/>
                <w:color w:val="auto"/>
              </w:rPr>
            </w:pPr>
            <w:r>
              <w:rPr>
                <w:rFonts w:ascii="Arial" w:cs="Arial" w:eastAsia="Arial" w:hAnsi="Arial"/>
                <w:sz w:val="15"/>
                <w:szCs w:val="15"/>
                <w:color w:val="auto"/>
              </w:rPr>
              <w:t>37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98A3B8"/>
              <w:bottom w:val="single" w:sz="8" w:color="98A3B8"/>
            </w:tcBorders>
          </w:tcPr>
          <w:p>
            <w:pPr>
              <w:spacing w:after="0"/>
              <w:rPr>
                <w:sz w:val="18"/>
                <w:szCs w:val="18"/>
                <w:color w:val="auto"/>
              </w:rPr>
            </w:pPr>
          </w:p>
        </w:tc>
        <w:tc>
          <w:tcPr>
            <w:tcW w:w="660" w:type="dxa"/>
            <w:vAlign w:val="bottom"/>
            <w:tcBorders>
              <w:top w:val="single" w:sz="8" w:color="98A3B8"/>
              <w:bottom w:val="single" w:sz="8" w:color="98A3B8"/>
            </w:tcBorders>
          </w:tcPr>
          <w:p>
            <w:pPr>
              <w:jc w:val="right"/>
              <w:ind w:right="24"/>
              <w:spacing w:after="0"/>
              <w:rPr>
                <w:sz w:val="20"/>
                <w:szCs w:val="20"/>
                <w:color w:val="auto"/>
              </w:rPr>
            </w:pPr>
            <w:r>
              <w:rPr>
                <w:rFonts w:ascii="Arial" w:cs="Arial" w:eastAsia="Arial" w:hAnsi="Arial"/>
                <w:sz w:val="15"/>
                <w:szCs w:val="15"/>
                <w:color w:val="auto"/>
              </w:rPr>
              <w:t>372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7"/>
        </w:trPr>
        <w:tc>
          <w:tcPr>
            <w:tcW w:w="5920" w:type="dxa"/>
            <w:vAlign w:val="bottom"/>
            <w:tcBorders>
              <w:bottom w:val="single" w:sz="8" w:color="98A3B8"/>
            </w:tcBorders>
            <w:gridSpan w:val="2"/>
          </w:tcPr>
          <w:p>
            <w:pPr>
              <w:spacing w:after="0"/>
              <w:rPr>
                <w:sz w:val="20"/>
                <w:szCs w:val="20"/>
                <w:color w:val="auto"/>
              </w:rPr>
            </w:pPr>
            <w:r>
              <w:rPr>
                <w:rFonts w:ascii="Arial" w:cs="Arial" w:eastAsia="Arial" w:hAnsi="Arial"/>
                <w:sz w:val="15"/>
                <w:szCs w:val="15"/>
                <w:color w:val="auto"/>
              </w:rPr>
              <w:t>Non-building revenue</w:t>
            </w:r>
          </w:p>
        </w:tc>
        <w:tc>
          <w:tcPr>
            <w:tcW w:w="100" w:type="dxa"/>
            <w:vAlign w:val="bottom"/>
          </w:tcPr>
          <w:p>
            <w:pPr>
              <w:spacing w:after="0"/>
              <w:rPr>
                <w:sz w:val="18"/>
                <w:szCs w:val="18"/>
                <w:color w:val="auto"/>
              </w:rPr>
            </w:pPr>
          </w:p>
        </w:tc>
        <w:tc>
          <w:tcPr>
            <w:tcW w:w="100" w:type="dxa"/>
            <w:vAlign w:val="bottom"/>
            <w:tcBorders>
              <w:bottom w:val="single" w:sz="8" w:color="98A3B8"/>
            </w:tcBorders>
          </w:tcPr>
          <w:p>
            <w:pPr>
              <w:spacing w:after="0"/>
              <w:rPr>
                <w:sz w:val="18"/>
                <w:szCs w:val="18"/>
                <w:color w:val="auto"/>
              </w:rPr>
            </w:pPr>
          </w:p>
        </w:tc>
        <w:tc>
          <w:tcPr>
            <w:tcW w:w="8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(195,944)</w:t>
            </w:r>
          </w:p>
        </w:tc>
        <w:tc>
          <w:tcPr>
            <w:tcW w:w="80" w:type="dxa"/>
            <w:vAlign w:val="bottom"/>
          </w:tcPr>
          <w:p>
            <w:pPr>
              <w:spacing w:after="0"/>
              <w:rPr>
                <w:sz w:val="18"/>
                <w:szCs w:val="18"/>
                <w:color w:val="auto"/>
              </w:rPr>
            </w:pPr>
          </w:p>
        </w:tc>
        <w:tc>
          <w:tcPr>
            <w:tcW w:w="100" w:type="dxa"/>
            <w:vAlign w:val="bottom"/>
            <w:tcBorders>
              <w:bottom w:val="single" w:sz="8" w:color="98A3B8"/>
            </w:tcBorders>
          </w:tcPr>
          <w:p>
            <w:pPr>
              <w:spacing w:after="0"/>
              <w:rPr>
                <w:sz w:val="18"/>
                <w:szCs w:val="18"/>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(217,857)</w:t>
            </w:r>
          </w:p>
        </w:tc>
        <w:tc>
          <w:tcPr>
            <w:tcW w:w="100" w:type="dxa"/>
            <w:vAlign w:val="bottom"/>
          </w:tcPr>
          <w:p>
            <w:pPr>
              <w:spacing w:after="0"/>
              <w:rPr>
                <w:sz w:val="18"/>
                <w:szCs w:val="18"/>
                <w:color w:val="auto"/>
              </w:rPr>
            </w:pPr>
          </w:p>
        </w:tc>
        <w:tc>
          <w:tcPr>
            <w:tcW w:w="100" w:type="dxa"/>
            <w:vAlign w:val="bottom"/>
            <w:tcBorders>
              <w:bottom w:val="single" w:sz="8" w:color="98A3B8"/>
            </w:tcBorders>
          </w:tcPr>
          <w:p>
            <w:pPr>
              <w:spacing w:after="0"/>
              <w:rPr>
                <w:sz w:val="18"/>
                <w:szCs w:val="18"/>
                <w:color w:val="auto"/>
              </w:rPr>
            </w:pPr>
          </w:p>
        </w:tc>
        <w:tc>
          <w:tcPr>
            <w:tcW w:w="66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(25,690)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98A3B8"/>
            </w:tcBorders>
          </w:tcPr>
          <w:p>
            <w:pPr>
              <w:spacing w:after="0"/>
              <w:rPr>
                <w:sz w:val="18"/>
                <w:szCs w:val="18"/>
                <w:color w:val="auto"/>
              </w:rPr>
            </w:pPr>
          </w:p>
        </w:tc>
        <w:tc>
          <w:tcPr>
            <w:tcW w:w="66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(17,467)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3"/>
        </w:trPr>
        <w:tc>
          <w:tcPr>
            <w:tcW w:w="5920" w:type="dxa"/>
            <w:vAlign w:val="bottom"/>
            <w:gridSpan w:val="2"/>
          </w:tcPr>
          <w:p>
            <w:pPr>
              <w:spacing w:after="0"/>
              <w:rPr>
                <w:sz w:val="20"/>
                <w:szCs w:val="20"/>
                <w:color w:val="auto"/>
              </w:rPr>
            </w:pPr>
            <w:r>
              <w:rPr>
                <w:rFonts w:ascii="Arial" w:cs="Arial" w:eastAsia="Arial" w:hAnsi="Arial"/>
                <w:sz w:val="15"/>
                <w:szCs w:val="15"/>
                <w:color w:val="auto"/>
              </w:rPr>
              <w:t>Equity in net income from</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2"/>
        </w:trPr>
        <w:tc>
          <w:tcPr>
            <w:tcW w:w="5920" w:type="dxa"/>
            <w:vAlign w:val="bottom"/>
            <w:gridSpan w:val="2"/>
          </w:tcPr>
          <w:p>
            <w:pPr>
              <w:spacing w:after="0"/>
              <w:rPr>
                <w:sz w:val="20"/>
                <w:szCs w:val="20"/>
                <w:color w:val="auto"/>
              </w:rPr>
            </w:pPr>
            <w:r>
              <w:rPr>
                <w:rFonts w:ascii="Arial" w:cs="Arial" w:eastAsia="Arial" w:hAnsi="Arial"/>
                <w:sz w:val="15"/>
                <w:szCs w:val="15"/>
                <w:color w:val="auto"/>
              </w:rPr>
              <w:t>unconsolidated joint ventures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(13,028)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(26,537)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3"/>
        </w:trPr>
        <w:tc>
          <w:tcPr>
            <w:tcW w:w="5920" w:type="dxa"/>
            <w:vAlign w:val="bottom"/>
            <w:tcBorders>
              <w:top w:val="single" w:sz="8" w:color="98A3B8"/>
            </w:tcBorders>
            <w:gridSpan w:val="2"/>
          </w:tcPr>
          <w:p>
            <w:pPr>
              <w:spacing w:after="0"/>
              <w:rPr>
                <w:sz w:val="20"/>
                <w:szCs w:val="20"/>
                <w:color w:val="auto"/>
              </w:rPr>
            </w:pPr>
            <w:r>
              <w:rPr>
                <w:rFonts w:ascii="Arial" w:cs="Arial" w:eastAsia="Arial" w:hAnsi="Arial"/>
                <w:sz w:val="15"/>
                <w:szCs w:val="15"/>
                <w:color w:val="auto"/>
              </w:rPr>
              <w:t>Loss on early extinguishment</w:t>
            </w:r>
          </w:p>
        </w:tc>
        <w:tc>
          <w:tcPr>
            <w:tcW w:w="100" w:type="dxa"/>
            <w:vAlign w:val="bottom"/>
          </w:tcPr>
          <w:p>
            <w:pPr>
              <w:spacing w:after="0"/>
              <w:rPr>
                <w:sz w:val="17"/>
                <w:szCs w:val="17"/>
                <w:color w:val="auto"/>
              </w:rPr>
            </w:pPr>
          </w:p>
        </w:tc>
        <w:tc>
          <w:tcPr>
            <w:tcW w:w="100" w:type="dxa"/>
            <w:vAlign w:val="bottom"/>
            <w:tcBorders>
              <w:top w:val="single" w:sz="8" w:color="98A3B8"/>
            </w:tcBorders>
          </w:tcPr>
          <w:p>
            <w:pPr>
              <w:spacing w:after="0"/>
              <w:rPr>
                <w:sz w:val="17"/>
                <w:szCs w:val="17"/>
                <w:color w:val="auto"/>
              </w:rPr>
            </w:pPr>
          </w:p>
        </w:tc>
        <w:tc>
          <w:tcPr>
            <w:tcW w:w="800" w:type="dxa"/>
            <w:vAlign w:val="bottom"/>
            <w:tcBorders>
              <w:top w:val="single" w:sz="8" w:color="98A3B8"/>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98A3B8"/>
            </w:tcBorders>
          </w:tcPr>
          <w:p>
            <w:pPr>
              <w:spacing w:after="0"/>
              <w:rPr>
                <w:sz w:val="17"/>
                <w:szCs w:val="17"/>
                <w:color w:val="auto"/>
              </w:rPr>
            </w:pPr>
          </w:p>
        </w:tc>
        <w:tc>
          <w:tcPr>
            <w:tcW w:w="720" w:type="dxa"/>
            <w:vAlign w:val="bottom"/>
            <w:tcBorders>
              <w:top w:val="single" w:sz="8" w:color="98A3B8"/>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98A3B8"/>
            </w:tcBorders>
          </w:tcPr>
          <w:p>
            <w:pPr>
              <w:spacing w:after="0"/>
              <w:rPr>
                <w:sz w:val="17"/>
                <w:szCs w:val="17"/>
                <w:color w:val="auto"/>
              </w:rPr>
            </w:pPr>
          </w:p>
        </w:tc>
        <w:tc>
          <w:tcPr>
            <w:tcW w:w="660" w:type="dxa"/>
            <w:vAlign w:val="bottom"/>
            <w:tcBorders>
              <w:top w:val="single" w:sz="8" w:color="98A3B8"/>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98A3B8"/>
            </w:tcBorders>
          </w:tcPr>
          <w:p>
            <w:pPr>
              <w:spacing w:after="0"/>
              <w:rPr>
                <w:sz w:val="17"/>
                <w:szCs w:val="17"/>
                <w:color w:val="auto"/>
              </w:rPr>
            </w:pPr>
          </w:p>
        </w:tc>
        <w:tc>
          <w:tcPr>
            <w:tcW w:w="660" w:type="dxa"/>
            <w:vAlign w:val="bottom"/>
            <w:tcBorders>
              <w:top w:val="single" w:sz="8" w:color="98A3B8"/>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2"/>
        </w:trPr>
        <w:tc>
          <w:tcPr>
            <w:tcW w:w="5920" w:type="dxa"/>
            <w:vAlign w:val="bottom"/>
            <w:tcBorders>
              <w:bottom w:val="single" w:sz="8" w:color="98A3B8"/>
            </w:tcBorders>
            <w:gridSpan w:val="2"/>
          </w:tcPr>
          <w:p>
            <w:pPr>
              <w:spacing w:after="0"/>
              <w:rPr>
                <w:sz w:val="20"/>
                <w:szCs w:val="20"/>
                <w:color w:val="auto"/>
              </w:rPr>
            </w:pPr>
            <w:r>
              <w:rPr>
                <w:rFonts w:ascii="Arial" w:cs="Arial" w:eastAsia="Arial" w:hAnsi="Arial"/>
                <w:sz w:val="15"/>
                <w:szCs w:val="15"/>
                <w:color w:val="auto"/>
              </w:rPr>
              <w:t>of debt</w:t>
            </w:r>
          </w:p>
        </w:tc>
        <w:tc>
          <w:tcPr>
            <w:tcW w:w="100" w:type="dxa"/>
            <w:vAlign w:val="bottom"/>
          </w:tcPr>
          <w:p>
            <w:pPr>
              <w:spacing w:after="0"/>
              <w:rPr>
                <w:sz w:val="16"/>
                <w:szCs w:val="16"/>
                <w:color w:val="auto"/>
              </w:rPr>
            </w:pPr>
          </w:p>
        </w:tc>
        <w:tc>
          <w:tcPr>
            <w:tcW w:w="100" w:type="dxa"/>
            <w:vAlign w:val="bottom"/>
            <w:tcBorders>
              <w:bottom w:val="single" w:sz="8" w:color="98A3B8"/>
            </w:tcBorders>
          </w:tcPr>
          <w:p>
            <w:pPr>
              <w:spacing w:after="0"/>
              <w:rPr>
                <w:sz w:val="16"/>
                <w:szCs w:val="16"/>
                <w:color w:val="auto"/>
              </w:rPr>
            </w:pPr>
          </w:p>
        </w:tc>
        <w:tc>
          <w:tcPr>
            <w:tcW w:w="800" w:type="dxa"/>
            <w:vAlign w:val="bottom"/>
            <w:tcBorders>
              <w:bottom w:val="single" w:sz="8" w:color="98A3B8"/>
            </w:tcBorders>
          </w:tcPr>
          <w:p>
            <w:pPr>
              <w:jc w:val="right"/>
              <w:ind w:right="26"/>
              <w:spacing w:after="0"/>
              <w:rPr>
                <w:sz w:val="20"/>
                <w:szCs w:val="20"/>
                <w:color w:val="auto"/>
              </w:rPr>
            </w:pPr>
            <w:r>
              <w:rPr>
                <w:rFonts w:ascii="Arial" w:cs="Arial" w:eastAsia="Arial" w:hAnsi="Arial"/>
                <w:sz w:val="15"/>
                <w:szCs w:val="15"/>
                <w:color w:val="auto"/>
              </w:rPr>
              <w:t>49</w:t>
            </w:r>
          </w:p>
        </w:tc>
        <w:tc>
          <w:tcPr>
            <w:tcW w:w="80" w:type="dxa"/>
            <w:vAlign w:val="bottom"/>
          </w:tcPr>
          <w:p>
            <w:pPr>
              <w:spacing w:after="0"/>
              <w:rPr>
                <w:sz w:val="16"/>
                <w:szCs w:val="16"/>
                <w:color w:val="auto"/>
              </w:rPr>
            </w:pPr>
          </w:p>
        </w:tc>
        <w:tc>
          <w:tcPr>
            <w:tcW w:w="100" w:type="dxa"/>
            <w:vAlign w:val="bottom"/>
            <w:tcBorders>
              <w:bottom w:val="single" w:sz="8" w:color="98A3B8"/>
            </w:tcBorders>
          </w:tcPr>
          <w:p>
            <w:pPr>
              <w:spacing w:after="0"/>
              <w:rPr>
                <w:sz w:val="16"/>
                <w:szCs w:val="16"/>
                <w:color w:val="auto"/>
              </w:rPr>
            </w:pPr>
          </w:p>
        </w:tc>
        <w:tc>
          <w:tcPr>
            <w:tcW w:w="720" w:type="dxa"/>
            <w:vAlign w:val="bottom"/>
            <w:tcBorders>
              <w:bottom w:val="single" w:sz="8" w:color="98A3B8"/>
            </w:tcBorders>
          </w:tcPr>
          <w:p>
            <w:pPr>
              <w:jc w:val="right"/>
              <w:ind w:right="4"/>
              <w:spacing w:after="0"/>
              <w:rPr>
                <w:sz w:val="20"/>
                <w:szCs w:val="20"/>
                <w:color w:val="auto"/>
              </w:rPr>
            </w:pPr>
            <w:r>
              <w:rPr>
                <w:rFonts w:ascii="Arial" w:cs="Arial" w:eastAsia="Arial" w:hAnsi="Arial"/>
                <w:sz w:val="15"/>
                <w:szCs w:val="15"/>
                <w:color w:val="auto"/>
              </w:rPr>
              <w:t>32,365</w:t>
            </w:r>
          </w:p>
        </w:tc>
        <w:tc>
          <w:tcPr>
            <w:tcW w:w="100" w:type="dxa"/>
            <w:vAlign w:val="bottom"/>
          </w:tcPr>
          <w:p>
            <w:pPr>
              <w:spacing w:after="0"/>
              <w:rPr>
                <w:sz w:val="16"/>
                <w:szCs w:val="16"/>
                <w:color w:val="auto"/>
              </w:rPr>
            </w:pPr>
          </w:p>
        </w:tc>
        <w:tc>
          <w:tcPr>
            <w:tcW w:w="100" w:type="dxa"/>
            <w:vAlign w:val="bottom"/>
            <w:tcBorders>
              <w:bottom w:val="single" w:sz="8" w:color="98A3B8"/>
            </w:tcBorders>
          </w:tcPr>
          <w:p>
            <w:pPr>
              <w:spacing w:after="0"/>
              <w:rPr>
                <w:sz w:val="16"/>
                <w:szCs w:val="16"/>
                <w:color w:val="auto"/>
              </w:rPr>
            </w:pPr>
          </w:p>
        </w:tc>
        <w:tc>
          <w:tcPr>
            <w:tcW w:w="660" w:type="dxa"/>
            <w:vAlign w:val="bottom"/>
            <w:tcBorders>
              <w:bottom w:val="single" w:sz="8" w:color="98A3B8"/>
            </w:tcBorders>
          </w:tcPr>
          <w:p>
            <w:pPr>
              <w:jc w:val="right"/>
              <w:ind w:right="26"/>
              <w:spacing w:after="0"/>
              <w:rPr>
                <w:sz w:val="20"/>
                <w:szCs w:val="20"/>
                <w:color w:val="auto"/>
              </w:rPr>
            </w:pPr>
            <w:r>
              <w:rPr>
                <w:rFonts w:ascii="Arial" w:cs="Arial" w:eastAsia="Arial" w:hAnsi="Arial"/>
                <w:sz w:val="15"/>
                <w:szCs w:val="15"/>
                <w:color w:val="auto"/>
              </w:rPr>
              <w:t>497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98A3B8"/>
            </w:tcBorders>
          </w:tcPr>
          <w:p>
            <w:pPr>
              <w:spacing w:after="0"/>
              <w:rPr>
                <w:sz w:val="16"/>
                <w:szCs w:val="16"/>
                <w:color w:val="auto"/>
              </w:rPr>
            </w:pPr>
          </w:p>
        </w:tc>
        <w:tc>
          <w:tcPr>
            <w:tcW w:w="660" w:type="dxa"/>
            <w:vAlign w:val="bottom"/>
            <w:tcBorders>
              <w:bottom w:val="single" w:sz="8" w:color="98A3B8"/>
            </w:tcBorders>
          </w:tcPr>
          <w:p>
            <w:pPr>
              <w:jc w:val="right"/>
              <w:ind w:right="24"/>
              <w:spacing w:after="0"/>
              <w:rPr>
                <w:sz w:val="20"/>
                <w:szCs w:val="20"/>
                <w:color w:val="auto"/>
              </w:rPr>
            </w:pPr>
            <w:r>
              <w:rPr>
                <w:rFonts w:ascii="Arial" w:cs="Arial" w:eastAsia="Arial" w:hAnsi="Arial"/>
                <w:sz w:val="15"/>
                <w:szCs w:val="15"/>
                <w:color w:val="auto"/>
              </w:rPr>
              <w:t>3,382</w:t>
            </w:r>
          </w:p>
        </w:tc>
        <w:tc>
          <w:tcPr>
            <w:tcW w:w="80" w:type="dxa"/>
            <w:vAlign w:val="bottom"/>
          </w:tcPr>
          <w:p>
            <w:pPr>
              <w:spacing w:after="0"/>
              <w:rPr>
                <w:sz w:val="16"/>
                <w:szCs w:val="16"/>
                <w:color w:val="auto"/>
              </w:rPr>
            </w:pPr>
          </w:p>
        </w:tc>
        <w:tc>
          <w:tcPr>
            <w:tcW w:w="100" w:type="dxa"/>
            <w:vAlign w:val="bottom"/>
            <w:tcBorders>
              <w:bottom w:val="single" w:sz="8" w:color="98A3B8"/>
            </w:tcBorders>
          </w:tcPr>
          <w:p>
            <w:pPr>
              <w:spacing w:after="0"/>
              <w:rPr>
                <w:sz w:val="16"/>
                <w:szCs w:val="16"/>
                <w:color w:val="auto"/>
              </w:rPr>
            </w:pPr>
          </w:p>
        </w:tc>
        <w:tc>
          <w:tcPr>
            <w:tcW w:w="800" w:type="dxa"/>
            <w:vAlign w:val="bottom"/>
            <w:tcBorders>
              <w:bottom w:val="single" w:sz="8" w:color="98A3B8"/>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98A3B8"/>
            </w:tcBorders>
          </w:tcPr>
          <w:p>
            <w:pPr>
              <w:spacing w:after="0"/>
              <w:rPr>
                <w:sz w:val="16"/>
                <w:szCs w:val="16"/>
                <w:color w:val="auto"/>
              </w:rPr>
            </w:pPr>
          </w:p>
        </w:tc>
        <w:tc>
          <w:tcPr>
            <w:tcW w:w="720" w:type="dxa"/>
            <w:vAlign w:val="bottom"/>
            <w:tcBorders>
              <w:bottom w:val="single" w:sz="8" w:color="98A3B8"/>
            </w:tcBorders>
          </w:tcPr>
          <w:p>
            <w:pPr>
              <w:spacing w:after="0"/>
              <w:rPr>
                <w:sz w:val="16"/>
                <w:szCs w:val="16"/>
                <w:color w:val="auto"/>
              </w:rPr>
            </w:pPr>
          </w:p>
        </w:tc>
      </w:tr>
      <w:tr>
        <w:trPr>
          <w:trHeight w:val="217"/>
        </w:trPr>
        <w:tc>
          <w:tcPr>
            <w:tcW w:w="5920" w:type="dxa"/>
            <w:vAlign w:val="bottom"/>
            <w:tcBorders>
              <w:bottom w:val="single" w:sz="8" w:color="98A3B8"/>
            </w:tcBorders>
            <w:gridSpan w:val="2"/>
          </w:tcPr>
          <w:p>
            <w:pPr>
              <w:spacing w:after="0"/>
              <w:rPr>
                <w:sz w:val="20"/>
                <w:szCs w:val="20"/>
                <w:color w:val="auto"/>
              </w:rPr>
            </w:pPr>
            <w:r>
              <w:rPr>
                <w:rFonts w:ascii="Arial" w:cs="Arial" w:eastAsia="Arial" w:hAnsi="Arial"/>
                <w:sz w:val="15"/>
                <w:szCs w:val="15"/>
                <w:b w:val="1"/>
                <w:bCs w:val="1"/>
                <w:color w:val="auto"/>
              </w:rPr>
              <w:t>Net operating income (NOI)</w:t>
            </w:r>
          </w:p>
        </w:tc>
        <w:tc>
          <w:tcPr>
            <w:tcW w:w="100" w:type="dxa"/>
            <w:vAlign w:val="bottom"/>
          </w:tcPr>
          <w:p>
            <w:pPr>
              <w:spacing w:after="0"/>
              <w:rPr>
                <w:sz w:val="18"/>
                <w:szCs w:val="18"/>
                <w:color w:val="auto"/>
              </w:rPr>
            </w:pPr>
          </w:p>
        </w:tc>
        <w:tc>
          <w:tcPr>
            <w:tcW w:w="100" w:type="dxa"/>
            <w:vAlign w:val="bottom"/>
            <w:tcBorders>
              <w:bottom w:val="single" w:sz="8" w:color="98A3B8"/>
            </w:tcBorders>
          </w:tcPr>
          <w:p>
            <w:pPr>
              <w:spacing w:after="0"/>
              <w:rPr>
                <w:sz w:val="18"/>
                <w:szCs w:val="18"/>
                <w:color w:val="auto"/>
              </w:rPr>
            </w:pPr>
          </w:p>
        </w:tc>
        <w:tc>
          <w:tcPr>
            <w:tcW w:w="800" w:type="dxa"/>
            <w:vAlign w:val="bottom"/>
            <w:tcBorders>
              <w:bottom w:val="single" w:sz="8" w:color="98A3B8"/>
            </w:tcBorders>
          </w:tcPr>
          <w:p>
            <w:pPr>
              <w:jc w:val="right"/>
              <w:ind w:right="26"/>
              <w:spacing w:after="0"/>
              <w:rPr>
                <w:sz w:val="20"/>
                <w:szCs w:val="20"/>
                <w:color w:val="auto"/>
              </w:rPr>
            </w:pPr>
            <w:r>
              <w:rPr>
                <w:rFonts w:ascii="Arial" w:cs="Arial" w:eastAsia="Arial" w:hAnsi="Arial"/>
                <w:sz w:val="15"/>
                <w:szCs w:val="15"/>
                <w:color w:val="auto"/>
              </w:rPr>
              <w:t>900,213</w:t>
            </w:r>
          </w:p>
        </w:tc>
        <w:tc>
          <w:tcPr>
            <w:tcW w:w="80" w:type="dxa"/>
            <w:vAlign w:val="bottom"/>
          </w:tcPr>
          <w:p>
            <w:pPr>
              <w:spacing w:after="0"/>
              <w:rPr>
                <w:sz w:val="18"/>
                <w:szCs w:val="18"/>
                <w:color w:val="auto"/>
              </w:rPr>
            </w:pPr>
          </w:p>
        </w:tc>
        <w:tc>
          <w:tcPr>
            <w:tcW w:w="100" w:type="dxa"/>
            <w:vAlign w:val="bottom"/>
            <w:tcBorders>
              <w:bottom w:val="single" w:sz="8" w:color="98A3B8"/>
            </w:tcBorders>
          </w:tcPr>
          <w:p>
            <w:pPr>
              <w:spacing w:after="0"/>
              <w:rPr>
                <w:sz w:val="18"/>
                <w:szCs w:val="18"/>
                <w:color w:val="auto"/>
              </w:rPr>
            </w:pPr>
          </w:p>
        </w:tc>
        <w:tc>
          <w:tcPr>
            <w:tcW w:w="720" w:type="dxa"/>
            <w:vAlign w:val="bottom"/>
            <w:tcBorders>
              <w:bottom w:val="single" w:sz="8" w:color="98A3B8"/>
            </w:tcBorders>
          </w:tcPr>
          <w:p>
            <w:pPr>
              <w:jc w:val="right"/>
              <w:ind w:right="4"/>
              <w:spacing w:after="0"/>
              <w:rPr>
                <w:sz w:val="20"/>
                <w:szCs w:val="20"/>
                <w:color w:val="auto"/>
              </w:rPr>
            </w:pPr>
            <w:r>
              <w:rPr>
                <w:rFonts w:ascii="Arial" w:cs="Arial" w:eastAsia="Arial" w:hAnsi="Arial"/>
                <w:sz w:val="15"/>
                <w:szCs w:val="15"/>
                <w:color w:val="auto"/>
              </w:rPr>
              <w:t>807,478</w:t>
            </w:r>
          </w:p>
        </w:tc>
        <w:tc>
          <w:tcPr>
            <w:tcW w:w="100" w:type="dxa"/>
            <w:vAlign w:val="bottom"/>
          </w:tcPr>
          <w:p>
            <w:pPr>
              <w:spacing w:after="0"/>
              <w:rPr>
                <w:sz w:val="18"/>
                <w:szCs w:val="18"/>
                <w:color w:val="auto"/>
              </w:rPr>
            </w:pPr>
          </w:p>
        </w:tc>
        <w:tc>
          <w:tcPr>
            <w:tcW w:w="100" w:type="dxa"/>
            <w:vAlign w:val="bottom"/>
            <w:tcBorders>
              <w:bottom w:val="single" w:sz="8" w:color="98A3B8"/>
            </w:tcBorders>
          </w:tcPr>
          <w:p>
            <w:pPr>
              <w:spacing w:after="0"/>
              <w:rPr>
                <w:sz w:val="18"/>
                <w:szCs w:val="18"/>
                <w:color w:val="auto"/>
              </w:rPr>
            </w:pPr>
          </w:p>
        </w:tc>
        <w:tc>
          <w:tcPr>
            <w:tcW w:w="660" w:type="dxa"/>
            <w:vAlign w:val="bottom"/>
            <w:tcBorders>
              <w:bottom w:val="single" w:sz="8" w:color="98A3B8"/>
            </w:tcBorders>
          </w:tcPr>
          <w:p>
            <w:pPr>
              <w:jc w:val="right"/>
              <w:ind w:right="26"/>
              <w:spacing w:after="0"/>
              <w:rPr>
                <w:sz w:val="20"/>
                <w:szCs w:val="20"/>
                <w:color w:val="auto"/>
              </w:rPr>
            </w:pPr>
            <w:r>
              <w:rPr>
                <w:rFonts w:ascii="Arial" w:cs="Arial" w:eastAsia="Arial" w:hAnsi="Arial"/>
                <w:sz w:val="15"/>
                <w:szCs w:val="15"/>
                <w:color w:val="auto"/>
                <w:w w:val="99"/>
              </w:rPr>
              <w:t>126,426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98A3B8"/>
            </w:tcBorders>
          </w:tcPr>
          <w:p>
            <w:pPr>
              <w:spacing w:after="0"/>
              <w:rPr>
                <w:sz w:val="18"/>
                <w:szCs w:val="18"/>
                <w:color w:val="auto"/>
              </w:rPr>
            </w:pPr>
          </w:p>
        </w:tc>
        <w:tc>
          <w:tcPr>
            <w:tcW w:w="660" w:type="dxa"/>
            <w:vAlign w:val="bottom"/>
            <w:tcBorders>
              <w:bottom w:val="single" w:sz="8" w:color="98A3B8"/>
            </w:tcBorders>
          </w:tcPr>
          <w:p>
            <w:pPr>
              <w:jc w:val="right"/>
              <w:ind w:right="24"/>
              <w:spacing w:after="0"/>
              <w:rPr>
                <w:sz w:val="20"/>
                <w:szCs w:val="20"/>
                <w:color w:val="auto"/>
              </w:rPr>
            </w:pPr>
            <w:r>
              <w:rPr>
                <w:rFonts w:ascii="Arial" w:cs="Arial" w:eastAsia="Arial" w:hAnsi="Arial"/>
                <w:sz w:val="15"/>
                <w:szCs w:val="15"/>
                <w:color w:val="auto"/>
                <w:w w:val="99"/>
              </w:rPr>
              <w:t>141,080</w:t>
            </w:r>
          </w:p>
        </w:tc>
        <w:tc>
          <w:tcPr>
            <w:tcW w:w="80" w:type="dxa"/>
            <w:vAlign w:val="bottom"/>
          </w:tcPr>
          <w:p>
            <w:pPr>
              <w:spacing w:after="0"/>
              <w:rPr>
                <w:sz w:val="18"/>
                <w:szCs w:val="18"/>
                <w:color w:val="auto"/>
              </w:rPr>
            </w:pPr>
          </w:p>
        </w:tc>
        <w:tc>
          <w:tcPr>
            <w:tcW w:w="1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98A3B8"/>
            </w:tcBorders>
          </w:tcPr>
          <w:p>
            <w:pPr>
              <w:jc w:val="right"/>
              <w:ind w:right="29"/>
              <w:spacing w:after="0"/>
              <w:rPr>
                <w:sz w:val="20"/>
                <w:szCs w:val="20"/>
                <w:color w:val="auto"/>
              </w:rPr>
            </w:pPr>
            <w:r>
              <w:rPr>
                <w:rFonts w:ascii="Arial" w:cs="Arial" w:eastAsia="Arial" w:hAnsi="Arial"/>
                <w:sz w:val="15"/>
                <w:szCs w:val="15"/>
                <w:color w:val="auto"/>
              </w:rPr>
              <w:t>1,026,639</w:t>
            </w:r>
          </w:p>
        </w:tc>
        <w:tc>
          <w:tcPr>
            <w:tcW w:w="100" w:type="dxa"/>
            <w:vAlign w:val="bottom"/>
          </w:tcPr>
          <w:p>
            <w:pPr>
              <w:spacing w:after="0"/>
              <w:rPr>
                <w:sz w:val="18"/>
                <w:szCs w:val="18"/>
                <w:color w:val="auto"/>
              </w:rPr>
            </w:pPr>
          </w:p>
        </w:tc>
        <w:tc>
          <w:tcPr>
            <w:tcW w:w="1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98A3B8"/>
            </w:tcBorders>
          </w:tcPr>
          <w:p>
            <w:pPr>
              <w:jc w:val="right"/>
              <w:ind w:right="25"/>
              <w:spacing w:after="0"/>
              <w:rPr>
                <w:sz w:val="20"/>
                <w:szCs w:val="20"/>
                <w:color w:val="auto"/>
              </w:rPr>
            </w:pPr>
            <w:r>
              <w:rPr>
                <w:rFonts w:ascii="Arial" w:cs="Arial" w:eastAsia="Arial" w:hAnsi="Arial"/>
                <w:sz w:val="15"/>
                <w:szCs w:val="15"/>
                <w:color w:val="auto"/>
              </w:rPr>
              <w:t>948,558</w:t>
            </w:r>
          </w:p>
        </w:tc>
      </w:tr>
      <w:tr>
        <w:trPr>
          <w:trHeight w:val="217"/>
        </w:trPr>
        <w:tc>
          <w:tcPr>
            <w:tcW w:w="5920" w:type="dxa"/>
            <w:vAlign w:val="bottom"/>
            <w:gridSpan w:val="2"/>
          </w:tcPr>
          <w:p>
            <w:pPr>
              <w:spacing w:after="0"/>
              <w:rPr>
                <w:sz w:val="20"/>
                <w:szCs w:val="20"/>
                <w:color w:val="auto"/>
              </w:rPr>
            </w:pPr>
            <w:r>
              <w:rPr>
                <w:rFonts w:ascii="Arial" w:cs="Arial" w:eastAsia="Arial" w:hAnsi="Arial"/>
                <w:sz w:val="15"/>
                <w:szCs w:val="15"/>
                <w:color w:val="auto"/>
              </w:rPr>
              <w:t>NOI from discontinued operations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(37,790)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(37,790)</w:t>
            </w:r>
          </w:p>
        </w:tc>
      </w:tr>
      <w:tr>
        <w:trPr>
          <w:trHeight w:val="217"/>
        </w:trPr>
        <w:tc>
          <w:tcPr>
            <w:tcW w:w="5920" w:type="dxa"/>
            <w:vAlign w:val="bottom"/>
            <w:tcBorders>
              <w:top w:val="single" w:sz="8" w:color="98A3B8"/>
              <w:bottom w:val="single" w:sz="8" w:color="98A3B8"/>
            </w:tcBorders>
            <w:gridSpan w:val="2"/>
          </w:tcPr>
          <w:p>
            <w:pPr>
              <w:spacing w:after="0"/>
              <w:rPr>
                <w:sz w:val="20"/>
                <w:szCs w:val="20"/>
                <w:color w:val="auto"/>
              </w:rPr>
            </w:pPr>
            <w:r>
              <w:rPr>
                <w:rFonts w:ascii="Arial" w:cs="Arial" w:eastAsia="Arial" w:hAnsi="Arial"/>
                <w:sz w:val="15"/>
                <w:szCs w:val="15"/>
                <w:color w:val="auto"/>
              </w:rPr>
              <w:t>NOI from other properties/affiliates</w:t>
            </w:r>
          </w:p>
        </w:tc>
        <w:tc>
          <w:tcPr>
            <w:tcW w:w="100" w:type="dxa"/>
            <w:vAlign w:val="bottom"/>
          </w:tcPr>
          <w:p>
            <w:pPr>
              <w:spacing w:after="0"/>
              <w:rPr>
                <w:sz w:val="18"/>
                <w:szCs w:val="18"/>
                <w:color w:val="auto"/>
              </w:rPr>
            </w:pPr>
          </w:p>
        </w:tc>
        <w:tc>
          <w:tcPr>
            <w:tcW w:w="100" w:type="dxa"/>
            <w:vAlign w:val="bottom"/>
            <w:tcBorders>
              <w:top w:val="single" w:sz="8" w:color="98A3B8"/>
              <w:bottom w:val="single" w:sz="8" w:color="98A3B8"/>
            </w:tcBorders>
          </w:tcPr>
          <w:p>
            <w:pPr>
              <w:spacing w:after="0"/>
              <w:rPr>
                <w:sz w:val="18"/>
                <w:szCs w:val="18"/>
                <w:color w:val="auto"/>
              </w:rPr>
            </w:pPr>
          </w:p>
        </w:tc>
        <w:tc>
          <w:tcPr>
            <w:tcW w:w="800" w:type="dxa"/>
            <w:vAlign w:val="bottom"/>
            <w:tcBorders>
              <w:top w:val="single" w:sz="8" w:color="98A3B8"/>
              <w:bottom w:val="single" w:sz="8" w:color="98A3B8"/>
            </w:tcBorders>
          </w:tcPr>
          <w:p>
            <w:pPr>
              <w:jc w:val="right"/>
              <w:spacing w:after="0"/>
              <w:rPr>
                <w:sz w:val="20"/>
                <w:szCs w:val="20"/>
                <w:color w:val="auto"/>
              </w:rPr>
            </w:pPr>
            <w:r>
              <w:rPr>
                <w:rFonts w:ascii="Arial" w:cs="Arial" w:eastAsia="Arial" w:hAnsi="Arial"/>
                <w:sz w:val="15"/>
                <w:szCs w:val="15"/>
                <w:color w:val="auto"/>
              </w:rPr>
              <w:t>(210,584)</w:t>
            </w:r>
          </w:p>
        </w:tc>
        <w:tc>
          <w:tcPr>
            <w:tcW w:w="80" w:type="dxa"/>
            <w:vAlign w:val="bottom"/>
          </w:tcPr>
          <w:p>
            <w:pPr>
              <w:spacing w:after="0"/>
              <w:rPr>
                <w:sz w:val="18"/>
                <w:szCs w:val="18"/>
                <w:color w:val="auto"/>
              </w:rPr>
            </w:pPr>
          </w:p>
        </w:tc>
        <w:tc>
          <w:tcPr>
            <w:tcW w:w="100" w:type="dxa"/>
            <w:vAlign w:val="bottom"/>
            <w:tcBorders>
              <w:top w:val="single" w:sz="8" w:color="98A3B8"/>
              <w:bottom w:val="single" w:sz="8" w:color="98A3B8"/>
            </w:tcBorders>
          </w:tcPr>
          <w:p>
            <w:pPr>
              <w:spacing w:after="0"/>
              <w:rPr>
                <w:sz w:val="18"/>
                <w:szCs w:val="18"/>
                <w:color w:val="auto"/>
              </w:rPr>
            </w:pPr>
          </w:p>
        </w:tc>
        <w:tc>
          <w:tcPr>
            <w:tcW w:w="720" w:type="dxa"/>
            <w:vAlign w:val="bottom"/>
            <w:tcBorders>
              <w:top w:val="single" w:sz="8" w:color="98A3B8"/>
              <w:bottom w:val="single" w:sz="8" w:color="98A3B8"/>
            </w:tcBorders>
          </w:tcPr>
          <w:p>
            <w:pPr>
              <w:jc w:val="right"/>
              <w:spacing w:after="0"/>
              <w:rPr>
                <w:sz w:val="20"/>
                <w:szCs w:val="20"/>
                <w:color w:val="auto"/>
              </w:rPr>
            </w:pPr>
            <w:r>
              <w:rPr>
                <w:rFonts w:ascii="Arial" w:cs="Arial" w:eastAsia="Arial" w:hAnsi="Arial"/>
                <w:sz w:val="15"/>
                <w:szCs w:val="15"/>
                <w:color w:val="auto"/>
              </w:rPr>
              <w:t>(114,361)</w:t>
            </w:r>
          </w:p>
        </w:tc>
        <w:tc>
          <w:tcPr>
            <w:tcW w:w="100" w:type="dxa"/>
            <w:vAlign w:val="bottom"/>
          </w:tcPr>
          <w:p>
            <w:pPr>
              <w:spacing w:after="0"/>
              <w:rPr>
                <w:sz w:val="18"/>
                <w:szCs w:val="18"/>
                <w:color w:val="auto"/>
              </w:rPr>
            </w:pPr>
          </w:p>
        </w:tc>
        <w:tc>
          <w:tcPr>
            <w:tcW w:w="100" w:type="dxa"/>
            <w:vAlign w:val="bottom"/>
            <w:tcBorders>
              <w:top w:val="single" w:sz="8" w:color="98A3B8"/>
              <w:bottom w:val="single" w:sz="8" w:color="98A3B8"/>
            </w:tcBorders>
          </w:tcPr>
          <w:p>
            <w:pPr>
              <w:spacing w:after="0"/>
              <w:rPr>
                <w:sz w:val="18"/>
                <w:szCs w:val="18"/>
                <w:color w:val="auto"/>
              </w:rPr>
            </w:pPr>
          </w:p>
        </w:tc>
        <w:tc>
          <w:tcPr>
            <w:tcW w:w="660" w:type="dxa"/>
            <w:vAlign w:val="bottom"/>
            <w:tcBorders>
              <w:top w:val="single" w:sz="8" w:color="98A3B8"/>
              <w:bottom w:val="single" w:sz="8" w:color="98A3B8"/>
            </w:tcBorders>
          </w:tcPr>
          <w:p>
            <w:pPr>
              <w:jc w:val="right"/>
              <w:spacing w:after="0"/>
              <w:rPr>
                <w:sz w:val="20"/>
                <w:szCs w:val="20"/>
                <w:color w:val="auto"/>
              </w:rPr>
            </w:pPr>
            <w:r>
              <w:rPr>
                <w:rFonts w:ascii="Arial" w:cs="Arial" w:eastAsia="Arial" w:hAnsi="Arial"/>
                <w:sz w:val="15"/>
                <w:szCs w:val="15"/>
                <w:color w:val="auto"/>
              </w:rPr>
              <w:t>(44,943)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98A3B8"/>
              <w:bottom w:val="single" w:sz="8" w:color="98A3B8"/>
            </w:tcBorders>
          </w:tcPr>
          <w:p>
            <w:pPr>
              <w:spacing w:after="0"/>
              <w:rPr>
                <w:sz w:val="18"/>
                <w:szCs w:val="18"/>
                <w:color w:val="auto"/>
              </w:rPr>
            </w:pPr>
          </w:p>
        </w:tc>
        <w:tc>
          <w:tcPr>
            <w:tcW w:w="660" w:type="dxa"/>
            <w:vAlign w:val="bottom"/>
            <w:tcBorders>
              <w:top w:val="single" w:sz="8" w:color="98A3B8"/>
              <w:bottom w:val="single" w:sz="8" w:color="98A3B8"/>
            </w:tcBorders>
          </w:tcPr>
          <w:p>
            <w:pPr>
              <w:jc w:val="right"/>
              <w:spacing w:after="0"/>
              <w:rPr>
                <w:sz w:val="20"/>
                <w:szCs w:val="20"/>
                <w:color w:val="auto"/>
              </w:rPr>
            </w:pPr>
            <w:r>
              <w:rPr>
                <w:rFonts w:ascii="Arial" w:cs="Arial" w:eastAsia="Arial" w:hAnsi="Arial"/>
                <w:sz w:val="15"/>
                <w:szCs w:val="15"/>
                <w:color w:val="auto"/>
              </w:rPr>
              <w:t>(62,229)</w:t>
            </w:r>
          </w:p>
        </w:tc>
        <w:tc>
          <w:tcPr>
            <w:tcW w:w="80" w:type="dxa"/>
            <w:vAlign w:val="bottom"/>
          </w:tcPr>
          <w:p>
            <w:pPr>
              <w:spacing w:after="0"/>
              <w:rPr>
                <w:sz w:val="18"/>
                <w:szCs w:val="18"/>
                <w:color w:val="auto"/>
              </w:rPr>
            </w:pPr>
          </w:p>
        </w:tc>
        <w:tc>
          <w:tcPr>
            <w:tcW w:w="100" w:type="dxa"/>
            <w:vAlign w:val="bottom"/>
            <w:tcBorders>
              <w:top w:val="single" w:sz="8" w:color="98A3B8"/>
              <w:bottom w:val="single" w:sz="8" w:color="98A3B8"/>
            </w:tcBorders>
          </w:tcPr>
          <w:p>
            <w:pPr>
              <w:spacing w:after="0"/>
              <w:rPr>
                <w:sz w:val="18"/>
                <w:szCs w:val="18"/>
                <w:color w:val="auto"/>
              </w:rPr>
            </w:pPr>
          </w:p>
        </w:tc>
        <w:tc>
          <w:tcPr>
            <w:tcW w:w="800" w:type="dxa"/>
            <w:vAlign w:val="bottom"/>
            <w:tcBorders>
              <w:top w:val="single" w:sz="8" w:color="98A3B8"/>
              <w:bottom w:val="single" w:sz="8" w:color="98A3B8"/>
            </w:tcBorders>
          </w:tcPr>
          <w:p>
            <w:pPr>
              <w:jc w:val="right"/>
              <w:spacing w:after="0"/>
              <w:rPr>
                <w:sz w:val="20"/>
                <w:szCs w:val="20"/>
                <w:color w:val="auto"/>
              </w:rPr>
            </w:pPr>
            <w:r>
              <w:rPr>
                <w:rFonts w:ascii="Arial" w:cs="Arial" w:eastAsia="Arial" w:hAnsi="Arial"/>
                <w:sz w:val="15"/>
                <w:szCs w:val="15"/>
                <w:color w:val="auto"/>
              </w:rPr>
              <w:t>(255,527)</w:t>
            </w:r>
          </w:p>
        </w:tc>
        <w:tc>
          <w:tcPr>
            <w:tcW w:w="100" w:type="dxa"/>
            <w:vAlign w:val="bottom"/>
          </w:tcPr>
          <w:p>
            <w:pPr>
              <w:spacing w:after="0"/>
              <w:rPr>
                <w:sz w:val="18"/>
                <w:szCs w:val="18"/>
                <w:color w:val="auto"/>
              </w:rPr>
            </w:pPr>
          </w:p>
        </w:tc>
        <w:tc>
          <w:tcPr>
            <w:tcW w:w="100" w:type="dxa"/>
            <w:vAlign w:val="bottom"/>
            <w:tcBorders>
              <w:top w:val="single" w:sz="8" w:color="98A3B8"/>
              <w:bottom w:val="single" w:sz="8" w:color="98A3B8"/>
            </w:tcBorders>
          </w:tcPr>
          <w:p>
            <w:pPr>
              <w:spacing w:after="0"/>
              <w:rPr>
                <w:sz w:val="18"/>
                <w:szCs w:val="18"/>
                <w:color w:val="auto"/>
              </w:rPr>
            </w:pPr>
          </w:p>
        </w:tc>
        <w:tc>
          <w:tcPr>
            <w:tcW w:w="720" w:type="dxa"/>
            <w:vAlign w:val="bottom"/>
            <w:tcBorders>
              <w:top w:val="single" w:sz="8" w:color="98A3B8"/>
              <w:bottom w:val="single" w:sz="8" w:color="98A3B8"/>
            </w:tcBorders>
          </w:tcPr>
          <w:p>
            <w:pPr>
              <w:jc w:val="right"/>
              <w:spacing w:after="0"/>
              <w:rPr>
                <w:sz w:val="20"/>
                <w:szCs w:val="20"/>
                <w:color w:val="auto"/>
              </w:rPr>
            </w:pPr>
            <w:r>
              <w:rPr>
                <w:rFonts w:ascii="Arial" w:cs="Arial" w:eastAsia="Arial" w:hAnsi="Arial"/>
                <w:sz w:val="15"/>
                <w:szCs w:val="15"/>
                <w:color w:val="auto"/>
                <w:w w:val="99"/>
              </w:rPr>
              <w:t>(176,590)</w:t>
            </w:r>
          </w:p>
        </w:tc>
      </w:tr>
      <w:tr>
        <w:trPr>
          <w:trHeight w:val="217"/>
        </w:trPr>
        <w:tc>
          <w:tcPr>
            <w:tcW w:w="5920" w:type="dxa"/>
            <w:vAlign w:val="bottom"/>
            <w:gridSpan w:val="2"/>
          </w:tcPr>
          <w:p>
            <w:pPr>
              <w:spacing w:after="0"/>
              <w:rPr>
                <w:sz w:val="20"/>
                <w:szCs w:val="20"/>
                <w:color w:val="auto"/>
              </w:rPr>
            </w:pPr>
            <w:r>
              <w:rPr>
                <w:rFonts w:ascii="Arial" w:cs="Arial" w:eastAsia="Arial" w:hAnsi="Arial"/>
                <w:sz w:val="15"/>
                <w:szCs w:val="15"/>
                <w:b w:val="1"/>
                <w:bCs w:val="1"/>
                <w:color w:val="auto"/>
              </w:rPr>
              <w:t>Same-Store NOI</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6"/>
              <w:spacing w:after="0"/>
              <w:rPr>
                <w:sz w:val="20"/>
                <w:szCs w:val="20"/>
                <w:color w:val="auto"/>
              </w:rPr>
            </w:pPr>
            <w:r>
              <w:rPr>
                <w:rFonts w:ascii="Arial" w:cs="Arial" w:eastAsia="Arial" w:hAnsi="Arial"/>
                <w:sz w:val="15"/>
                <w:szCs w:val="15"/>
                <w:color w:val="auto"/>
              </w:rPr>
              <w:t>689,141</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655,327</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26"/>
              <w:spacing w:after="0"/>
              <w:rPr>
                <w:sz w:val="20"/>
                <w:szCs w:val="20"/>
                <w:color w:val="auto"/>
              </w:rPr>
            </w:pPr>
            <w:r>
              <w:rPr>
                <w:rFonts w:ascii="Arial" w:cs="Arial" w:eastAsia="Arial" w:hAnsi="Arial"/>
                <w:sz w:val="15"/>
                <w:szCs w:val="15"/>
                <w:color w:val="auto"/>
              </w:rPr>
              <w:t>81,483</w:t>
            </w:r>
          </w:p>
        </w:tc>
        <w:tc>
          <w:tcPr>
            <w:tcW w:w="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78,851</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29"/>
              <w:spacing w:after="0"/>
              <w:rPr>
                <w:sz w:val="20"/>
                <w:szCs w:val="20"/>
                <w:color w:val="auto"/>
              </w:rPr>
            </w:pPr>
            <w:r>
              <w:rPr>
                <w:rFonts w:ascii="Arial" w:cs="Arial" w:eastAsia="Arial" w:hAnsi="Arial"/>
                <w:sz w:val="15"/>
                <w:szCs w:val="15"/>
                <w:color w:val="auto"/>
              </w:rPr>
              <w:t>770,624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25"/>
              <w:spacing w:after="0"/>
              <w:rPr>
                <w:sz w:val="20"/>
                <w:szCs w:val="20"/>
                <w:color w:val="auto"/>
              </w:rPr>
            </w:pPr>
            <w:r>
              <w:rPr>
                <w:rFonts w:ascii="Arial" w:cs="Arial" w:eastAsia="Arial" w:hAnsi="Arial"/>
                <w:sz w:val="15"/>
                <w:szCs w:val="15"/>
                <w:color w:val="auto"/>
              </w:rPr>
              <w:t>734,178</w:t>
            </w:r>
          </w:p>
        </w:tc>
      </w:tr>
      <w:tr>
        <w:trPr>
          <w:trHeight w:val="203"/>
        </w:trPr>
        <w:tc>
          <w:tcPr>
            <w:tcW w:w="5920" w:type="dxa"/>
            <w:vAlign w:val="bottom"/>
            <w:tcBorders>
              <w:top w:val="single" w:sz="8" w:color="98A3B8"/>
            </w:tcBorders>
            <w:gridSpan w:val="2"/>
          </w:tcPr>
          <w:p>
            <w:pPr>
              <w:spacing w:after="0"/>
              <w:rPr>
                <w:sz w:val="20"/>
                <w:szCs w:val="20"/>
                <w:color w:val="auto"/>
              </w:rPr>
            </w:pPr>
            <w:r>
              <w:rPr>
                <w:rFonts w:ascii="Arial" w:cs="Arial" w:eastAsia="Arial" w:hAnsi="Arial"/>
                <w:sz w:val="15"/>
                <w:szCs w:val="15"/>
                <w:color w:val="auto"/>
              </w:rPr>
              <w:t>Ground lease straight-line</w:t>
            </w:r>
          </w:p>
        </w:tc>
        <w:tc>
          <w:tcPr>
            <w:tcW w:w="100" w:type="dxa"/>
            <w:vAlign w:val="bottom"/>
          </w:tcPr>
          <w:p>
            <w:pPr>
              <w:spacing w:after="0"/>
              <w:rPr>
                <w:sz w:val="17"/>
                <w:szCs w:val="17"/>
                <w:color w:val="auto"/>
              </w:rPr>
            </w:pPr>
          </w:p>
        </w:tc>
        <w:tc>
          <w:tcPr>
            <w:tcW w:w="100" w:type="dxa"/>
            <w:vAlign w:val="bottom"/>
            <w:tcBorders>
              <w:top w:val="single" w:sz="8" w:color="98A3B8"/>
            </w:tcBorders>
          </w:tcPr>
          <w:p>
            <w:pPr>
              <w:spacing w:after="0"/>
              <w:rPr>
                <w:sz w:val="17"/>
                <w:szCs w:val="17"/>
                <w:color w:val="auto"/>
              </w:rPr>
            </w:pPr>
          </w:p>
        </w:tc>
        <w:tc>
          <w:tcPr>
            <w:tcW w:w="800" w:type="dxa"/>
            <w:vAlign w:val="bottom"/>
            <w:tcBorders>
              <w:top w:val="single" w:sz="8" w:color="98A3B8"/>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98A3B8"/>
            </w:tcBorders>
          </w:tcPr>
          <w:p>
            <w:pPr>
              <w:spacing w:after="0"/>
              <w:rPr>
                <w:sz w:val="17"/>
                <w:szCs w:val="17"/>
                <w:color w:val="auto"/>
              </w:rPr>
            </w:pPr>
          </w:p>
        </w:tc>
        <w:tc>
          <w:tcPr>
            <w:tcW w:w="720" w:type="dxa"/>
            <w:vAlign w:val="bottom"/>
            <w:tcBorders>
              <w:top w:val="single" w:sz="8" w:color="98A3B8"/>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98A3B8"/>
            </w:tcBorders>
          </w:tcPr>
          <w:p>
            <w:pPr>
              <w:spacing w:after="0"/>
              <w:rPr>
                <w:sz w:val="17"/>
                <w:szCs w:val="17"/>
                <w:color w:val="auto"/>
              </w:rPr>
            </w:pPr>
          </w:p>
        </w:tc>
        <w:tc>
          <w:tcPr>
            <w:tcW w:w="660" w:type="dxa"/>
            <w:vAlign w:val="bottom"/>
            <w:tcBorders>
              <w:top w:val="single" w:sz="8" w:color="98A3B8"/>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98A3B8"/>
            </w:tcBorders>
          </w:tcPr>
          <w:p>
            <w:pPr>
              <w:spacing w:after="0"/>
              <w:rPr>
                <w:sz w:val="17"/>
                <w:szCs w:val="17"/>
                <w:color w:val="auto"/>
              </w:rPr>
            </w:pPr>
          </w:p>
        </w:tc>
        <w:tc>
          <w:tcPr>
            <w:tcW w:w="660" w:type="dxa"/>
            <w:vAlign w:val="bottom"/>
            <w:tcBorders>
              <w:top w:val="single" w:sz="8" w:color="98A3B8"/>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98A3B8"/>
            </w:tcBorders>
          </w:tcPr>
          <w:p>
            <w:pPr>
              <w:spacing w:after="0"/>
              <w:rPr>
                <w:sz w:val="17"/>
                <w:szCs w:val="17"/>
                <w:color w:val="auto"/>
              </w:rPr>
            </w:pPr>
          </w:p>
        </w:tc>
        <w:tc>
          <w:tcPr>
            <w:tcW w:w="800" w:type="dxa"/>
            <w:vAlign w:val="bottom"/>
            <w:tcBorders>
              <w:top w:val="single" w:sz="8" w:color="98A3B8"/>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98A3B8"/>
            </w:tcBorders>
          </w:tcPr>
          <w:p>
            <w:pPr>
              <w:spacing w:after="0"/>
              <w:rPr>
                <w:sz w:val="17"/>
                <w:szCs w:val="17"/>
                <w:color w:val="auto"/>
              </w:rPr>
            </w:pPr>
          </w:p>
        </w:tc>
        <w:tc>
          <w:tcPr>
            <w:tcW w:w="720" w:type="dxa"/>
            <w:vAlign w:val="bottom"/>
            <w:tcBorders>
              <w:top w:val="single" w:sz="8" w:color="98A3B8"/>
            </w:tcBorders>
          </w:tcPr>
          <w:p>
            <w:pPr>
              <w:spacing w:after="0"/>
              <w:rPr>
                <w:sz w:val="17"/>
                <w:szCs w:val="17"/>
                <w:color w:val="auto"/>
              </w:rPr>
            </w:pPr>
          </w:p>
        </w:tc>
      </w:tr>
      <w:tr>
        <w:trPr>
          <w:trHeight w:val="192"/>
        </w:trPr>
        <w:tc>
          <w:tcPr>
            <w:tcW w:w="5920" w:type="dxa"/>
            <w:vAlign w:val="bottom"/>
            <w:gridSpan w:val="2"/>
          </w:tcPr>
          <w:p>
            <w:pPr>
              <w:spacing w:after="0"/>
              <w:rPr>
                <w:sz w:val="20"/>
                <w:szCs w:val="20"/>
                <w:color w:val="auto"/>
              </w:rPr>
            </w:pPr>
            <w:r>
              <w:rPr>
                <w:rFonts w:ascii="Arial" w:cs="Arial" w:eastAsia="Arial" w:hAnsi="Arial"/>
                <w:sz w:val="15"/>
                <w:szCs w:val="15"/>
                <w:color w:val="auto"/>
              </w:rPr>
              <w:t>adjustment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6"/>
              <w:spacing w:after="0"/>
              <w:rPr>
                <w:sz w:val="20"/>
                <w:szCs w:val="20"/>
                <w:color w:val="auto"/>
              </w:rPr>
            </w:pPr>
            <w:r>
              <w:rPr>
                <w:rFonts w:ascii="Arial" w:cs="Arial" w:eastAsia="Arial" w:hAnsi="Arial"/>
                <w:sz w:val="15"/>
                <w:szCs w:val="15"/>
                <w:color w:val="auto"/>
              </w:rPr>
              <w:t>1,595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1,602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5"/>
                <w:szCs w:val="15"/>
                <w:color w:val="auto"/>
              </w:rPr>
              <w:t>1,595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25"/>
              <w:spacing w:after="0"/>
              <w:rPr>
                <w:sz w:val="20"/>
                <w:szCs w:val="20"/>
                <w:color w:val="auto"/>
              </w:rPr>
            </w:pPr>
            <w:r>
              <w:rPr>
                <w:rFonts w:ascii="Arial" w:cs="Arial" w:eastAsia="Arial" w:hAnsi="Arial"/>
                <w:sz w:val="15"/>
                <w:szCs w:val="15"/>
                <w:color w:val="auto"/>
              </w:rPr>
              <w:t>1,602</w:t>
            </w:r>
          </w:p>
        </w:tc>
      </w:tr>
      <w:tr>
        <w:trPr>
          <w:trHeight w:val="217"/>
        </w:trPr>
        <w:tc>
          <w:tcPr>
            <w:tcW w:w="5920" w:type="dxa"/>
            <w:vAlign w:val="bottom"/>
            <w:tcBorders>
              <w:top w:val="single" w:sz="8" w:color="98A3B8"/>
              <w:bottom w:val="single" w:sz="8" w:color="98A3B8"/>
            </w:tcBorders>
            <w:gridSpan w:val="2"/>
          </w:tcPr>
          <w:p>
            <w:pPr>
              <w:spacing w:after="0"/>
              <w:rPr>
                <w:sz w:val="20"/>
                <w:szCs w:val="20"/>
                <w:color w:val="auto"/>
              </w:rPr>
            </w:pPr>
            <w:r>
              <w:rPr>
                <w:rFonts w:ascii="Arial" w:cs="Arial" w:eastAsia="Arial" w:hAnsi="Arial"/>
                <w:sz w:val="15"/>
                <w:szCs w:val="15"/>
                <w:color w:val="auto"/>
              </w:rPr>
              <w:t>Straight-line and free rent</w:t>
            </w:r>
          </w:p>
        </w:tc>
        <w:tc>
          <w:tcPr>
            <w:tcW w:w="100" w:type="dxa"/>
            <w:vAlign w:val="bottom"/>
          </w:tcPr>
          <w:p>
            <w:pPr>
              <w:spacing w:after="0"/>
              <w:rPr>
                <w:sz w:val="18"/>
                <w:szCs w:val="18"/>
                <w:color w:val="auto"/>
              </w:rPr>
            </w:pPr>
          </w:p>
        </w:tc>
        <w:tc>
          <w:tcPr>
            <w:tcW w:w="100" w:type="dxa"/>
            <w:vAlign w:val="bottom"/>
            <w:tcBorders>
              <w:top w:val="single" w:sz="8" w:color="98A3B8"/>
              <w:bottom w:val="single" w:sz="8" w:color="98A3B8"/>
            </w:tcBorders>
          </w:tcPr>
          <w:p>
            <w:pPr>
              <w:spacing w:after="0"/>
              <w:rPr>
                <w:sz w:val="18"/>
                <w:szCs w:val="18"/>
                <w:color w:val="auto"/>
              </w:rPr>
            </w:pPr>
          </w:p>
        </w:tc>
        <w:tc>
          <w:tcPr>
            <w:tcW w:w="800" w:type="dxa"/>
            <w:vAlign w:val="bottom"/>
            <w:tcBorders>
              <w:top w:val="single" w:sz="8" w:color="98A3B8"/>
              <w:bottom w:val="single" w:sz="8" w:color="98A3B8"/>
            </w:tcBorders>
          </w:tcPr>
          <w:p>
            <w:pPr>
              <w:jc w:val="right"/>
              <w:spacing w:after="0"/>
              <w:rPr>
                <w:sz w:val="20"/>
                <w:szCs w:val="20"/>
                <w:color w:val="auto"/>
              </w:rPr>
            </w:pPr>
            <w:r>
              <w:rPr>
                <w:rFonts w:ascii="Arial" w:cs="Arial" w:eastAsia="Arial" w:hAnsi="Arial"/>
                <w:sz w:val="15"/>
                <w:szCs w:val="15"/>
                <w:color w:val="auto"/>
              </w:rPr>
              <w:t>(57,615)</w:t>
            </w:r>
          </w:p>
        </w:tc>
        <w:tc>
          <w:tcPr>
            <w:tcW w:w="80" w:type="dxa"/>
            <w:vAlign w:val="bottom"/>
          </w:tcPr>
          <w:p>
            <w:pPr>
              <w:spacing w:after="0"/>
              <w:rPr>
                <w:sz w:val="18"/>
                <w:szCs w:val="18"/>
                <w:color w:val="auto"/>
              </w:rPr>
            </w:pPr>
          </w:p>
        </w:tc>
        <w:tc>
          <w:tcPr>
            <w:tcW w:w="100" w:type="dxa"/>
            <w:vAlign w:val="bottom"/>
            <w:tcBorders>
              <w:top w:val="single" w:sz="8" w:color="98A3B8"/>
              <w:bottom w:val="single" w:sz="8" w:color="98A3B8"/>
            </w:tcBorders>
          </w:tcPr>
          <w:p>
            <w:pPr>
              <w:spacing w:after="0"/>
              <w:rPr>
                <w:sz w:val="18"/>
                <w:szCs w:val="18"/>
                <w:color w:val="auto"/>
              </w:rPr>
            </w:pPr>
          </w:p>
        </w:tc>
        <w:tc>
          <w:tcPr>
            <w:tcW w:w="720" w:type="dxa"/>
            <w:vAlign w:val="bottom"/>
            <w:tcBorders>
              <w:top w:val="single" w:sz="8" w:color="98A3B8"/>
              <w:bottom w:val="single" w:sz="8" w:color="98A3B8"/>
            </w:tcBorders>
          </w:tcPr>
          <w:p>
            <w:pPr>
              <w:jc w:val="right"/>
              <w:spacing w:after="0"/>
              <w:rPr>
                <w:sz w:val="20"/>
                <w:szCs w:val="20"/>
                <w:color w:val="auto"/>
              </w:rPr>
            </w:pPr>
            <w:r>
              <w:rPr>
                <w:rFonts w:ascii="Arial" w:cs="Arial" w:eastAsia="Arial" w:hAnsi="Arial"/>
                <w:sz w:val="15"/>
                <w:szCs w:val="15"/>
                <w:color w:val="auto"/>
              </w:rPr>
              <w:t>(46,210)</w:t>
            </w:r>
          </w:p>
        </w:tc>
        <w:tc>
          <w:tcPr>
            <w:tcW w:w="100" w:type="dxa"/>
            <w:vAlign w:val="bottom"/>
          </w:tcPr>
          <w:p>
            <w:pPr>
              <w:spacing w:after="0"/>
              <w:rPr>
                <w:sz w:val="18"/>
                <w:szCs w:val="18"/>
                <w:color w:val="auto"/>
              </w:rPr>
            </w:pPr>
          </w:p>
        </w:tc>
        <w:tc>
          <w:tcPr>
            <w:tcW w:w="100" w:type="dxa"/>
            <w:vAlign w:val="bottom"/>
            <w:tcBorders>
              <w:top w:val="single" w:sz="8" w:color="98A3B8"/>
              <w:bottom w:val="single" w:sz="8" w:color="98A3B8"/>
            </w:tcBorders>
          </w:tcPr>
          <w:p>
            <w:pPr>
              <w:spacing w:after="0"/>
              <w:rPr>
                <w:sz w:val="18"/>
                <w:szCs w:val="18"/>
                <w:color w:val="auto"/>
              </w:rPr>
            </w:pPr>
          </w:p>
        </w:tc>
        <w:tc>
          <w:tcPr>
            <w:tcW w:w="660" w:type="dxa"/>
            <w:vAlign w:val="bottom"/>
            <w:tcBorders>
              <w:top w:val="single" w:sz="8" w:color="98A3B8"/>
              <w:bottom w:val="single" w:sz="8" w:color="98A3B8"/>
            </w:tcBorders>
          </w:tcPr>
          <w:p>
            <w:pPr>
              <w:jc w:val="right"/>
              <w:spacing w:after="0"/>
              <w:rPr>
                <w:sz w:val="20"/>
                <w:szCs w:val="20"/>
                <w:color w:val="auto"/>
              </w:rPr>
            </w:pPr>
            <w:r>
              <w:rPr>
                <w:rFonts w:ascii="Arial" w:cs="Arial" w:eastAsia="Arial" w:hAnsi="Arial"/>
                <w:sz w:val="15"/>
                <w:szCs w:val="15"/>
                <w:color w:val="auto"/>
              </w:rPr>
              <w:t>(5,829)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98A3B8"/>
              <w:bottom w:val="single" w:sz="8" w:color="98A3B8"/>
            </w:tcBorders>
          </w:tcPr>
          <w:p>
            <w:pPr>
              <w:spacing w:after="0"/>
              <w:rPr>
                <w:sz w:val="18"/>
                <w:szCs w:val="18"/>
                <w:color w:val="auto"/>
              </w:rPr>
            </w:pPr>
          </w:p>
        </w:tc>
        <w:tc>
          <w:tcPr>
            <w:tcW w:w="660" w:type="dxa"/>
            <w:vAlign w:val="bottom"/>
            <w:tcBorders>
              <w:top w:val="single" w:sz="8" w:color="98A3B8"/>
              <w:bottom w:val="single" w:sz="8" w:color="98A3B8"/>
            </w:tcBorders>
          </w:tcPr>
          <w:p>
            <w:pPr>
              <w:jc w:val="right"/>
              <w:spacing w:after="0"/>
              <w:rPr>
                <w:sz w:val="20"/>
                <w:szCs w:val="20"/>
                <w:color w:val="auto"/>
              </w:rPr>
            </w:pPr>
            <w:r>
              <w:rPr>
                <w:rFonts w:ascii="Arial" w:cs="Arial" w:eastAsia="Arial" w:hAnsi="Arial"/>
                <w:sz w:val="15"/>
                <w:szCs w:val="15"/>
                <w:color w:val="auto"/>
              </w:rPr>
              <w:t>(7,471)</w:t>
            </w:r>
          </w:p>
        </w:tc>
        <w:tc>
          <w:tcPr>
            <w:tcW w:w="80" w:type="dxa"/>
            <w:vAlign w:val="bottom"/>
          </w:tcPr>
          <w:p>
            <w:pPr>
              <w:spacing w:after="0"/>
              <w:rPr>
                <w:sz w:val="18"/>
                <w:szCs w:val="18"/>
                <w:color w:val="auto"/>
              </w:rPr>
            </w:pPr>
          </w:p>
        </w:tc>
        <w:tc>
          <w:tcPr>
            <w:tcW w:w="100" w:type="dxa"/>
            <w:vAlign w:val="bottom"/>
            <w:tcBorders>
              <w:top w:val="single" w:sz="8" w:color="98A3B8"/>
              <w:bottom w:val="single" w:sz="8" w:color="98A3B8"/>
            </w:tcBorders>
          </w:tcPr>
          <w:p>
            <w:pPr>
              <w:spacing w:after="0"/>
              <w:rPr>
                <w:sz w:val="18"/>
                <w:szCs w:val="18"/>
                <w:color w:val="auto"/>
              </w:rPr>
            </w:pPr>
          </w:p>
        </w:tc>
        <w:tc>
          <w:tcPr>
            <w:tcW w:w="800" w:type="dxa"/>
            <w:vAlign w:val="bottom"/>
            <w:tcBorders>
              <w:top w:val="single" w:sz="8" w:color="98A3B8"/>
              <w:bottom w:val="single" w:sz="8" w:color="98A3B8"/>
            </w:tcBorders>
          </w:tcPr>
          <w:p>
            <w:pPr>
              <w:jc w:val="right"/>
              <w:spacing w:after="0"/>
              <w:rPr>
                <w:sz w:val="20"/>
                <w:szCs w:val="20"/>
                <w:color w:val="auto"/>
              </w:rPr>
            </w:pPr>
            <w:r>
              <w:rPr>
                <w:rFonts w:ascii="Arial" w:cs="Arial" w:eastAsia="Arial" w:hAnsi="Arial"/>
                <w:sz w:val="15"/>
                <w:szCs w:val="15"/>
                <w:color w:val="auto"/>
              </w:rPr>
              <w:t>(63,444)</w:t>
            </w:r>
          </w:p>
        </w:tc>
        <w:tc>
          <w:tcPr>
            <w:tcW w:w="100" w:type="dxa"/>
            <w:vAlign w:val="bottom"/>
          </w:tcPr>
          <w:p>
            <w:pPr>
              <w:spacing w:after="0"/>
              <w:rPr>
                <w:sz w:val="18"/>
                <w:szCs w:val="18"/>
                <w:color w:val="auto"/>
              </w:rPr>
            </w:pPr>
          </w:p>
        </w:tc>
        <w:tc>
          <w:tcPr>
            <w:tcW w:w="100" w:type="dxa"/>
            <w:vAlign w:val="bottom"/>
            <w:tcBorders>
              <w:top w:val="single" w:sz="8" w:color="98A3B8"/>
              <w:bottom w:val="single" w:sz="8" w:color="98A3B8"/>
            </w:tcBorders>
          </w:tcPr>
          <w:p>
            <w:pPr>
              <w:spacing w:after="0"/>
              <w:rPr>
                <w:sz w:val="18"/>
                <w:szCs w:val="18"/>
                <w:color w:val="auto"/>
              </w:rPr>
            </w:pPr>
          </w:p>
        </w:tc>
        <w:tc>
          <w:tcPr>
            <w:tcW w:w="720" w:type="dxa"/>
            <w:vAlign w:val="bottom"/>
            <w:tcBorders>
              <w:top w:val="single" w:sz="8" w:color="98A3B8"/>
              <w:bottom w:val="single" w:sz="8" w:color="98A3B8"/>
            </w:tcBorders>
          </w:tcPr>
          <w:p>
            <w:pPr>
              <w:jc w:val="right"/>
              <w:spacing w:after="0"/>
              <w:rPr>
                <w:sz w:val="20"/>
                <w:szCs w:val="20"/>
                <w:color w:val="auto"/>
              </w:rPr>
            </w:pPr>
            <w:r>
              <w:rPr>
                <w:rFonts w:ascii="Arial" w:cs="Arial" w:eastAsia="Arial" w:hAnsi="Arial"/>
                <w:sz w:val="15"/>
                <w:szCs w:val="15"/>
                <w:color w:val="auto"/>
              </w:rPr>
              <w:t>(53,681)</w:t>
            </w:r>
          </w:p>
        </w:tc>
      </w:tr>
      <w:tr>
        <w:trPr>
          <w:trHeight w:val="217"/>
        </w:trPr>
        <w:tc>
          <w:tcPr>
            <w:tcW w:w="5920" w:type="dxa"/>
            <w:vAlign w:val="bottom"/>
            <w:tcBorders>
              <w:bottom w:val="single" w:sz="8" w:color="98A3B8"/>
            </w:tcBorders>
            <w:gridSpan w:val="2"/>
          </w:tcPr>
          <w:p>
            <w:pPr>
              <w:spacing w:after="0"/>
              <w:rPr>
                <w:sz w:val="20"/>
                <w:szCs w:val="20"/>
                <w:color w:val="auto"/>
              </w:rPr>
            </w:pPr>
            <w:r>
              <w:rPr>
                <w:rFonts w:ascii="Arial" w:cs="Arial" w:eastAsia="Arial" w:hAnsi="Arial"/>
                <w:sz w:val="15"/>
                <w:szCs w:val="15"/>
                <w:color w:val="auto"/>
              </w:rPr>
              <w:t>Rental income - FAS 141</w:t>
            </w:r>
          </w:p>
        </w:tc>
        <w:tc>
          <w:tcPr>
            <w:tcW w:w="100" w:type="dxa"/>
            <w:vAlign w:val="bottom"/>
          </w:tcPr>
          <w:p>
            <w:pPr>
              <w:spacing w:after="0"/>
              <w:rPr>
                <w:sz w:val="18"/>
                <w:szCs w:val="18"/>
                <w:color w:val="auto"/>
              </w:rPr>
            </w:pPr>
          </w:p>
        </w:tc>
        <w:tc>
          <w:tcPr>
            <w:tcW w:w="100" w:type="dxa"/>
            <w:vAlign w:val="bottom"/>
            <w:tcBorders>
              <w:bottom w:val="single" w:sz="8" w:color="98A3B8"/>
            </w:tcBorders>
          </w:tcPr>
          <w:p>
            <w:pPr>
              <w:spacing w:after="0"/>
              <w:rPr>
                <w:sz w:val="18"/>
                <w:szCs w:val="18"/>
                <w:color w:val="auto"/>
              </w:rPr>
            </w:pPr>
          </w:p>
        </w:tc>
        <w:tc>
          <w:tcPr>
            <w:tcW w:w="8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(12,296)</w:t>
            </w:r>
          </w:p>
        </w:tc>
        <w:tc>
          <w:tcPr>
            <w:tcW w:w="80" w:type="dxa"/>
            <w:vAlign w:val="bottom"/>
          </w:tcPr>
          <w:p>
            <w:pPr>
              <w:spacing w:after="0"/>
              <w:rPr>
                <w:sz w:val="18"/>
                <w:szCs w:val="18"/>
                <w:color w:val="auto"/>
              </w:rPr>
            </w:pPr>
          </w:p>
        </w:tc>
        <w:tc>
          <w:tcPr>
            <w:tcW w:w="100" w:type="dxa"/>
            <w:vAlign w:val="bottom"/>
            <w:tcBorders>
              <w:bottom w:val="single" w:sz="8" w:color="98A3B8"/>
            </w:tcBorders>
          </w:tcPr>
          <w:p>
            <w:pPr>
              <w:spacing w:after="0"/>
              <w:rPr>
                <w:sz w:val="18"/>
                <w:szCs w:val="18"/>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(16,377)</w:t>
            </w:r>
          </w:p>
        </w:tc>
        <w:tc>
          <w:tcPr>
            <w:tcW w:w="100" w:type="dxa"/>
            <w:vAlign w:val="bottom"/>
          </w:tcPr>
          <w:p>
            <w:pPr>
              <w:spacing w:after="0"/>
              <w:rPr>
                <w:sz w:val="18"/>
                <w:szCs w:val="18"/>
                <w:color w:val="auto"/>
              </w:rPr>
            </w:pPr>
          </w:p>
        </w:tc>
        <w:tc>
          <w:tcPr>
            <w:tcW w:w="100" w:type="dxa"/>
            <w:vAlign w:val="bottom"/>
            <w:tcBorders>
              <w:bottom w:val="single" w:sz="8" w:color="98A3B8"/>
            </w:tcBorders>
          </w:tcPr>
          <w:p>
            <w:pPr>
              <w:spacing w:after="0"/>
              <w:rPr>
                <w:sz w:val="18"/>
                <w:szCs w:val="18"/>
                <w:color w:val="auto"/>
              </w:rPr>
            </w:pPr>
          </w:p>
        </w:tc>
        <w:tc>
          <w:tcPr>
            <w:tcW w:w="66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(1,512)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98A3B8"/>
            </w:tcBorders>
          </w:tcPr>
          <w:p>
            <w:pPr>
              <w:spacing w:after="0"/>
              <w:rPr>
                <w:sz w:val="18"/>
                <w:szCs w:val="18"/>
                <w:color w:val="auto"/>
              </w:rPr>
            </w:pPr>
          </w:p>
        </w:tc>
        <w:tc>
          <w:tcPr>
            <w:tcW w:w="66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(1,607)</w:t>
            </w:r>
          </w:p>
        </w:tc>
        <w:tc>
          <w:tcPr>
            <w:tcW w:w="80" w:type="dxa"/>
            <w:vAlign w:val="bottom"/>
          </w:tcPr>
          <w:p>
            <w:pPr>
              <w:spacing w:after="0"/>
              <w:rPr>
                <w:sz w:val="18"/>
                <w:szCs w:val="18"/>
                <w:color w:val="auto"/>
              </w:rPr>
            </w:pPr>
          </w:p>
        </w:tc>
        <w:tc>
          <w:tcPr>
            <w:tcW w:w="100" w:type="dxa"/>
            <w:vAlign w:val="bottom"/>
            <w:tcBorders>
              <w:bottom w:val="single" w:sz="8" w:color="98A3B8"/>
            </w:tcBorders>
          </w:tcPr>
          <w:p>
            <w:pPr>
              <w:spacing w:after="0"/>
              <w:rPr>
                <w:sz w:val="18"/>
                <w:szCs w:val="18"/>
                <w:color w:val="auto"/>
              </w:rPr>
            </w:pPr>
          </w:p>
        </w:tc>
        <w:tc>
          <w:tcPr>
            <w:tcW w:w="8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(13,808)</w:t>
            </w:r>
          </w:p>
        </w:tc>
        <w:tc>
          <w:tcPr>
            <w:tcW w:w="100" w:type="dxa"/>
            <w:vAlign w:val="bottom"/>
          </w:tcPr>
          <w:p>
            <w:pPr>
              <w:spacing w:after="0"/>
              <w:rPr>
                <w:sz w:val="18"/>
                <w:szCs w:val="18"/>
                <w:color w:val="auto"/>
              </w:rPr>
            </w:pPr>
          </w:p>
        </w:tc>
        <w:tc>
          <w:tcPr>
            <w:tcW w:w="100" w:type="dxa"/>
            <w:vAlign w:val="bottom"/>
            <w:tcBorders>
              <w:bottom w:val="single" w:sz="8" w:color="98A3B8"/>
            </w:tcBorders>
          </w:tcPr>
          <w:p>
            <w:pPr>
              <w:spacing w:after="0"/>
              <w:rPr>
                <w:sz w:val="18"/>
                <w:szCs w:val="18"/>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(17,984)</w:t>
            </w:r>
          </w:p>
        </w:tc>
      </w:tr>
      <w:tr>
        <w:trPr>
          <w:trHeight w:val="228"/>
        </w:trPr>
        <w:tc>
          <w:tcPr>
            <w:tcW w:w="5920" w:type="dxa"/>
            <w:vAlign w:val="bottom"/>
            <w:tcBorders>
              <w:bottom w:val="single" w:sz="8" w:color="325889"/>
            </w:tcBorders>
            <w:gridSpan w:val="2"/>
          </w:tcPr>
          <w:p>
            <w:pPr>
              <w:spacing w:after="0"/>
              <w:rPr>
                <w:sz w:val="20"/>
                <w:szCs w:val="20"/>
                <w:color w:val="auto"/>
              </w:rPr>
            </w:pPr>
            <w:r>
              <w:rPr>
                <w:rFonts w:ascii="Arial" w:cs="Arial" w:eastAsia="Arial" w:hAnsi="Arial"/>
                <w:sz w:val="15"/>
                <w:szCs w:val="15"/>
                <w:b w:val="1"/>
                <w:bCs w:val="1"/>
                <w:color w:val="auto"/>
              </w:rPr>
              <w:t>Same-store cash NOI</w:t>
            </w:r>
          </w:p>
        </w:tc>
        <w:tc>
          <w:tcPr>
            <w:tcW w:w="100" w:type="dxa"/>
            <w:vAlign w:val="bottom"/>
          </w:tcPr>
          <w:p>
            <w:pPr>
              <w:spacing w:after="0"/>
              <w:rPr>
                <w:sz w:val="19"/>
                <w:szCs w:val="19"/>
                <w:color w:val="auto"/>
              </w:rPr>
            </w:pPr>
          </w:p>
        </w:tc>
        <w:tc>
          <w:tcPr>
            <w:tcW w:w="100" w:type="dxa"/>
            <w:vAlign w:val="bottom"/>
            <w:tcBorders>
              <w:bottom w:val="single" w:sz="8" w:color="325889"/>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325889"/>
            </w:tcBorders>
          </w:tcPr>
          <w:p>
            <w:pPr>
              <w:jc w:val="right"/>
              <w:ind w:right="26"/>
              <w:spacing w:after="0"/>
              <w:rPr>
                <w:sz w:val="20"/>
                <w:szCs w:val="20"/>
                <w:color w:val="auto"/>
              </w:rPr>
            </w:pPr>
            <w:r>
              <w:rPr>
                <w:rFonts w:ascii="Arial" w:cs="Arial" w:eastAsia="Arial" w:hAnsi="Arial"/>
                <w:sz w:val="15"/>
                <w:szCs w:val="15"/>
                <w:color w:val="auto"/>
              </w:rPr>
              <w:t>620,825</w:t>
            </w:r>
          </w:p>
        </w:tc>
        <w:tc>
          <w:tcPr>
            <w:tcW w:w="80" w:type="dxa"/>
            <w:vAlign w:val="bottom"/>
          </w:tcPr>
          <w:p>
            <w:pPr>
              <w:spacing w:after="0"/>
              <w:rPr>
                <w:sz w:val="19"/>
                <w:szCs w:val="19"/>
                <w:color w:val="auto"/>
              </w:rPr>
            </w:pPr>
          </w:p>
        </w:tc>
        <w:tc>
          <w:tcPr>
            <w:tcW w:w="100" w:type="dxa"/>
            <w:vAlign w:val="bottom"/>
            <w:tcBorders>
              <w:bottom w:val="single" w:sz="8" w:color="325889"/>
            </w:tcBorders>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325889"/>
            </w:tcBorders>
          </w:tcPr>
          <w:p>
            <w:pPr>
              <w:jc w:val="right"/>
              <w:ind w:right="4"/>
              <w:spacing w:after="0"/>
              <w:rPr>
                <w:sz w:val="20"/>
                <w:szCs w:val="20"/>
                <w:color w:val="auto"/>
              </w:rPr>
            </w:pPr>
            <w:r>
              <w:rPr>
                <w:rFonts w:ascii="Arial" w:cs="Arial" w:eastAsia="Arial" w:hAnsi="Arial"/>
                <w:sz w:val="15"/>
                <w:szCs w:val="15"/>
                <w:color w:val="auto"/>
              </w:rPr>
              <w:t>594,342</w:t>
            </w:r>
          </w:p>
        </w:tc>
        <w:tc>
          <w:tcPr>
            <w:tcW w:w="100" w:type="dxa"/>
            <w:vAlign w:val="bottom"/>
          </w:tcPr>
          <w:p>
            <w:pPr>
              <w:spacing w:after="0"/>
              <w:rPr>
                <w:sz w:val="19"/>
                <w:szCs w:val="19"/>
                <w:color w:val="auto"/>
              </w:rPr>
            </w:pPr>
          </w:p>
        </w:tc>
        <w:tc>
          <w:tcPr>
            <w:tcW w:w="100" w:type="dxa"/>
            <w:vAlign w:val="bottom"/>
            <w:tcBorders>
              <w:bottom w:val="single" w:sz="8" w:color="325889"/>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325889"/>
            </w:tcBorders>
          </w:tcPr>
          <w:p>
            <w:pPr>
              <w:jc w:val="right"/>
              <w:ind w:right="26"/>
              <w:spacing w:after="0"/>
              <w:rPr>
                <w:sz w:val="20"/>
                <w:szCs w:val="20"/>
                <w:color w:val="auto"/>
              </w:rPr>
            </w:pPr>
            <w:r>
              <w:rPr>
                <w:rFonts w:ascii="Arial" w:cs="Arial" w:eastAsia="Arial" w:hAnsi="Arial"/>
                <w:sz w:val="15"/>
                <w:szCs w:val="15"/>
                <w:color w:val="auto"/>
              </w:rPr>
              <w:t>74,142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325889"/>
            </w:tcBorders>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325889"/>
            </w:tcBorders>
          </w:tcPr>
          <w:p>
            <w:pPr>
              <w:jc w:val="right"/>
              <w:ind w:right="24"/>
              <w:spacing w:after="0"/>
              <w:rPr>
                <w:sz w:val="20"/>
                <w:szCs w:val="20"/>
                <w:color w:val="auto"/>
              </w:rPr>
            </w:pPr>
            <w:r>
              <w:rPr>
                <w:rFonts w:ascii="Arial" w:cs="Arial" w:eastAsia="Arial" w:hAnsi="Arial"/>
                <w:sz w:val="15"/>
                <w:szCs w:val="15"/>
                <w:color w:val="auto"/>
              </w:rPr>
              <w:t>69,773</w:t>
            </w:r>
          </w:p>
        </w:tc>
        <w:tc>
          <w:tcPr>
            <w:tcW w:w="80" w:type="dxa"/>
            <w:vAlign w:val="bottom"/>
          </w:tcPr>
          <w:p>
            <w:pPr>
              <w:spacing w:after="0"/>
              <w:rPr>
                <w:sz w:val="19"/>
                <w:szCs w:val="19"/>
                <w:color w:val="auto"/>
              </w:rPr>
            </w:pPr>
          </w:p>
        </w:tc>
        <w:tc>
          <w:tcPr>
            <w:tcW w:w="100" w:type="dxa"/>
            <w:vAlign w:val="bottom"/>
            <w:tcBorders>
              <w:bottom w:val="single" w:sz="8" w:color="325889"/>
            </w:tcBorders>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325889"/>
            </w:tcBorders>
          </w:tcPr>
          <w:p>
            <w:pPr>
              <w:jc w:val="right"/>
              <w:ind w:right="29"/>
              <w:spacing w:after="0"/>
              <w:rPr>
                <w:sz w:val="20"/>
                <w:szCs w:val="20"/>
                <w:color w:val="auto"/>
              </w:rPr>
            </w:pPr>
            <w:r>
              <w:rPr>
                <w:rFonts w:ascii="Arial" w:cs="Arial" w:eastAsia="Arial" w:hAnsi="Arial"/>
                <w:sz w:val="15"/>
                <w:szCs w:val="15"/>
                <w:color w:val="auto"/>
              </w:rPr>
              <w:t>694,967</w:t>
            </w:r>
          </w:p>
        </w:tc>
        <w:tc>
          <w:tcPr>
            <w:tcW w:w="100" w:type="dxa"/>
            <w:vAlign w:val="bottom"/>
          </w:tcPr>
          <w:p>
            <w:pPr>
              <w:spacing w:after="0"/>
              <w:rPr>
                <w:sz w:val="19"/>
                <w:szCs w:val="19"/>
                <w:color w:val="auto"/>
              </w:rPr>
            </w:pPr>
          </w:p>
        </w:tc>
        <w:tc>
          <w:tcPr>
            <w:tcW w:w="100" w:type="dxa"/>
            <w:vAlign w:val="bottom"/>
            <w:tcBorders>
              <w:bottom w:val="single" w:sz="8" w:color="325889"/>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325889"/>
            </w:tcBorders>
          </w:tcPr>
          <w:p>
            <w:pPr>
              <w:jc w:val="right"/>
              <w:ind w:right="25"/>
              <w:spacing w:after="0"/>
              <w:rPr>
                <w:sz w:val="20"/>
                <w:szCs w:val="20"/>
                <w:color w:val="auto"/>
              </w:rPr>
            </w:pPr>
            <w:r>
              <w:rPr>
                <w:rFonts w:ascii="Arial" w:cs="Arial" w:eastAsia="Arial" w:hAnsi="Arial"/>
                <w:sz w:val="15"/>
                <w:szCs w:val="15"/>
                <w:color w:val="auto"/>
              </w:rPr>
              <w:t>664,115</w:t>
            </w:r>
          </w:p>
        </w:tc>
      </w:tr>
    </w:tbl>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2017 Proxy Statement </w:t>
      </w:r>
      <w:r>
        <w:rPr>
          <w:rFonts w:ascii="Arial" w:cs="Arial" w:eastAsia="Arial" w:hAnsi="Arial"/>
          <w:sz w:val="15"/>
          <w:szCs w:val="15"/>
          <w:color w:val="325889"/>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83450" cy="203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0"/>
          </w:cols>
          <w:pgMar w:left="240" w:top="528" w:right="219" w:bottom="1440" w:gutter="0" w:footer="0" w:header="0"/>
        </w:sectPr>
      </w:pPr>
    </w:p>
    <w:bookmarkStart w:id="69" w:name="page70"/>
    <w:bookmarkEnd w:id="69"/>
    <w:p>
      <w:pPr>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u w:val="single" w:color="auto"/>
          <w:color w:val="325889"/>
        </w:rPr>
        <w:t>APPENDIX A: INFORMATION REGARDING CERTAIN FINANCIAL MEASURES</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325889"/>
        </w:rPr>
        <w:t>Reconciliation of 2014 and 2013</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6"/>
          </w:tcPr>
          <w:p>
            <w:pPr>
              <w:jc w:val="center"/>
              <w:ind w:right="240"/>
              <w:spacing w:after="0"/>
              <w:rPr>
                <w:sz w:val="20"/>
                <w:szCs w:val="20"/>
                <w:color w:val="auto"/>
              </w:rPr>
            </w:pPr>
            <w:r>
              <w:rPr>
                <w:rFonts w:ascii="Arial" w:cs="Arial" w:eastAsia="Arial" w:hAnsi="Arial"/>
                <w:sz w:val="12"/>
                <w:szCs w:val="12"/>
                <w:b w:val="1"/>
                <w:bCs w:val="1"/>
                <w:color w:val="325889"/>
                <w:w w:val="99"/>
              </w:rPr>
              <w:t>Unconsolidated Joint</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73"/>
        </w:trPr>
        <w:tc>
          <w:tcPr>
            <w:tcW w:w="5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325889"/>
            </w:tcBorders>
          </w:tcPr>
          <w:p>
            <w:pPr>
              <w:spacing w:after="0"/>
              <w:rPr>
                <w:sz w:val="15"/>
                <w:szCs w:val="15"/>
                <w:color w:val="auto"/>
              </w:rPr>
            </w:pPr>
          </w:p>
        </w:tc>
        <w:tc>
          <w:tcPr>
            <w:tcW w:w="1720" w:type="dxa"/>
            <w:vAlign w:val="bottom"/>
            <w:tcBorders>
              <w:bottom w:val="single" w:sz="8" w:color="325889"/>
            </w:tcBorders>
            <w:gridSpan w:val="5"/>
          </w:tcPr>
          <w:p>
            <w:pPr>
              <w:jc w:val="center"/>
              <w:ind w:right="44"/>
              <w:spacing w:after="0"/>
              <w:rPr>
                <w:sz w:val="20"/>
                <w:szCs w:val="20"/>
                <w:color w:val="auto"/>
              </w:rPr>
            </w:pPr>
            <w:r>
              <w:rPr>
                <w:rFonts w:ascii="Arial" w:cs="Arial" w:eastAsia="Arial" w:hAnsi="Arial"/>
                <w:sz w:val="12"/>
                <w:szCs w:val="12"/>
                <w:b w:val="1"/>
                <w:bCs w:val="1"/>
                <w:color w:val="325889"/>
                <w:w w:val="98"/>
              </w:rPr>
              <w:t>Consolidated Properties</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325889"/>
            </w:tcBorders>
          </w:tcPr>
          <w:p>
            <w:pPr>
              <w:spacing w:after="0"/>
              <w:rPr>
                <w:sz w:val="15"/>
                <w:szCs w:val="15"/>
                <w:color w:val="auto"/>
              </w:rPr>
            </w:pPr>
          </w:p>
        </w:tc>
        <w:tc>
          <w:tcPr>
            <w:tcW w:w="1600" w:type="dxa"/>
            <w:vAlign w:val="bottom"/>
            <w:tcBorders>
              <w:bottom w:val="single" w:sz="8" w:color="325889"/>
            </w:tcBorders>
            <w:gridSpan w:val="5"/>
          </w:tcPr>
          <w:p>
            <w:pPr>
              <w:jc w:val="center"/>
              <w:ind w:right="64"/>
              <w:spacing w:after="0"/>
              <w:rPr>
                <w:sz w:val="20"/>
                <w:szCs w:val="20"/>
                <w:color w:val="auto"/>
              </w:rPr>
            </w:pPr>
            <w:r>
              <w:rPr>
                <w:rFonts w:ascii="Arial" w:cs="Arial" w:eastAsia="Arial" w:hAnsi="Arial"/>
                <w:sz w:val="12"/>
                <w:szCs w:val="12"/>
                <w:b w:val="1"/>
                <w:bCs w:val="1"/>
                <w:color w:val="325889"/>
                <w:w w:val="97"/>
              </w:rPr>
              <w:t>Ventures</w:t>
            </w:r>
          </w:p>
        </w:tc>
        <w:tc>
          <w:tcPr>
            <w:tcW w:w="100" w:type="dxa"/>
            <w:vAlign w:val="bottom"/>
          </w:tcPr>
          <w:p>
            <w:pPr>
              <w:spacing w:after="0"/>
              <w:rPr>
                <w:sz w:val="15"/>
                <w:szCs w:val="15"/>
                <w:color w:val="auto"/>
              </w:rPr>
            </w:pPr>
          </w:p>
        </w:tc>
        <w:tc>
          <w:tcPr>
            <w:tcW w:w="140" w:type="dxa"/>
            <w:vAlign w:val="bottom"/>
            <w:tcBorders>
              <w:bottom w:val="single" w:sz="8" w:color="325889"/>
            </w:tcBorders>
          </w:tcPr>
          <w:p>
            <w:pPr>
              <w:spacing w:after="0"/>
              <w:rPr>
                <w:sz w:val="15"/>
                <w:szCs w:val="15"/>
                <w:color w:val="auto"/>
              </w:rPr>
            </w:pPr>
          </w:p>
        </w:tc>
        <w:tc>
          <w:tcPr>
            <w:tcW w:w="1740" w:type="dxa"/>
            <w:vAlign w:val="bottom"/>
            <w:tcBorders>
              <w:bottom w:val="single" w:sz="8" w:color="325889"/>
            </w:tcBorders>
            <w:gridSpan w:val="4"/>
          </w:tcPr>
          <w:p>
            <w:pPr>
              <w:jc w:val="center"/>
              <w:ind w:right="85"/>
              <w:spacing w:after="0"/>
              <w:rPr>
                <w:sz w:val="20"/>
                <w:szCs w:val="20"/>
                <w:color w:val="auto"/>
              </w:rPr>
            </w:pPr>
            <w:r>
              <w:rPr>
                <w:rFonts w:ascii="Arial" w:cs="Arial" w:eastAsia="Arial" w:hAnsi="Arial"/>
                <w:sz w:val="12"/>
                <w:szCs w:val="12"/>
                <w:b w:val="1"/>
                <w:bCs w:val="1"/>
                <w:color w:val="325889"/>
                <w:w w:val="98"/>
              </w:rPr>
              <w:t>Combined</w:t>
            </w:r>
          </w:p>
        </w:tc>
      </w:tr>
      <w:tr>
        <w:trPr>
          <w:trHeight w:val="140"/>
        </w:trPr>
        <w:tc>
          <w:tcPr>
            <w:tcW w:w="5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6"/>
          </w:tcPr>
          <w:p>
            <w:pPr>
              <w:jc w:val="center"/>
              <w:ind w:right="180"/>
              <w:spacing w:after="0"/>
              <w:rPr>
                <w:sz w:val="20"/>
                <w:szCs w:val="20"/>
                <w:color w:val="auto"/>
              </w:rPr>
            </w:pPr>
            <w:r>
              <w:rPr>
                <w:rFonts w:ascii="Arial" w:cs="Arial" w:eastAsia="Arial" w:hAnsi="Arial"/>
                <w:sz w:val="12"/>
                <w:szCs w:val="12"/>
                <w:b w:val="1"/>
                <w:bCs w:val="1"/>
                <w:color w:val="325889"/>
                <w:w w:val="98"/>
              </w:rPr>
              <w:t>Twelve Months Ended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6"/>
          </w:tcPr>
          <w:p>
            <w:pPr>
              <w:jc w:val="center"/>
              <w:ind w:right="220"/>
              <w:spacing w:after="0"/>
              <w:rPr>
                <w:sz w:val="20"/>
                <w:szCs w:val="20"/>
                <w:color w:val="auto"/>
              </w:rPr>
            </w:pPr>
            <w:r>
              <w:rPr>
                <w:rFonts w:ascii="Arial" w:cs="Arial" w:eastAsia="Arial" w:hAnsi="Arial"/>
                <w:sz w:val="12"/>
                <w:szCs w:val="12"/>
                <w:b w:val="1"/>
                <w:bCs w:val="1"/>
                <w:color w:val="325889"/>
                <w:w w:val="98"/>
              </w:rPr>
              <w:t>Twelve Months Ended</w:t>
            </w:r>
          </w:p>
        </w:tc>
        <w:tc>
          <w:tcPr>
            <w:tcW w:w="140" w:type="dxa"/>
            <w:vAlign w:val="bottom"/>
          </w:tcPr>
          <w:p>
            <w:pPr>
              <w:spacing w:after="0"/>
              <w:rPr>
                <w:sz w:val="12"/>
                <w:szCs w:val="12"/>
                <w:color w:val="auto"/>
              </w:rPr>
            </w:pPr>
          </w:p>
        </w:tc>
        <w:tc>
          <w:tcPr>
            <w:tcW w:w="1740" w:type="dxa"/>
            <w:vAlign w:val="bottom"/>
            <w:gridSpan w:val="4"/>
          </w:tcPr>
          <w:p>
            <w:pPr>
              <w:jc w:val="center"/>
              <w:ind w:right="65"/>
              <w:spacing w:after="0"/>
              <w:rPr>
                <w:sz w:val="20"/>
                <w:szCs w:val="20"/>
                <w:color w:val="auto"/>
              </w:rPr>
            </w:pPr>
            <w:r>
              <w:rPr>
                <w:rFonts w:ascii="Arial" w:cs="Arial" w:eastAsia="Arial" w:hAnsi="Arial"/>
                <w:sz w:val="12"/>
                <w:szCs w:val="12"/>
                <w:b w:val="1"/>
                <w:bCs w:val="1"/>
                <w:color w:val="325889"/>
                <w:w w:val="98"/>
              </w:rPr>
              <w:t>Twelve Months Ended</w:t>
            </w:r>
          </w:p>
        </w:tc>
      </w:tr>
      <w:tr>
        <w:trPr>
          <w:trHeight w:val="173"/>
        </w:trPr>
        <w:tc>
          <w:tcPr>
            <w:tcW w:w="5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325889"/>
            </w:tcBorders>
          </w:tcPr>
          <w:p>
            <w:pPr>
              <w:spacing w:after="0"/>
              <w:rPr>
                <w:sz w:val="15"/>
                <w:szCs w:val="15"/>
                <w:color w:val="auto"/>
              </w:rPr>
            </w:pPr>
          </w:p>
        </w:tc>
        <w:tc>
          <w:tcPr>
            <w:tcW w:w="1720" w:type="dxa"/>
            <w:vAlign w:val="bottom"/>
            <w:tcBorders>
              <w:bottom w:val="single" w:sz="8" w:color="325889"/>
            </w:tcBorders>
            <w:gridSpan w:val="5"/>
          </w:tcPr>
          <w:p>
            <w:pPr>
              <w:jc w:val="center"/>
              <w:ind w:right="44"/>
              <w:spacing w:after="0"/>
              <w:rPr>
                <w:sz w:val="20"/>
                <w:szCs w:val="20"/>
                <w:color w:val="auto"/>
              </w:rPr>
            </w:pPr>
            <w:r>
              <w:rPr>
                <w:rFonts w:ascii="Arial" w:cs="Arial" w:eastAsia="Arial" w:hAnsi="Arial"/>
                <w:sz w:val="12"/>
                <w:szCs w:val="12"/>
                <w:b w:val="1"/>
                <w:bCs w:val="1"/>
                <w:color w:val="325889"/>
                <w:w w:val="97"/>
              </w:rPr>
              <w:t>December 31</w:t>
            </w:r>
            <w:r>
              <w:rPr>
                <w:rFonts w:ascii="Arial" w:cs="Arial" w:eastAsia="Arial" w:hAnsi="Arial"/>
                <w:sz w:val="12"/>
                <w:szCs w:val="12"/>
                <w:b w:val="1"/>
                <w:bCs w:val="1"/>
                <w:color w:val="000000"/>
                <w:w w:val="97"/>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325889"/>
            </w:tcBorders>
          </w:tcPr>
          <w:p>
            <w:pPr>
              <w:spacing w:after="0"/>
              <w:rPr>
                <w:sz w:val="15"/>
                <w:szCs w:val="15"/>
                <w:color w:val="auto"/>
              </w:rPr>
            </w:pPr>
          </w:p>
        </w:tc>
        <w:tc>
          <w:tcPr>
            <w:tcW w:w="1600" w:type="dxa"/>
            <w:vAlign w:val="bottom"/>
            <w:tcBorders>
              <w:bottom w:val="single" w:sz="8" w:color="325889"/>
            </w:tcBorders>
            <w:gridSpan w:val="5"/>
          </w:tcPr>
          <w:p>
            <w:pPr>
              <w:jc w:val="center"/>
              <w:ind w:right="64"/>
              <w:spacing w:after="0"/>
              <w:rPr>
                <w:sz w:val="20"/>
                <w:szCs w:val="20"/>
                <w:color w:val="auto"/>
              </w:rPr>
            </w:pPr>
            <w:r>
              <w:rPr>
                <w:rFonts w:ascii="Arial" w:cs="Arial" w:eastAsia="Arial" w:hAnsi="Arial"/>
                <w:sz w:val="12"/>
                <w:szCs w:val="12"/>
                <w:b w:val="1"/>
                <w:bCs w:val="1"/>
                <w:color w:val="325889"/>
                <w:w w:val="99"/>
              </w:rPr>
              <w:t>December 31</w:t>
            </w:r>
            <w:r>
              <w:rPr>
                <w:rFonts w:ascii="Arial" w:cs="Arial" w:eastAsia="Arial" w:hAnsi="Arial"/>
                <w:sz w:val="12"/>
                <w:szCs w:val="12"/>
                <w:b w:val="1"/>
                <w:bCs w:val="1"/>
                <w:color w:val="000000"/>
                <w:w w:val="99"/>
              </w:rPr>
              <w:t>,</w:t>
            </w:r>
          </w:p>
        </w:tc>
        <w:tc>
          <w:tcPr>
            <w:tcW w:w="100" w:type="dxa"/>
            <w:vAlign w:val="bottom"/>
          </w:tcPr>
          <w:p>
            <w:pPr>
              <w:spacing w:after="0"/>
              <w:rPr>
                <w:sz w:val="15"/>
                <w:szCs w:val="15"/>
                <w:color w:val="auto"/>
              </w:rPr>
            </w:pPr>
          </w:p>
        </w:tc>
        <w:tc>
          <w:tcPr>
            <w:tcW w:w="140" w:type="dxa"/>
            <w:vAlign w:val="bottom"/>
            <w:tcBorders>
              <w:bottom w:val="single" w:sz="8" w:color="325889"/>
            </w:tcBorders>
          </w:tcPr>
          <w:p>
            <w:pPr>
              <w:spacing w:after="0"/>
              <w:rPr>
                <w:sz w:val="15"/>
                <w:szCs w:val="15"/>
                <w:color w:val="auto"/>
              </w:rPr>
            </w:pPr>
          </w:p>
        </w:tc>
        <w:tc>
          <w:tcPr>
            <w:tcW w:w="1740" w:type="dxa"/>
            <w:vAlign w:val="bottom"/>
            <w:tcBorders>
              <w:bottom w:val="single" w:sz="8" w:color="325889"/>
            </w:tcBorders>
            <w:gridSpan w:val="4"/>
          </w:tcPr>
          <w:p>
            <w:pPr>
              <w:jc w:val="center"/>
              <w:ind w:right="65"/>
              <w:spacing w:after="0"/>
              <w:rPr>
                <w:sz w:val="20"/>
                <w:szCs w:val="20"/>
                <w:color w:val="auto"/>
              </w:rPr>
            </w:pPr>
            <w:r>
              <w:rPr>
                <w:rFonts w:ascii="Arial" w:cs="Arial" w:eastAsia="Arial" w:hAnsi="Arial"/>
                <w:sz w:val="12"/>
                <w:szCs w:val="12"/>
                <w:b w:val="1"/>
                <w:bCs w:val="1"/>
                <w:color w:val="325889"/>
                <w:w w:val="97"/>
              </w:rPr>
              <w:t>December 31</w:t>
            </w:r>
            <w:r>
              <w:rPr>
                <w:rFonts w:ascii="Arial" w:cs="Arial" w:eastAsia="Arial" w:hAnsi="Arial"/>
                <w:sz w:val="12"/>
                <w:szCs w:val="12"/>
                <w:b w:val="1"/>
                <w:bCs w:val="1"/>
                <w:color w:val="000000"/>
                <w:w w:val="97"/>
              </w:rPr>
              <w:t>,</w:t>
            </w:r>
          </w:p>
        </w:tc>
      </w:tr>
      <w:tr>
        <w:trPr>
          <w:trHeight w:val="182"/>
        </w:trPr>
        <w:tc>
          <w:tcPr>
            <w:tcW w:w="5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325889"/>
              </w:rPr>
              <w:t>2014</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b w:val="1"/>
                <w:bCs w:val="1"/>
                <w:color w:val="325889"/>
              </w:rPr>
              <w:t>2013</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2"/>
                <w:szCs w:val="12"/>
                <w:b w:val="1"/>
                <w:bCs w:val="1"/>
                <w:color w:val="325889"/>
              </w:rPr>
              <w:t>2014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325889"/>
              </w:rPr>
              <w:t>2013</w:t>
            </w:r>
          </w:p>
        </w:tc>
        <w:tc>
          <w:tcPr>
            <w:tcW w:w="14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325889"/>
              </w:rPr>
              <w:t>2014</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325889"/>
              </w:rPr>
              <w:t>2013</w:t>
            </w:r>
          </w:p>
        </w:tc>
      </w:tr>
      <w:tr>
        <w:trPr>
          <w:trHeight w:val="186"/>
        </w:trPr>
        <w:tc>
          <w:tcPr>
            <w:tcW w:w="5680" w:type="dxa"/>
            <w:vAlign w:val="bottom"/>
            <w:tcBorders>
              <w:top w:val="single" w:sz="8" w:color="325889"/>
            </w:tcBorders>
          </w:tcPr>
          <w:p>
            <w:pPr>
              <w:spacing w:after="0"/>
              <w:rPr>
                <w:sz w:val="20"/>
                <w:szCs w:val="20"/>
                <w:color w:val="auto"/>
              </w:rPr>
            </w:pPr>
            <w:r>
              <w:rPr>
                <w:rFonts w:ascii="Arial" w:cs="Arial" w:eastAsia="Arial" w:hAnsi="Arial"/>
                <w:sz w:val="15"/>
                <w:szCs w:val="15"/>
                <w:b w:val="1"/>
                <w:bCs w:val="1"/>
                <w:color w:val="auto"/>
              </w:rPr>
              <w:t>Operating income and Same-store</w:t>
            </w:r>
          </w:p>
        </w:tc>
        <w:tc>
          <w:tcPr>
            <w:tcW w:w="100" w:type="dxa"/>
            <w:vAlign w:val="bottom"/>
          </w:tcPr>
          <w:p>
            <w:pPr>
              <w:spacing w:after="0"/>
              <w:rPr>
                <w:sz w:val="16"/>
                <w:szCs w:val="16"/>
                <w:color w:val="auto"/>
              </w:rPr>
            </w:pPr>
          </w:p>
        </w:tc>
        <w:tc>
          <w:tcPr>
            <w:tcW w:w="120" w:type="dxa"/>
            <w:vAlign w:val="bottom"/>
            <w:tcBorders>
              <w:top w:val="single" w:sz="8" w:color="325889"/>
            </w:tcBorders>
          </w:tcPr>
          <w:p>
            <w:pPr>
              <w:spacing w:after="0"/>
              <w:rPr>
                <w:sz w:val="16"/>
                <w:szCs w:val="16"/>
                <w:color w:val="auto"/>
              </w:rPr>
            </w:pPr>
          </w:p>
        </w:tc>
        <w:tc>
          <w:tcPr>
            <w:tcW w:w="760" w:type="dxa"/>
            <w:vAlign w:val="bottom"/>
            <w:tcBorders>
              <w:top w:val="single" w:sz="8" w:color="325889"/>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top w:val="single" w:sz="8" w:color="325889"/>
            </w:tcBorders>
          </w:tcPr>
          <w:p>
            <w:pPr>
              <w:spacing w:after="0"/>
              <w:rPr>
                <w:sz w:val="16"/>
                <w:szCs w:val="16"/>
                <w:color w:val="auto"/>
              </w:rPr>
            </w:pPr>
          </w:p>
        </w:tc>
        <w:tc>
          <w:tcPr>
            <w:tcW w:w="740" w:type="dxa"/>
            <w:vAlign w:val="bottom"/>
            <w:tcBorders>
              <w:top w:val="single" w:sz="8" w:color="325889"/>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top w:val="single" w:sz="8" w:color="325889"/>
            </w:tcBorders>
          </w:tcPr>
          <w:p>
            <w:pPr>
              <w:spacing w:after="0"/>
              <w:rPr>
                <w:sz w:val="16"/>
                <w:szCs w:val="16"/>
                <w:color w:val="auto"/>
              </w:rPr>
            </w:pPr>
          </w:p>
        </w:tc>
        <w:tc>
          <w:tcPr>
            <w:tcW w:w="680" w:type="dxa"/>
            <w:vAlign w:val="bottom"/>
            <w:tcBorders>
              <w:top w:val="single" w:sz="8" w:color="325889"/>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325889"/>
            </w:tcBorders>
          </w:tcPr>
          <w:p>
            <w:pPr>
              <w:spacing w:after="0"/>
              <w:rPr>
                <w:sz w:val="16"/>
                <w:szCs w:val="16"/>
                <w:color w:val="auto"/>
              </w:rPr>
            </w:pPr>
          </w:p>
        </w:tc>
        <w:tc>
          <w:tcPr>
            <w:tcW w:w="700" w:type="dxa"/>
            <w:vAlign w:val="bottom"/>
            <w:tcBorders>
              <w:top w:val="single" w:sz="8" w:color="325889"/>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325889"/>
            </w:tcBorders>
          </w:tcPr>
          <w:p>
            <w:pPr>
              <w:spacing w:after="0"/>
              <w:rPr>
                <w:sz w:val="16"/>
                <w:szCs w:val="16"/>
                <w:color w:val="auto"/>
              </w:rPr>
            </w:pPr>
          </w:p>
        </w:tc>
        <w:tc>
          <w:tcPr>
            <w:tcW w:w="740" w:type="dxa"/>
            <w:vAlign w:val="bottom"/>
            <w:tcBorders>
              <w:top w:val="single" w:sz="8" w:color="325889"/>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325889"/>
            </w:tcBorders>
          </w:tcPr>
          <w:p>
            <w:pPr>
              <w:spacing w:after="0"/>
              <w:rPr>
                <w:sz w:val="16"/>
                <w:szCs w:val="16"/>
                <w:color w:val="auto"/>
              </w:rPr>
            </w:pPr>
          </w:p>
        </w:tc>
        <w:tc>
          <w:tcPr>
            <w:tcW w:w="760" w:type="dxa"/>
            <w:vAlign w:val="bottom"/>
            <w:tcBorders>
              <w:top w:val="single" w:sz="8" w:color="325889"/>
            </w:tcBorders>
          </w:tcPr>
          <w:p>
            <w:pPr>
              <w:spacing w:after="0"/>
              <w:rPr>
                <w:sz w:val="16"/>
                <w:szCs w:val="16"/>
                <w:color w:val="auto"/>
              </w:rPr>
            </w:pPr>
          </w:p>
        </w:tc>
      </w:tr>
      <w:tr>
        <w:trPr>
          <w:trHeight w:val="210"/>
        </w:trPr>
        <w:tc>
          <w:tcPr>
            <w:tcW w:w="5680" w:type="dxa"/>
            <w:vAlign w:val="bottom"/>
            <w:tcBorders>
              <w:bottom w:val="single" w:sz="8" w:color="98A3B8"/>
            </w:tcBorders>
          </w:tcPr>
          <w:p>
            <w:pPr>
              <w:spacing w:after="0"/>
              <w:rPr>
                <w:sz w:val="20"/>
                <w:szCs w:val="20"/>
                <w:color w:val="auto"/>
              </w:rPr>
            </w:pPr>
            <w:r>
              <w:rPr>
                <w:rFonts w:ascii="Arial" w:cs="Arial" w:eastAsia="Arial" w:hAnsi="Arial"/>
                <w:sz w:val="15"/>
                <w:szCs w:val="15"/>
                <w:b w:val="1"/>
                <w:bCs w:val="1"/>
                <w:color w:val="auto"/>
              </w:rPr>
              <w:t>NOI Reconciliation: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3"/>
        </w:trPr>
        <w:tc>
          <w:tcPr>
            <w:tcW w:w="5780" w:type="dxa"/>
            <w:vAlign w:val="bottom"/>
            <w:gridSpan w:val="2"/>
          </w:tcPr>
          <w:p>
            <w:pPr>
              <w:spacing w:after="0"/>
              <w:rPr>
                <w:sz w:val="20"/>
                <w:szCs w:val="20"/>
                <w:color w:val="auto"/>
              </w:rPr>
            </w:pPr>
            <w:r>
              <w:rPr>
                <w:rFonts w:ascii="Arial" w:cs="Arial" w:eastAsia="Arial" w:hAnsi="Arial"/>
                <w:sz w:val="15"/>
                <w:szCs w:val="15"/>
                <w:color w:val="auto"/>
              </w:rPr>
              <w:t>Income from continuing operations</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78"/>
        </w:trPr>
        <w:tc>
          <w:tcPr>
            <w:tcW w:w="5780" w:type="dxa"/>
            <w:vAlign w:val="bottom"/>
            <w:gridSpan w:val="2"/>
          </w:tcPr>
          <w:p>
            <w:pPr>
              <w:spacing w:after="0"/>
              <w:rPr>
                <w:sz w:val="20"/>
                <w:szCs w:val="20"/>
                <w:color w:val="auto"/>
              </w:rPr>
            </w:pPr>
            <w:r>
              <w:rPr>
                <w:rFonts w:ascii="Arial" w:cs="Arial" w:eastAsia="Arial" w:hAnsi="Arial"/>
                <w:sz w:val="15"/>
                <w:szCs w:val="15"/>
                <w:color w:val="auto"/>
              </w:rPr>
              <w:t>before equity in net income from</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8"/>
        </w:trPr>
        <w:tc>
          <w:tcPr>
            <w:tcW w:w="5780" w:type="dxa"/>
            <w:vAlign w:val="bottom"/>
            <w:gridSpan w:val="2"/>
          </w:tcPr>
          <w:p>
            <w:pPr>
              <w:spacing w:after="0"/>
              <w:rPr>
                <w:sz w:val="20"/>
                <w:szCs w:val="20"/>
                <w:color w:val="auto"/>
              </w:rPr>
            </w:pPr>
            <w:r>
              <w:rPr>
                <w:rFonts w:ascii="Arial" w:cs="Arial" w:eastAsia="Arial" w:hAnsi="Arial"/>
                <w:sz w:val="15"/>
                <w:szCs w:val="15"/>
                <w:color w:val="auto"/>
              </w:rPr>
              <w:t>unconsolidated joint ventures, equity</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8"/>
        </w:trPr>
        <w:tc>
          <w:tcPr>
            <w:tcW w:w="5780" w:type="dxa"/>
            <w:vAlign w:val="bottom"/>
            <w:gridSpan w:val="2"/>
          </w:tcPr>
          <w:p>
            <w:pPr>
              <w:spacing w:after="0"/>
              <w:rPr>
                <w:sz w:val="20"/>
                <w:szCs w:val="20"/>
                <w:color w:val="auto"/>
              </w:rPr>
            </w:pPr>
            <w:r>
              <w:rPr>
                <w:rFonts w:ascii="Arial" w:cs="Arial" w:eastAsia="Arial" w:hAnsi="Arial"/>
                <w:sz w:val="15"/>
                <w:szCs w:val="15"/>
                <w:color w:val="auto"/>
              </w:rPr>
              <w:t>in net gain on sale of interest in</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8"/>
        </w:trPr>
        <w:tc>
          <w:tcPr>
            <w:tcW w:w="5780" w:type="dxa"/>
            <w:vAlign w:val="bottom"/>
            <w:gridSpan w:val="2"/>
          </w:tcPr>
          <w:p>
            <w:pPr>
              <w:spacing w:after="0"/>
              <w:rPr>
                <w:sz w:val="20"/>
                <w:szCs w:val="20"/>
                <w:color w:val="auto"/>
              </w:rPr>
            </w:pPr>
            <w:r>
              <w:rPr>
                <w:rFonts w:ascii="Arial" w:cs="Arial" w:eastAsia="Arial" w:hAnsi="Arial"/>
                <w:sz w:val="15"/>
                <w:szCs w:val="15"/>
                <w:color w:val="auto"/>
              </w:rPr>
              <w:t>unconsolidated joint venture/real estate,</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8"/>
        </w:trPr>
        <w:tc>
          <w:tcPr>
            <w:tcW w:w="5780" w:type="dxa"/>
            <w:vAlign w:val="bottom"/>
            <w:gridSpan w:val="2"/>
          </w:tcPr>
          <w:p>
            <w:pPr>
              <w:spacing w:after="0"/>
              <w:rPr>
                <w:sz w:val="20"/>
                <w:szCs w:val="20"/>
                <w:color w:val="auto"/>
              </w:rPr>
            </w:pPr>
            <w:r>
              <w:rPr>
                <w:rFonts w:ascii="Arial" w:cs="Arial" w:eastAsia="Arial" w:hAnsi="Arial"/>
                <w:sz w:val="15"/>
                <w:szCs w:val="15"/>
                <w:color w:val="auto"/>
              </w:rPr>
              <w:t>gain (loss) on sale of investment in</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8"/>
        </w:trPr>
        <w:tc>
          <w:tcPr>
            <w:tcW w:w="5780" w:type="dxa"/>
            <w:vAlign w:val="bottom"/>
            <w:gridSpan w:val="2"/>
          </w:tcPr>
          <w:p>
            <w:pPr>
              <w:spacing w:after="0"/>
              <w:rPr>
                <w:sz w:val="20"/>
                <w:szCs w:val="20"/>
                <w:color w:val="auto"/>
              </w:rPr>
            </w:pPr>
            <w:r>
              <w:rPr>
                <w:rFonts w:ascii="Arial" w:cs="Arial" w:eastAsia="Arial" w:hAnsi="Arial"/>
                <w:sz w:val="15"/>
                <w:szCs w:val="15"/>
                <w:color w:val="auto"/>
              </w:rPr>
              <w:t>marketable securities, purchase price</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8"/>
        </w:trPr>
        <w:tc>
          <w:tcPr>
            <w:tcW w:w="5780" w:type="dxa"/>
            <w:vAlign w:val="bottom"/>
            <w:gridSpan w:val="2"/>
          </w:tcPr>
          <w:p>
            <w:pPr>
              <w:spacing w:after="0"/>
              <w:rPr>
                <w:sz w:val="20"/>
                <w:szCs w:val="20"/>
                <w:color w:val="auto"/>
              </w:rPr>
            </w:pPr>
            <w:r>
              <w:rPr>
                <w:rFonts w:ascii="Arial" w:cs="Arial" w:eastAsia="Arial" w:hAnsi="Arial"/>
                <w:sz w:val="15"/>
                <w:szCs w:val="15"/>
                <w:color w:val="auto"/>
              </w:rPr>
              <w:t>fair value adjustment and loss on early</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2"/>
        </w:trPr>
        <w:tc>
          <w:tcPr>
            <w:tcW w:w="5680" w:type="dxa"/>
            <w:vAlign w:val="bottom"/>
          </w:tcPr>
          <w:p>
            <w:pPr>
              <w:spacing w:after="0"/>
              <w:rPr>
                <w:sz w:val="20"/>
                <w:szCs w:val="20"/>
                <w:color w:val="auto"/>
              </w:rPr>
            </w:pPr>
            <w:r>
              <w:rPr>
                <w:rFonts w:ascii="Arial" w:cs="Arial" w:eastAsia="Arial" w:hAnsi="Arial"/>
                <w:sz w:val="15"/>
                <w:szCs w:val="15"/>
                <w:color w:val="auto"/>
              </w:rPr>
              <w:t>extinguishment of debt</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26"/>
              <w:spacing w:after="0"/>
              <w:rPr>
                <w:sz w:val="20"/>
                <w:szCs w:val="20"/>
                <w:color w:val="auto"/>
              </w:rPr>
            </w:pPr>
            <w:r>
              <w:rPr>
                <w:rFonts w:ascii="Arial" w:cs="Arial" w:eastAsia="Arial" w:hAnsi="Arial"/>
                <w:sz w:val="15"/>
                <w:szCs w:val="15"/>
                <w:color w:val="auto"/>
              </w:rPr>
              <w:t>174,963</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118,062</w:t>
            </w:r>
          </w:p>
        </w:tc>
        <w:tc>
          <w:tcPr>
            <w:tcW w:w="60" w:type="dxa"/>
            <w:vAlign w:val="bottom"/>
          </w:tcPr>
          <w:p>
            <w:pPr>
              <w:spacing w:after="0"/>
              <w:rPr>
                <w:sz w:val="16"/>
                <w:szCs w:val="16"/>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3"/>
        </w:trPr>
        <w:tc>
          <w:tcPr>
            <w:tcW w:w="5680" w:type="dxa"/>
            <w:vAlign w:val="bottom"/>
            <w:tcBorders>
              <w:top w:val="single" w:sz="8" w:color="98A3B8"/>
            </w:tcBorders>
          </w:tcPr>
          <w:p>
            <w:pPr>
              <w:spacing w:after="0"/>
              <w:rPr>
                <w:sz w:val="20"/>
                <w:szCs w:val="20"/>
                <w:color w:val="auto"/>
              </w:rPr>
            </w:pPr>
            <w:r>
              <w:rPr>
                <w:rFonts w:ascii="Arial" w:cs="Arial" w:eastAsia="Arial" w:hAnsi="Arial"/>
                <w:sz w:val="15"/>
                <w:szCs w:val="15"/>
                <w:color w:val="auto"/>
              </w:rPr>
              <w:t>Equity in net income from</w:t>
            </w:r>
          </w:p>
        </w:tc>
        <w:tc>
          <w:tcPr>
            <w:tcW w:w="100" w:type="dxa"/>
            <w:vAlign w:val="bottom"/>
          </w:tcPr>
          <w:p>
            <w:pPr>
              <w:spacing w:after="0"/>
              <w:rPr>
                <w:sz w:val="17"/>
                <w:szCs w:val="17"/>
                <w:color w:val="auto"/>
              </w:rPr>
            </w:pPr>
          </w:p>
        </w:tc>
        <w:tc>
          <w:tcPr>
            <w:tcW w:w="120" w:type="dxa"/>
            <w:vAlign w:val="bottom"/>
            <w:tcBorders>
              <w:top w:val="single" w:sz="8" w:color="98A3B8"/>
            </w:tcBorders>
          </w:tcPr>
          <w:p>
            <w:pPr>
              <w:spacing w:after="0"/>
              <w:rPr>
                <w:sz w:val="17"/>
                <w:szCs w:val="17"/>
                <w:color w:val="auto"/>
              </w:rPr>
            </w:pPr>
          </w:p>
        </w:tc>
        <w:tc>
          <w:tcPr>
            <w:tcW w:w="760" w:type="dxa"/>
            <w:vAlign w:val="bottom"/>
            <w:tcBorders>
              <w:top w:val="single" w:sz="8" w:color="98A3B8"/>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98A3B8"/>
            </w:tcBorders>
          </w:tcPr>
          <w:p>
            <w:pPr>
              <w:spacing w:after="0"/>
              <w:rPr>
                <w:sz w:val="17"/>
                <w:szCs w:val="17"/>
                <w:color w:val="auto"/>
              </w:rPr>
            </w:pPr>
          </w:p>
        </w:tc>
        <w:tc>
          <w:tcPr>
            <w:tcW w:w="740" w:type="dxa"/>
            <w:vAlign w:val="bottom"/>
            <w:tcBorders>
              <w:top w:val="single" w:sz="8" w:color="98A3B8"/>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98A3B8"/>
            </w:tcBorders>
          </w:tcPr>
          <w:p>
            <w:pPr>
              <w:spacing w:after="0"/>
              <w:rPr>
                <w:sz w:val="17"/>
                <w:szCs w:val="17"/>
                <w:color w:val="auto"/>
              </w:rPr>
            </w:pPr>
          </w:p>
        </w:tc>
        <w:tc>
          <w:tcPr>
            <w:tcW w:w="680" w:type="dxa"/>
            <w:vAlign w:val="bottom"/>
            <w:tcBorders>
              <w:top w:val="single" w:sz="8" w:color="98A3B8"/>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98A3B8"/>
            </w:tcBorders>
          </w:tcPr>
          <w:p>
            <w:pPr>
              <w:spacing w:after="0"/>
              <w:rPr>
                <w:sz w:val="17"/>
                <w:szCs w:val="17"/>
                <w:color w:val="auto"/>
              </w:rPr>
            </w:pPr>
          </w:p>
        </w:tc>
        <w:tc>
          <w:tcPr>
            <w:tcW w:w="700" w:type="dxa"/>
            <w:vAlign w:val="bottom"/>
            <w:tcBorders>
              <w:top w:val="single" w:sz="8" w:color="98A3B8"/>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2"/>
        </w:trPr>
        <w:tc>
          <w:tcPr>
            <w:tcW w:w="568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unconsolidated joint ventures</w:t>
            </w:r>
          </w:p>
        </w:tc>
        <w:tc>
          <w:tcPr>
            <w:tcW w:w="100" w:type="dxa"/>
            <w:vAlign w:val="bottom"/>
          </w:tcPr>
          <w:p>
            <w:pPr>
              <w:spacing w:after="0"/>
              <w:rPr>
                <w:sz w:val="16"/>
                <w:szCs w:val="16"/>
                <w:color w:val="auto"/>
              </w:rPr>
            </w:pPr>
          </w:p>
        </w:tc>
        <w:tc>
          <w:tcPr>
            <w:tcW w:w="120" w:type="dxa"/>
            <w:vAlign w:val="bottom"/>
            <w:tcBorders>
              <w:bottom w:val="single" w:sz="8" w:color="98A3B8"/>
            </w:tcBorders>
          </w:tcPr>
          <w:p>
            <w:pPr>
              <w:spacing w:after="0"/>
              <w:rPr>
                <w:sz w:val="16"/>
                <w:szCs w:val="16"/>
                <w:color w:val="auto"/>
              </w:rPr>
            </w:pPr>
          </w:p>
        </w:tc>
        <w:tc>
          <w:tcPr>
            <w:tcW w:w="760" w:type="dxa"/>
            <w:vAlign w:val="bottom"/>
            <w:tcBorders>
              <w:bottom w:val="single" w:sz="8" w:color="98A3B8"/>
            </w:tcBorders>
          </w:tcPr>
          <w:p>
            <w:pPr>
              <w:jc w:val="right"/>
              <w:ind w:right="26"/>
              <w:spacing w:after="0"/>
              <w:rPr>
                <w:sz w:val="20"/>
                <w:szCs w:val="20"/>
                <w:color w:val="auto"/>
              </w:rPr>
            </w:pPr>
            <w:r>
              <w:rPr>
                <w:rFonts w:ascii="Arial" w:cs="Arial" w:eastAsia="Arial" w:hAnsi="Arial"/>
                <w:sz w:val="15"/>
                <w:szCs w:val="15"/>
                <w:color w:val="auto"/>
              </w:rPr>
              <w:t>26,537</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98A3B8"/>
            </w:tcBorders>
          </w:tcPr>
          <w:p>
            <w:pPr>
              <w:spacing w:after="0"/>
              <w:rPr>
                <w:sz w:val="16"/>
                <w:szCs w:val="16"/>
                <w:color w:val="auto"/>
              </w:rPr>
            </w:pPr>
          </w:p>
        </w:tc>
        <w:tc>
          <w:tcPr>
            <w:tcW w:w="740" w:type="dxa"/>
            <w:vAlign w:val="bottom"/>
            <w:tcBorders>
              <w:bottom w:val="single" w:sz="8" w:color="98A3B8"/>
            </w:tcBorders>
          </w:tcPr>
          <w:p>
            <w:pPr>
              <w:jc w:val="right"/>
              <w:ind w:right="4"/>
              <w:spacing w:after="0"/>
              <w:rPr>
                <w:sz w:val="20"/>
                <w:szCs w:val="20"/>
                <w:color w:val="auto"/>
              </w:rPr>
            </w:pPr>
            <w:r>
              <w:rPr>
                <w:rFonts w:ascii="Arial" w:cs="Arial" w:eastAsia="Arial" w:hAnsi="Arial"/>
                <w:sz w:val="15"/>
                <w:szCs w:val="15"/>
                <w:color w:val="auto"/>
              </w:rPr>
              <w:t>9,921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98A3B8"/>
            </w:tcBorders>
          </w:tcPr>
          <w:p>
            <w:pPr>
              <w:spacing w:after="0"/>
              <w:rPr>
                <w:sz w:val="16"/>
                <w:szCs w:val="16"/>
                <w:color w:val="auto"/>
              </w:rPr>
            </w:pPr>
          </w:p>
        </w:tc>
        <w:tc>
          <w:tcPr>
            <w:tcW w:w="680" w:type="dxa"/>
            <w:vAlign w:val="bottom"/>
            <w:tcBorders>
              <w:bottom w:val="single" w:sz="8" w:color="98A3B8"/>
            </w:tcBorders>
          </w:tcPr>
          <w:p>
            <w:pPr>
              <w:jc w:val="right"/>
              <w:ind w:right="6"/>
              <w:spacing w:after="0"/>
              <w:rPr>
                <w:sz w:val="20"/>
                <w:szCs w:val="20"/>
                <w:color w:val="auto"/>
              </w:rPr>
            </w:pPr>
            <w:r>
              <w:rPr>
                <w:rFonts w:ascii="Arial" w:cs="Arial" w:eastAsia="Arial" w:hAnsi="Arial"/>
                <w:sz w:val="15"/>
                <w:szCs w:val="15"/>
                <w:color w:val="auto"/>
              </w:rPr>
              <w:t>26,537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98A3B8"/>
            </w:tcBorders>
          </w:tcPr>
          <w:p>
            <w:pPr>
              <w:spacing w:after="0"/>
              <w:rPr>
                <w:sz w:val="16"/>
                <w:szCs w:val="16"/>
                <w:color w:val="auto"/>
              </w:rPr>
            </w:pPr>
          </w:p>
        </w:tc>
        <w:tc>
          <w:tcPr>
            <w:tcW w:w="700" w:type="dxa"/>
            <w:vAlign w:val="bottom"/>
            <w:tcBorders>
              <w:bottom w:val="single" w:sz="8" w:color="98A3B8"/>
            </w:tcBorders>
          </w:tcPr>
          <w:p>
            <w:pPr>
              <w:jc w:val="right"/>
              <w:ind w:right="24"/>
              <w:spacing w:after="0"/>
              <w:rPr>
                <w:sz w:val="20"/>
                <w:szCs w:val="20"/>
                <w:color w:val="auto"/>
              </w:rPr>
            </w:pPr>
            <w:r>
              <w:rPr>
                <w:rFonts w:ascii="Arial" w:cs="Arial" w:eastAsia="Arial" w:hAnsi="Arial"/>
                <w:sz w:val="15"/>
                <w:szCs w:val="15"/>
                <w:color w:val="auto"/>
              </w:rPr>
              <w:t>9,921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7"/>
        </w:trPr>
        <w:tc>
          <w:tcPr>
            <w:tcW w:w="568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Depreciation and amortization</w:t>
            </w:r>
          </w:p>
        </w:tc>
        <w:tc>
          <w:tcPr>
            <w:tcW w:w="100" w:type="dxa"/>
            <w:vAlign w:val="bottom"/>
          </w:tcPr>
          <w:p>
            <w:pPr>
              <w:spacing w:after="0"/>
              <w:rPr>
                <w:sz w:val="18"/>
                <w:szCs w:val="18"/>
                <w:color w:val="auto"/>
              </w:rPr>
            </w:pPr>
          </w:p>
        </w:tc>
        <w:tc>
          <w:tcPr>
            <w:tcW w:w="120" w:type="dxa"/>
            <w:vAlign w:val="bottom"/>
            <w:tcBorders>
              <w:bottom w:val="single" w:sz="8" w:color="98A3B8"/>
            </w:tcBorders>
          </w:tcPr>
          <w:p>
            <w:pPr>
              <w:spacing w:after="0"/>
              <w:rPr>
                <w:sz w:val="18"/>
                <w:szCs w:val="18"/>
                <w:color w:val="auto"/>
              </w:rPr>
            </w:pPr>
          </w:p>
        </w:tc>
        <w:tc>
          <w:tcPr>
            <w:tcW w:w="760" w:type="dxa"/>
            <w:vAlign w:val="bottom"/>
            <w:tcBorders>
              <w:bottom w:val="single" w:sz="8" w:color="98A3B8"/>
            </w:tcBorders>
          </w:tcPr>
          <w:p>
            <w:pPr>
              <w:jc w:val="right"/>
              <w:ind w:right="26"/>
              <w:spacing w:after="0"/>
              <w:rPr>
                <w:sz w:val="20"/>
                <w:szCs w:val="20"/>
                <w:color w:val="auto"/>
              </w:rPr>
            </w:pPr>
            <w:r>
              <w:rPr>
                <w:rFonts w:ascii="Arial" w:cs="Arial" w:eastAsia="Arial" w:hAnsi="Arial"/>
                <w:sz w:val="15"/>
                <w:szCs w:val="15"/>
                <w:color w:val="auto"/>
              </w:rPr>
              <w:t>371,610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740" w:type="dxa"/>
            <w:vAlign w:val="bottom"/>
            <w:tcBorders>
              <w:bottom w:val="single" w:sz="8" w:color="98A3B8"/>
            </w:tcBorders>
          </w:tcPr>
          <w:p>
            <w:pPr>
              <w:jc w:val="right"/>
              <w:ind w:right="4"/>
              <w:spacing w:after="0"/>
              <w:rPr>
                <w:sz w:val="20"/>
                <w:szCs w:val="20"/>
                <w:color w:val="auto"/>
              </w:rPr>
            </w:pPr>
            <w:r>
              <w:rPr>
                <w:rFonts w:ascii="Arial" w:cs="Arial" w:eastAsia="Arial" w:hAnsi="Arial"/>
                <w:sz w:val="15"/>
                <w:szCs w:val="15"/>
                <w:color w:val="auto"/>
              </w:rPr>
              <w:t>324,461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680" w:type="dxa"/>
            <w:vAlign w:val="bottom"/>
            <w:tcBorders>
              <w:bottom w:val="single" w:sz="8" w:color="98A3B8"/>
            </w:tcBorders>
          </w:tcPr>
          <w:p>
            <w:pPr>
              <w:jc w:val="right"/>
              <w:ind w:right="6"/>
              <w:spacing w:after="0"/>
              <w:rPr>
                <w:sz w:val="20"/>
                <w:szCs w:val="20"/>
                <w:color w:val="auto"/>
              </w:rPr>
            </w:pPr>
            <w:r>
              <w:rPr>
                <w:rFonts w:ascii="Arial" w:cs="Arial" w:eastAsia="Arial" w:hAnsi="Arial"/>
                <w:sz w:val="15"/>
                <w:szCs w:val="15"/>
                <w:color w:val="auto"/>
              </w:rPr>
              <w:t>60,691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98A3B8"/>
            </w:tcBorders>
          </w:tcPr>
          <w:p>
            <w:pPr>
              <w:spacing w:after="0"/>
              <w:rPr>
                <w:sz w:val="18"/>
                <w:szCs w:val="18"/>
                <w:color w:val="auto"/>
              </w:rPr>
            </w:pPr>
          </w:p>
        </w:tc>
        <w:tc>
          <w:tcPr>
            <w:tcW w:w="700" w:type="dxa"/>
            <w:vAlign w:val="bottom"/>
            <w:tcBorders>
              <w:bottom w:val="single" w:sz="8" w:color="98A3B8"/>
            </w:tcBorders>
          </w:tcPr>
          <w:p>
            <w:pPr>
              <w:jc w:val="right"/>
              <w:ind w:right="24"/>
              <w:spacing w:after="0"/>
              <w:rPr>
                <w:sz w:val="20"/>
                <w:szCs w:val="20"/>
                <w:color w:val="auto"/>
              </w:rPr>
            </w:pPr>
            <w:r>
              <w:rPr>
                <w:rFonts w:ascii="Arial" w:cs="Arial" w:eastAsia="Arial" w:hAnsi="Arial"/>
                <w:sz w:val="15"/>
                <w:szCs w:val="15"/>
                <w:color w:val="auto"/>
              </w:rPr>
              <w:t>84,403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7"/>
        </w:trPr>
        <w:tc>
          <w:tcPr>
            <w:tcW w:w="568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Interest expense, net of interest income</w:t>
            </w:r>
          </w:p>
        </w:tc>
        <w:tc>
          <w:tcPr>
            <w:tcW w:w="100" w:type="dxa"/>
            <w:vAlign w:val="bottom"/>
          </w:tcPr>
          <w:p>
            <w:pPr>
              <w:spacing w:after="0"/>
              <w:rPr>
                <w:sz w:val="18"/>
                <w:szCs w:val="18"/>
                <w:color w:val="auto"/>
              </w:rPr>
            </w:pPr>
          </w:p>
        </w:tc>
        <w:tc>
          <w:tcPr>
            <w:tcW w:w="120" w:type="dxa"/>
            <w:vAlign w:val="bottom"/>
            <w:tcBorders>
              <w:bottom w:val="single" w:sz="8" w:color="98A3B8"/>
            </w:tcBorders>
          </w:tcPr>
          <w:p>
            <w:pPr>
              <w:spacing w:after="0"/>
              <w:rPr>
                <w:sz w:val="18"/>
                <w:szCs w:val="18"/>
                <w:color w:val="auto"/>
              </w:rPr>
            </w:pPr>
          </w:p>
        </w:tc>
        <w:tc>
          <w:tcPr>
            <w:tcW w:w="760" w:type="dxa"/>
            <w:vAlign w:val="bottom"/>
            <w:tcBorders>
              <w:bottom w:val="single" w:sz="8" w:color="98A3B8"/>
            </w:tcBorders>
          </w:tcPr>
          <w:p>
            <w:pPr>
              <w:jc w:val="right"/>
              <w:ind w:right="26"/>
              <w:spacing w:after="0"/>
              <w:rPr>
                <w:sz w:val="20"/>
                <w:szCs w:val="20"/>
                <w:color w:val="auto"/>
              </w:rPr>
            </w:pPr>
            <w:r>
              <w:rPr>
                <w:rFonts w:ascii="Arial" w:cs="Arial" w:eastAsia="Arial" w:hAnsi="Arial"/>
                <w:sz w:val="15"/>
                <w:szCs w:val="15"/>
                <w:color w:val="auto"/>
              </w:rPr>
              <w:t>317,400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740" w:type="dxa"/>
            <w:vAlign w:val="bottom"/>
            <w:tcBorders>
              <w:bottom w:val="single" w:sz="8" w:color="98A3B8"/>
            </w:tcBorders>
          </w:tcPr>
          <w:p>
            <w:pPr>
              <w:jc w:val="right"/>
              <w:ind w:right="4"/>
              <w:spacing w:after="0"/>
              <w:rPr>
                <w:sz w:val="20"/>
                <w:szCs w:val="20"/>
                <w:color w:val="auto"/>
              </w:rPr>
            </w:pPr>
            <w:r>
              <w:rPr>
                <w:rFonts w:ascii="Arial" w:cs="Arial" w:eastAsia="Arial" w:hAnsi="Arial"/>
                <w:sz w:val="15"/>
                <w:szCs w:val="15"/>
                <w:color w:val="auto"/>
              </w:rPr>
              <w:t>310,894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680" w:type="dxa"/>
            <w:vAlign w:val="bottom"/>
            <w:tcBorders>
              <w:bottom w:val="single" w:sz="8" w:color="98A3B8"/>
            </w:tcBorders>
          </w:tcPr>
          <w:p>
            <w:pPr>
              <w:jc w:val="right"/>
              <w:ind w:right="6"/>
              <w:spacing w:after="0"/>
              <w:rPr>
                <w:sz w:val="20"/>
                <w:szCs w:val="20"/>
                <w:color w:val="auto"/>
              </w:rPr>
            </w:pPr>
            <w:r>
              <w:rPr>
                <w:rFonts w:ascii="Arial" w:cs="Arial" w:eastAsia="Arial" w:hAnsi="Arial"/>
                <w:sz w:val="15"/>
                <w:szCs w:val="15"/>
                <w:color w:val="auto"/>
              </w:rPr>
              <w:t>61,556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98A3B8"/>
            </w:tcBorders>
          </w:tcPr>
          <w:p>
            <w:pPr>
              <w:spacing w:after="0"/>
              <w:rPr>
                <w:sz w:val="18"/>
                <w:szCs w:val="18"/>
                <w:color w:val="auto"/>
              </w:rPr>
            </w:pPr>
          </w:p>
        </w:tc>
        <w:tc>
          <w:tcPr>
            <w:tcW w:w="700" w:type="dxa"/>
            <w:vAlign w:val="bottom"/>
            <w:tcBorders>
              <w:bottom w:val="single" w:sz="8" w:color="98A3B8"/>
            </w:tcBorders>
          </w:tcPr>
          <w:p>
            <w:pPr>
              <w:jc w:val="right"/>
              <w:ind w:right="24"/>
              <w:spacing w:after="0"/>
              <w:rPr>
                <w:sz w:val="20"/>
                <w:szCs w:val="20"/>
                <w:color w:val="auto"/>
              </w:rPr>
            </w:pPr>
            <w:r>
              <w:rPr>
                <w:rFonts w:ascii="Arial" w:cs="Arial" w:eastAsia="Arial" w:hAnsi="Arial"/>
                <w:sz w:val="15"/>
                <w:szCs w:val="15"/>
                <w:color w:val="auto"/>
              </w:rPr>
              <w:t>79,896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7"/>
        </w:trPr>
        <w:tc>
          <w:tcPr>
            <w:tcW w:w="568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Amortization of deferred financing costs</w:t>
            </w:r>
          </w:p>
        </w:tc>
        <w:tc>
          <w:tcPr>
            <w:tcW w:w="100" w:type="dxa"/>
            <w:vAlign w:val="bottom"/>
          </w:tcPr>
          <w:p>
            <w:pPr>
              <w:spacing w:after="0"/>
              <w:rPr>
                <w:sz w:val="18"/>
                <w:szCs w:val="18"/>
                <w:color w:val="auto"/>
              </w:rPr>
            </w:pPr>
          </w:p>
        </w:tc>
        <w:tc>
          <w:tcPr>
            <w:tcW w:w="120" w:type="dxa"/>
            <w:vAlign w:val="bottom"/>
            <w:tcBorders>
              <w:bottom w:val="single" w:sz="8" w:color="98A3B8"/>
            </w:tcBorders>
          </w:tcPr>
          <w:p>
            <w:pPr>
              <w:spacing w:after="0"/>
              <w:rPr>
                <w:sz w:val="18"/>
                <w:szCs w:val="18"/>
                <w:color w:val="auto"/>
              </w:rPr>
            </w:pPr>
          </w:p>
        </w:tc>
        <w:tc>
          <w:tcPr>
            <w:tcW w:w="760" w:type="dxa"/>
            <w:vAlign w:val="bottom"/>
            <w:tcBorders>
              <w:bottom w:val="single" w:sz="8" w:color="98A3B8"/>
            </w:tcBorders>
          </w:tcPr>
          <w:p>
            <w:pPr>
              <w:jc w:val="right"/>
              <w:ind w:right="26"/>
              <w:spacing w:after="0"/>
              <w:rPr>
                <w:sz w:val="20"/>
                <w:szCs w:val="20"/>
                <w:color w:val="auto"/>
              </w:rPr>
            </w:pPr>
            <w:r>
              <w:rPr>
                <w:rFonts w:ascii="Arial" w:cs="Arial" w:eastAsia="Arial" w:hAnsi="Arial"/>
                <w:sz w:val="15"/>
                <w:szCs w:val="15"/>
                <w:color w:val="auto"/>
              </w:rPr>
              <w:t>22,377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740" w:type="dxa"/>
            <w:vAlign w:val="bottom"/>
            <w:tcBorders>
              <w:bottom w:val="single" w:sz="8" w:color="98A3B8"/>
            </w:tcBorders>
          </w:tcPr>
          <w:p>
            <w:pPr>
              <w:jc w:val="right"/>
              <w:ind w:right="4"/>
              <w:spacing w:after="0"/>
              <w:rPr>
                <w:sz w:val="20"/>
                <w:szCs w:val="20"/>
                <w:color w:val="auto"/>
              </w:rPr>
            </w:pPr>
            <w:r>
              <w:rPr>
                <w:rFonts w:ascii="Arial" w:cs="Arial" w:eastAsia="Arial" w:hAnsi="Arial"/>
                <w:sz w:val="15"/>
                <w:szCs w:val="15"/>
                <w:color w:val="auto"/>
              </w:rPr>
              <w:t>15,855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680" w:type="dxa"/>
            <w:vAlign w:val="bottom"/>
            <w:tcBorders>
              <w:bottom w:val="single" w:sz="8" w:color="98A3B8"/>
            </w:tcBorders>
          </w:tcPr>
          <w:p>
            <w:pPr>
              <w:jc w:val="right"/>
              <w:ind w:right="6"/>
              <w:spacing w:after="0"/>
              <w:rPr>
                <w:sz w:val="20"/>
                <w:szCs w:val="20"/>
                <w:color w:val="auto"/>
              </w:rPr>
            </w:pPr>
            <w:r>
              <w:rPr>
                <w:rFonts w:ascii="Arial" w:cs="Arial" w:eastAsia="Arial" w:hAnsi="Arial"/>
                <w:sz w:val="15"/>
                <w:szCs w:val="15"/>
                <w:color w:val="auto"/>
              </w:rPr>
              <w:t>6,008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98A3B8"/>
            </w:tcBorders>
          </w:tcPr>
          <w:p>
            <w:pPr>
              <w:spacing w:after="0"/>
              <w:rPr>
                <w:sz w:val="18"/>
                <w:szCs w:val="18"/>
                <w:color w:val="auto"/>
              </w:rPr>
            </w:pPr>
          </w:p>
        </w:tc>
        <w:tc>
          <w:tcPr>
            <w:tcW w:w="700" w:type="dxa"/>
            <w:vAlign w:val="bottom"/>
            <w:tcBorders>
              <w:bottom w:val="single" w:sz="8" w:color="98A3B8"/>
            </w:tcBorders>
          </w:tcPr>
          <w:p>
            <w:pPr>
              <w:jc w:val="right"/>
              <w:ind w:right="24"/>
              <w:spacing w:after="0"/>
              <w:rPr>
                <w:sz w:val="20"/>
                <w:szCs w:val="20"/>
                <w:color w:val="auto"/>
              </w:rPr>
            </w:pPr>
            <w:r>
              <w:rPr>
                <w:rFonts w:ascii="Arial" w:cs="Arial" w:eastAsia="Arial" w:hAnsi="Arial"/>
                <w:sz w:val="15"/>
                <w:szCs w:val="15"/>
                <w:color w:val="auto"/>
              </w:rPr>
              <w:t>9,637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7"/>
        </w:trPr>
        <w:tc>
          <w:tcPr>
            <w:tcW w:w="568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Loss on early extinguishment of debt</w:t>
            </w:r>
          </w:p>
        </w:tc>
        <w:tc>
          <w:tcPr>
            <w:tcW w:w="100" w:type="dxa"/>
            <w:vAlign w:val="bottom"/>
          </w:tcPr>
          <w:p>
            <w:pPr>
              <w:spacing w:after="0"/>
              <w:rPr>
                <w:sz w:val="18"/>
                <w:szCs w:val="18"/>
                <w:color w:val="auto"/>
              </w:rPr>
            </w:pPr>
          </w:p>
        </w:tc>
        <w:tc>
          <w:tcPr>
            <w:tcW w:w="120" w:type="dxa"/>
            <w:vAlign w:val="bottom"/>
            <w:tcBorders>
              <w:bottom w:val="single" w:sz="8" w:color="98A3B8"/>
            </w:tcBorders>
          </w:tcPr>
          <w:p>
            <w:pPr>
              <w:spacing w:after="0"/>
              <w:rPr>
                <w:sz w:val="18"/>
                <w:szCs w:val="18"/>
                <w:color w:val="auto"/>
              </w:rPr>
            </w:pPr>
          </w:p>
        </w:tc>
        <w:tc>
          <w:tcPr>
            <w:tcW w:w="76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(32,365)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74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(18,518)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680" w:type="dxa"/>
            <w:vAlign w:val="bottom"/>
            <w:tcBorders>
              <w:bottom w:val="single" w:sz="8" w:color="98A3B8"/>
            </w:tcBorders>
          </w:tcPr>
          <w:p>
            <w:pPr>
              <w:jc w:val="right"/>
              <w:ind w:right="6"/>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98A3B8"/>
            </w:tcBorders>
          </w:tcPr>
          <w:p>
            <w:pPr>
              <w:spacing w:after="0"/>
              <w:rPr>
                <w:sz w:val="18"/>
                <w:szCs w:val="18"/>
                <w:color w:val="auto"/>
              </w:rPr>
            </w:pPr>
          </w:p>
        </w:tc>
        <w:tc>
          <w:tcPr>
            <w:tcW w:w="700" w:type="dxa"/>
            <w:vAlign w:val="bottom"/>
            <w:tcBorders>
              <w:bottom w:val="single" w:sz="8" w:color="98A3B8"/>
            </w:tcBorders>
          </w:tcPr>
          <w:p>
            <w:pPr>
              <w:jc w:val="right"/>
              <w:ind w:right="2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7"/>
        </w:trPr>
        <w:tc>
          <w:tcPr>
            <w:tcW w:w="5680" w:type="dxa"/>
            <w:vAlign w:val="bottom"/>
          </w:tcPr>
          <w:p>
            <w:pPr>
              <w:spacing w:after="0"/>
              <w:rPr>
                <w:sz w:val="20"/>
                <w:szCs w:val="20"/>
                <w:color w:val="auto"/>
              </w:rPr>
            </w:pPr>
            <w:r>
              <w:rPr>
                <w:rFonts w:ascii="Arial" w:cs="Arial" w:eastAsia="Arial" w:hAnsi="Arial"/>
                <w:sz w:val="15"/>
                <w:szCs w:val="15"/>
                <w:b w:val="1"/>
                <w:bCs w:val="1"/>
                <w:color w:val="auto"/>
              </w:rPr>
              <w:t>Operating income</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26"/>
              <w:spacing w:after="0"/>
              <w:rPr>
                <w:sz w:val="20"/>
                <w:szCs w:val="20"/>
                <w:color w:val="auto"/>
              </w:rPr>
            </w:pPr>
            <w:r>
              <w:rPr>
                <w:rFonts w:ascii="Arial" w:cs="Arial" w:eastAsia="Arial" w:hAnsi="Arial"/>
                <w:sz w:val="15"/>
                <w:szCs w:val="15"/>
                <w:color w:val="auto"/>
              </w:rPr>
              <w:t>880,522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760,675</w:t>
            </w:r>
          </w:p>
        </w:tc>
        <w:tc>
          <w:tcPr>
            <w:tcW w:w="6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6"/>
              <w:spacing w:after="0"/>
              <w:rPr>
                <w:sz w:val="20"/>
                <w:szCs w:val="20"/>
                <w:color w:val="auto"/>
              </w:rPr>
            </w:pPr>
            <w:r>
              <w:rPr>
                <w:rFonts w:ascii="Arial" w:cs="Arial" w:eastAsia="Arial" w:hAnsi="Arial"/>
                <w:sz w:val="15"/>
                <w:szCs w:val="15"/>
                <w:color w:val="auto"/>
              </w:rPr>
              <w:t>154,792</w:t>
            </w:r>
          </w:p>
        </w:tc>
        <w:tc>
          <w:tcPr>
            <w:tcW w:w="4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24"/>
              <w:spacing w:after="0"/>
              <w:rPr>
                <w:sz w:val="20"/>
                <w:szCs w:val="20"/>
                <w:color w:val="auto"/>
              </w:rPr>
            </w:pPr>
            <w:r>
              <w:rPr>
                <w:rFonts w:ascii="Arial" w:cs="Arial" w:eastAsia="Arial" w:hAnsi="Arial"/>
                <w:sz w:val="15"/>
                <w:szCs w:val="15"/>
                <w:color w:val="auto"/>
              </w:rPr>
              <w:t>183,857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3"/>
        </w:trPr>
        <w:tc>
          <w:tcPr>
            <w:tcW w:w="5680" w:type="dxa"/>
            <w:vAlign w:val="bottom"/>
            <w:tcBorders>
              <w:top w:val="single" w:sz="8" w:color="98A3B8"/>
            </w:tcBorders>
          </w:tcPr>
          <w:p>
            <w:pPr>
              <w:spacing w:after="0"/>
              <w:rPr>
                <w:sz w:val="20"/>
                <w:szCs w:val="20"/>
                <w:color w:val="auto"/>
              </w:rPr>
            </w:pPr>
            <w:r>
              <w:rPr>
                <w:rFonts w:ascii="Arial" w:cs="Arial" w:eastAsia="Arial" w:hAnsi="Arial"/>
                <w:sz w:val="15"/>
                <w:szCs w:val="15"/>
                <w:color w:val="auto"/>
              </w:rPr>
              <w:t>Marketing, general &amp;</w:t>
            </w:r>
          </w:p>
        </w:tc>
        <w:tc>
          <w:tcPr>
            <w:tcW w:w="100" w:type="dxa"/>
            <w:vAlign w:val="bottom"/>
          </w:tcPr>
          <w:p>
            <w:pPr>
              <w:spacing w:after="0"/>
              <w:rPr>
                <w:sz w:val="17"/>
                <w:szCs w:val="17"/>
                <w:color w:val="auto"/>
              </w:rPr>
            </w:pPr>
          </w:p>
        </w:tc>
        <w:tc>
          <w:tcPr>
            <w:tcW w:w="120" w:type="dxa"/>
            <w:vAlign w:val="bottom"/>
            <w:tcBorders>
              <w:top w:val="single" w:sz="8" w:color="98A3B8"/>
            </w:tcBorders>
          </w:tcPr>
          <w:p>
            <w:pPr>
              <w:spacing w:after="0"/>
              <w:rPr>
                <w:sz w:val="17"/>
                <w:szCs w:val="17"/>
                <w:color w:val="auto"/>
              </w:rPr>
            </w:pPr>
          </w:p>
        </w:tc>
        <w:tc>
          <w:tcPr>
            <w:tcW w:w="760" w:type="dxa"/>
            <w:vAlign w:val="bottom"/>
            <w:tcBorders>
              <w:top w:val="single" w:sz="8" w:color="98A3B8"/>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98A3B8"/>
            </w:tcBorders>
          </w:tcPr>
          <w:p>
            <w:pPr>
              <w:spacing w:after="0"/>
              <w:rPr>
                <w:sz w:val="17"/>
                <w:szCs w:val="17"/>
                <w:color w:val="auto"/>
              </w:rPr>
            </w:pPr>
          </w:p>
        </w:tc>
        <w:tc>
          <w:tcPr>
            <w:tcW w:w="740" w:type="dxa"/>
            <w:vAlign w:val="bottom"/>
            <w:tcBorders>
              <w:top w:val="single" w:sz="8" w:color="98A3B8"/>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98A3B8"/>
            </w:tcBorders>
          </w:tcPr>
          <w:p>
            <w:pPr>
              <w:spacing w:after="0"/>
              <w:rPr>
                <w:sz w:val="17"/>
                <w:szCs w:val="17"/>
                <w:color w:val="auto"/>
              </w:rPr>
            </w:pPr>
          </w:p>
        </w:tc>
        <w:tc>
          <w:tcPr>
            <w:tcW w:w="680" w:type="dxa"/>
            <w:vAlign w:val="bottom"/>
            <w:tcBorders>
              <w:top w:val="single" w:sz="8" w:color="98A3B8"/>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98A3B8"/>
            </w:tcBorders>
          </w:tcPr>
          <w:p>
            <w:pPr>
              <w:spacing w:after="0"/>
              <w:rPr>
                <w:sz w:val="17"/>
                <w:szCs w:val="17"/>
                <w:color w:val="auto"/>
              </w:rPr>
            </w:pPr>
          </w:p>
        </w:tc>
        <w:tc>
          <w:tcPr>
            <w:tcW w:w="700" w:type="dxa"/>
            <w:vAlign w:val="bottom"/>
            <w:tcBorders>
              <w:top w:val="single" w:sz="8" w:color="98A3B8"/>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2"/>
        </w:trPr>
        <w:tc>
          <w:tcPr>
            <w:tcW w:w="568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administrative expense</w:t>
            </w:r>
          </w:p>
        </w:tc>
        <w:tc>
          <w:tcPr>
            <w:tcW w:w="100" w:type="dxa"/>
            <w:vAlign w:val="bottom"/>
          </w:tcPr>
          <w:p>
            <w:pPr>
              <w:spacing w:after="0"/>
              <w:rPr>
                <w:sz w:val="16"/>
                <w:szCs w:val="16"/>
                <w:color w:val="auto"/>
              </w:rPr>
            </w:pPr>
          </w:p>
        </w:tc>
        <w:tc>
          <w:tcPr>
            <w:tcW w:w="120" w:type="dxa"/>
            <w:vAlign w:val="bottom"/>
            <w:tcBorders>
              <w:bottom w:val="single" w:sz="8" w:color="98A3B8"/>
            </w:tcBorders>
          </w:tcPr>
          <w:p>
            <w:pPr>
              <w:spacing w:after="0"/>
              <w:rPr>
                <w:sz w:val="16"/>
                <w:szCs w:val="16"/>
                <w:color w:val="auto"/>
              </w:rPr>
            </w:pPr>
          </w:p>
        </w:tc>
        <w:tc>
          <w:tcPr>
            <w:tcW w:w="760" w:type="dxa"/>
            <w:vAlign w:val="bottom"/>
            <w:tcBorders>
              <w:bottom w:val="single" w:sz="8" w:color="98A3B8"/>
            </w:tcBorders>
          </w:tcPr>
          <w:p>
            <w:pPr>
              <w:jc w:val="right"/>
              <w:ind w:right="26"/>
              <w:spacing w:after="0"/>
              <w:rPr>
                <w:sz w:val="20"/>
                <w:szCs w:val="20"/>
                <w:color w:val="auto"/>
              </w:rPr>
            </w:pPr>
            <w:r>
              <w:rPr>
                <w:rFonts w:ascii="Arial" w:cs="Arial" w:eastAsia="Arial" w:hAnsi="Arial"/>
                <w:sz w:val="15"/>
                <w:szCs w:val="15"/>
                <w:color w:val="auto"/>
              </w:rPr>
              <w:t>92,488</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98A3B8"/>
            </w:tcBorders>
          </w:tcPr>
          <w:p>
            <w:pPr>
              <w:spacing w:after="0"/>
              <w:rPr>
                <w:sz w:val="16"/>
                <w:szCs w:val="16"/>
                <w:color w:val="auto"/>
              </w:rPr>
            </w:pPr>
          </w:p>
        </w:tc>
        <w:tc>
          <w:tcPr>
            <w:tcW w:w="740" w:type="dxa"/>
            <w:vAlign w:val="bottom"/>
            <w:tcBorders>
              <w:bottom w:val="single" w:sz="8" w:color="98A3B8"/>
            </w:tcBorders>
          </w:tcPr>
          <w:p>
            <w:pPr>
              <w:jc w:val="right"/>
              <w:ind w:right="4"/>
              <w:spacing w:after="0"/>
              <w:rPr>
                <w:sz w:val="20"/>
                <w:szCs w:val="20"/>
                <w:color w:val="auto"/>
              </w:rPr>
            </w:pPr>
            <w:r>
              <w:rPr>
                <w:rFonts w:ascii="Arial" w:cs="Arial" w:eastAsia="Arial" w:hAnsi="Arial"/>
                <w:sz w:val="15"/>
                <w:szCs w:val="15"/>
                <w:color w:val="auto"/>
              </w:rPr>
              <w:t>86,192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98A3B8"/>
            </w:tcBorders>
          </w:tcPr>
          <w:p>
            <w:pPr>
              <w:spacing w:after="0"/>
              <w:rPr>
                <w:sz w:val="16"/>
                <w:szCs w:val="16"/>
                <w:color w:val="auto"/>
              </w:rPr>
            </w:pPr>
          </w:p>
        </w:tc>
        <w:tc>
          <w:tcPr>
            <w:tcW w:w="680" w:type="dxa"/>
            <w:vAlign w:val="bottom"/>
            <w:tcBorders>
              <w:bottom w:val="single" w:sz="8" w:color="98A3B8"/>
            </w:tcBorders>
          </w:tcPr>
          <w:p>
            <w:pPr>
              <w:jc w:val="right"/>
              <w:ind w:right="6"/>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98A3B8"/>
            </w:tcBorders>
          </w:tcPr>
          <w:p>
            <w:pPr>
              <w:spacing w:after="0"/>
              <w:rPr>
                <w:sz w:val="16"/>
                <w:szCs w:val="16"/>
                <w:color w:val="auto"/>
              </w:rPr>
            </w:pPr>
          </w:p>
        </w:tc>
        <w:tc>
          <w:tcPr>
            <w:tcW w:w="700" w:type="dxa"/>
            <w:vAlign w:val="bottom"/>
            <w:tcBorders>
              <w:bottom w:val="single" w:sz="8" w:color="98A3B8"/>
            </w:tcBorders>
          </w:tcPr>
          <w:p>
            <w:pPr>
              <w:jc w:val="right"/>
              <w:ind w:right="2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3"/>
        </w:trPr>
        <w:tc>
          <w:tcPr>
            <w:tcW w:w="5780" w:type="dxa"/>
            <w:vAlign w:val="bottom"/>
            <w:gridSpan w:val="2"/>
          </w:tcPr>
          <w:p>
            <w:pPr>
              <w:spacing w:after="0"/>
              <w:rPr>
                <w:sz w:val="20"/>
                <w:szCs w:val="20"/>
                <w:color w:val="auto"/>
              </w:rPr>
            </w:pPr>
            <w:r>
              <w:rPr>
                <w:rFonts w:ascii="Arial" w:cs="Arial" w:eastAsia="Arial" w:hAnsi="Arial"/>
                <w:sz w:val="15"/>
                <w:szCs w:val="15"/>
                <w:color w:val="auto"/>
              </w:rPr>
              <w:t>Net operating income from</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2"/>
        </w:trPr>
        <w:tc>
          <w:tcPr>
            <w:tcW w:w="568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discontinued operations</w:t>
            </w:r>
          </w:p>
        </w:tc>
        <w:tc>
          <w:tcPr>
            <w:tcW w:w="100" w:type="dxa"/>
            <w:vAlign w:val="bottom"/>
          </w:tcPr>
          <w:p>
            <w:pPr>
              <w:spacing w:after="0"/>
              <w:rPr>
                <w:sz w:val="16"/>
                <w:szCs w:val="16"/>
                <w:color w:val="auto"/>
              </w:rPr>
            </w:pPr>
          </w:p>
        </w:tc>
        <w:tc>
          <w:tcPr>
            <w:tcW w:w="120" w:type="dxa"/>
            <w:vAlign w:val="bottom"/>
            <w:tcBorders>
              <w:bottom w:val="single" w:sz="8" w:color="98A3B8"/>
            </w:tcBorders>
          </w:tcPr>
          <w:p>
            <w:pPr>
              <w:spacing w:after="0"/>
              <w:rPr>
                <w:sz w:val="16"/>
                <w:szCs w:val="16"/>
                <w:color w:val="auto"/>
              </w:rPr>
            </w:pPr>
          </w:p>
        </w:tc>
        <w:tc>
          <w:tcPr>
            <w:tcW w:w="760" w:type="dxa"/>
            <w:vAlign w:val="bottom"/>
            <w:tcBorders>
              <w:bottom w:val="single" w:sz="8" w:color="98A3B8"/>
            </w:tcBorders>
          </w:tcPr>
          <w:p>
            <w:pPr>
              <w:jc w:val="right"/>
              <w:ind w:right="26"/>
              <w:spacing w:after="0"/>
              <w:rPr>
                <w:sz w:val="20"/>
                <w:szCs w:val="20"/>
                <w:color w:val="auto"/>
              </w:rPr>
            </w:pPr>
            <w:r>
              <w:rPr>
                <w:rFonts w:ascii="Arial" w:cs="Arial" w:eastAsia="Arial" w:hAnsi="Arial"/>
                <w:sz w:val="15"/>
                <w:szCs w:val="15"/>
                <w:color w:val="auto"/>
              </w:rPr>
              <w:t>37,790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98A3B8"/>
            </w:tcBorders>
          </w:tcPr>
          <w:p>
            <w:pPr>
              <w:spacing w:after="0"/>
              <w:rPr>
                <w:sz w:val="16"/>
                <w:szCs w:val="16"/>
                <w:color w:val="auto"/>
              </w:rPr>
            </w:pPr>
          </w:p>
        </w:tc>
        <w:tc>
          <w:tcPr>
            <w:tcW w:w="740" w:type="dxa"/>
            <w:vAlign w:val="bottom"/>
            <w:tcBorders>
              <w:bottom w:val="single" w:sz="8" w:color="98A3B8"/>
            </w:tcBorders>
          </w:tcPr>
          <w:p>
            <w:pPr>
              <w:jc w:val="right"/>
              <w:ind w:right="4"/>
              <w:spacing w:after="0"/>
              <w:rPr>
                <w:sz w:val="20"/>
                <w:szCs w:val="20"/>
                <w:color w:val="auto"/>
              </w:rPr>
            </w:pPr>
            <w:r>
              <w:rPr>
                <w:rFonts w:ascii="Arial" w:cs="Arial" w:eastAsia="Arial" w:hAnsi="Arial"/>
                <w:sz w:val="15"/>
                <w:szCs w:val="15"/>
                <w:color w:val="auto"/>
              </w:rPr>
              <w:t>64,906</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98A3B8"/>
            </w:tcBorders>
          </w:tcPr>
          <w:p>
            <w:pPr>
              <w:spacing w:after="0"/>
              <w:rPr>
                <w:sz w:val="16"/>
                <w:szCs w:val="16"/>
                <w:color w:val="auto"/>
              </w:rPr>
            </w:pPr>
          </w:p>
        </w:tc>
        <w:tc>
          <w:tcPr>
            <w:tcW w:w="680" w:type="dxa"/>
            <w:vAlign w:val="bottom"/>
            <w:tcBorders>
              <w:bottom w:val="single" w:sz="8" w:color="98A3B8"/>
            </w:tcBorders>
          </w:tcPr>
          <w:p>
            <w:pPr>
              <w:jc w:val="right"/>
              <w:ind w:right="6"/>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98A3B8"/>
            </w:tcBorders>
          </w:tcPr>
          <w:p>
            <w:pPr>
              <w:spacing w:after="0"/>
              <w:rPr>
                <w:sz w:val="16"/>
                <w:szCs w:val="16"/>
                <w:color w:val="auto"/>
              </w:rPr>
            </w:pPr>
          </w:p>
        </w:tc>
        <w:tc>
          <w:tcPr>
            <w:tcW w:w="700" w:type="dxa"/>
            <w:vAlign w:val="bottom"/>
            <w:tcBorders>
              <w:bottom w:val="single" w:sz="8" w:color="98A3B8"/>
            </w:tcBorders>
          </w:tcPr>
          <w:p>
            <w:pPr>
              <w:jc w:val="right"/>
              <w:ind w:right="2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3"/>
        </w:trPr>
        <w:tc>
          <w:tcPr>
            <w:tcW w:w="5780" w:type="dxa"/>
            <w:vAlign w:val="bottom"/>
            <w:gridSpan w:val="2"/>
          </w:tcPr>
          <w:p>
            <w:pPr>
              <w:spacing w:after="0"/>
              <w:rPr>
                <w:sz w:val="20"/>
                <w:szCs w:val="20"/>
                <w:color w:val="auto"/>
              </w:rPr>
            </w:pPr>
            <w:r>
              <w:rPr>
                <w:rFonts w:ascii="Arial" w:cs="Arial" w:eastAsia="Arial" w:hAnsi="Arial"/>
                <w:sz w:val="15"/>
                <w:szCs w:val="15"/>
                <w:color w:val="auto"/>
              </w:rPr>
              <w:t>Loan loss and other investment</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2"/>
        </w:trPr>
        <w:tc>
          <w:tcPr>
            <w:tcW w:w="568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reserves, net of recoveries</w:t>
            </w:r>
          </w:p>
        </w:tc>
        <w:tc>
          <w:tcPr>
            <w:tcW w:w="100" w:type="dxa"/>
            <w:vAlign w:val="bottom"/>
          </w:tcPr>
          <w:p>
            <w:pPr>
              <w:spacing w:after="0"/>
              <w:rPr>
                <w:sz w:val="16"/>
                <w:szCs w:val="16"/>
                <w:color w:val="auto"/>
              </w:rPr>
            </w:pPr>
          </w:p>
        </w:tc>
        <w:tc>
          <w:tcPr>
            <w:tcW w:w="120" w:type="dxa"/>
            <w:vAlign w:val="bottom"/>
            <w:tcBorders>
              <w:bottom w:val="single" w:sz="8" w:color="98A3B8"/>
            </w:tcBorders>
          </w:tcPr>
          <w:p>
            <w:pPr>
              <w:spacing w:after="0"/>
              <w:rPr>
                <w:sz w:val="16"/>
                <w:szCs w:val="16"/>
                <w:color w:val="auto"/>
              </w:rPr>
            </w:pPr>
          </w:p>
        </w:tc>
        <w:tc>
          <w:tcPr>
            <w:tcW w:w="760" w:type="dxa"/>
            <w:vAlign w:val="bottom"/>
            <w:tcBorders>
              <w:bottom w:val="single" w:sz="8" w:color="98A3B8"/>
            </w:tcBorders>
          </w:tcPr>
          <w:p>
            <w:pPr>
              <w:jc w:val="right"/>
              <w:ind w:right="26"/>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98A3B8"/>
            </w:tcBorders>
          </w:tcPr>
          <w:p>
            <w:pPr>
              <w:spacing w:after="0"/>
              <w:rPr>
                <w:sz w:val="16"/>
                <w:szCs w:val="16"/>
                <w:color w:val="auto"/>
              </w:rPr>
            </w:pPr>
          </w:p>
        </w:tc>
        <w:tc>
          <w:tcPr>
            <w:tcW w:w="740" w:type="dxa"/>
            <w:vAlign w:val="bottom"/>
            <w:tcBorders>
              <w:bottom w:val="single" w:sz="8" w:color="98A3B8"/>
            </w:tcBorders>
          </w:tcPr>
          <w:p>
            <w:pPr>
              <w:jc w:val="right"/>
              <w:ind w:right="4"/>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98A3B8"/>
            </w:tcBorders>
          </w:tcPr>
          <w:p>
            <w:pPr>
              <w:spacing w:after="0"/>
              <w:rPr>
                <w:sz w:val="16"/>
                <w:szCs w:val="16"/>
                <w:color w:val="auto"/>
              </w:rPr>
            </w:pPr>
          </w:p>
        </w:tc>
        <w:tc>
          <w:tcPr>
            <w:tcW w:w="680" w:type="dxa"/>
            <w:vAlign w:val="bottom"/>
            <w:tcBorders>
              <w:bottom w:val="single" w:sz="8" w:color="98A3B8"/>
            </w:tcBorders>
          </w:tcPr>
          <w:p>
            <w:pPr>
              <w:jc w:val="right"/>
              <w:ind w:right="6"/>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98A3B8"/>
            </w:tcBorders>
          </w:tcPr>
          <w:p>
            <w:pPr>
              <w:spacing w:after="0"/>
              <w:rPr>
                <w:sz w:val="16"/>
                <w:szCs w:val="16"/>
                <w:color w:val="auto"/>
              </w:rPr>
            </w:pPr>
          </w:p>
        </w:tc>
        <w:tc>
          <w:tcPr>
            <w:tcW w:w="700" w:type="dxa"/>
            <w:vAlign w:val="bottom"/>
            <w:tcBorders>
              <w:bottom w:val="single" w:sz="8" w:color="98A3B8"/>
            </w:tcBorders>
          </w:tcPr>
          <w:p>
            <w:pPr>
              <w:jc w:val="right"/>
              <w:ind w:right="2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3"/>
        </w:trPr>
        <w:tc>
          <w:tcPr>
            <w:tcW w:w="5780" w:type="dxa"/>
            <w:vAlign w:val="bottom"/>
            <w:gridSpan w:val="2"/>
          </w:tcPr>
          <w:p>
            <w:pPr>
              <w:spacing w:after="0"/>
              <w:rPr>
                <w:sz w:val="20"/>
                <w:szCs w:val="20"/>
                <w:color w:val="auto"/>
              </w:rPr>
            </w:pPr>
            <w:r>
              <w:rPr>
                <w:rFonts w:ascii="Arial" w:cs="Arial" w:eastAsia="Arial" w:hAnsi="Arial"/>
                <w:sz w:val="15"/>
                <w:szCs w:val="15"/>
                <w:color w:val="auto"/>
              </w:rPr>
              <w:t>Transaction related costs,</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2"/>
        </w:trPr>
        <w:tc>
          <w:tcPr>
            <w:tcW w:w="568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net of recoveries</w:t>
            </w:r>
          </w:p>
        </w:tc>
        <w:tc>
          <w:tcPr>
            <w:tcW w:w="100" w:type="dxa"/>
            <w:vAlign w:val="bottom"/>
          </w:tcPr>
          <w:p>
            <w:pPr>
              <w:spacing w:after="0"/>
              <w:rPr>
                <w:sz w:val="16"/>
                <w:szCs w:val="16"/>
                <w:color w:val="auto"/>
              </w:rPr>
            </w:pPr>
          </w:p>
        </w:tc>
        <w:tc>
          <w:tcPr>
            <w:tcW w:w="120" w:type="dxa"/>
            <w:vAlign w:val="bottom"/>
            <w:tcBorders>
              <w:bottom w:val="single" w:sz="8" w:color="98A3B8"/>
            </w:tcBorders>
          </w:tcPr>
          <w:p>
            <w:pPr>
              <w:spacing w:after="0"/>
              <w:rPr>
                <w:sz w:val="16"/>
                <w:szCs w:val="16"/>
                <w:color w:val="auto"/>
              </w:rPr>
            </w:pPr>
          </w:p>
        </w:tc>
        <w:tc>
          <w:tcPr>
            <w:tcW w:w="760" w:type="dxa"/>
            <w:vAlign w:val="bottom"/>
            <w:tcBorders>
              <w:bottom w:val="single" w:sz="8" w:color="98A3B8"/>
            </w:tcBorders>
          </w:tcPr>
          <w:p>
            <w:pPr>
              <w:jc w:val="right"/>
              <w:ind w:right="26"/>
              <w:spacing w:after="0"/>
              <w:rPr>
                <w:sz w:val="20"/>
                <w:szCs w:val="20"/>
                <w:color w:val="auto"/>
              </w:rPr>
            </w:pPr>
            <w:r>
              <w:rPr>
                <w:rFonts w:ascii="Arial" w:cs="Arial" w:eastAsia="Arial" w:hAnsi="Arial"/>
                <w:sz w:val="15"/>
                <w:szCs w:val="15"/>
                <w:color w:val="auto"/>
              </w:rPr>
              <w:t>8,707</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98A3B8"/>
            </w:tcBorders>
          </w:tcPr>
          <w:p>
            <w:pPr>
              <w:spacing w:after="0"/>
              <w:rPr>
                <w:sz w:val="16"/>
                <w:szCs w:val="16"/>
                <w:color w:val="auto"/>
              </w:rPr>
            </w:pPr>
          </w:p>
        </w:tc>
        <w:tc>
          <w:tcPr>
            <w:tcW w:w="740" w:type="dxa"/>
            <w:vAlign w:val="bottom"/>
            <w:tcBorders>
              <w:bottom w:val="single" w:sz="8" w:color="98A3B8"/>
            </w:tcBorders>
          </w:tcPr>
          <w:p>
            <w:pPr>
              <w:jc w:val="right"/>
              <w:ind w:right="4"/>
              <w:spacing w:after="0"/>
              <w:rPr>
                <w:sz w:val="20"/>
                <w:szCs w:val="20"/>
                <w:color w:val="auto"/>
              </w:rPr>
            </w:pPr>
            <w:r>
              <w:rPr>
                <w:rFonts w:ascii="Arial" w:cs="Arial" w:eastAsia="Arial" w:hAnsi="Arial"/>
                <w:sz w:val="15"/>
                <w:szCs w:val="15"/>
                <w:color w:val="auto"/>
              </w:rPr>
              <w:t>3,985</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98A3B8"/>
            </w:tcBorders>
          </w:tcPr>
          <w:p>
            <w:pPr>
              <w:spacing w:after="0"/>
              <w:rPr>
                <w:sz w:val="16"/>
                <w:szCs w:val="16"/>
                <w:color w:val="auto"/>
              </w:rPr>
            </w:pPr>
          </w:p>
        </w:tc>
        <w:tc>
          <w:tcPr>
            <w:tcW w:w="680" w:type="dxa"/>
            <w:vAlign w:val="bottom"/>
            <w:tcBorders>
              <w:bottom w:val="single" w:sz="8" w:color="98A3B8"/>
            </w:tcBorders>
          </w:tcPr>
          <w:p>
            <w:pPr>
              <w:jc w:val="right"/>
              <w:ind w:right="6"/>
              <w:spacing w:after="0"/>
              <w:rPr>
                <w:sz w:val="20"/>
                <w:szCs w:val="20"/>
                <w:color w:val="auto"/>
              </w:rPr>
            </w:pPr>
            <w:r>
              <w:rPr>
                <w:rFonts w:ascii="Arial" w:cs="Arial" w:eastAsia="Arial" w:hAnsi="Arial"/>
                <w:sz w:val="15"/>
                <w:szCs w:val="15"/>
                <w:color w:val="auto"/>
              </w:rPr>
              <w:t>372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98A3B8"/>
            </w:tcBorders>
          </w:tcPr>
          <w:p>
            <w:pPr>
              <w:spacing w:after="0"/>
              <w:rPr>
                <w:sz w:val="16"/>
                <w:szCs w:val="16"/>
                <w:color w:val="auto"/>
              </w:rPr>
            </w:pPr>
          </w:p>
        </w:tc>
        <w:tc>
          <w:tcPr>
            <w:tcW w:w="700" w:type="dxa"/>
            <w:vAlign w:val="bottom"/>
            <w:tcBorders>
              <w:bottom w:val="single" w:sz="8" w:color="98A3B8"/>
            </w:tcBorders>
          </w:tcPr>
          <w:p>
            <w:pPr>
              <w:jc w:val="right"/>
              <w:ind w:right="24"/>
              <w:spacing w:after="0"/>
              <w:rPr>
                <w:sz w:val="20"/>
                <w:szCs w:val="20"/>
                <w:color w:val="auto"/>
              </w:rPr>
            </w:pPr>
            <w:r>
              <w:rPr>
                <w:rFonts w:ascii="Arial" w:cs="Arial" w:eastAsia="Arial" w:hAnsi="Arial"/>
                <w:sz w:val="15"/>
                <w:szCs w:val="15"/>
                <w:color w:val="auto"/>
              </w:rPr>
              <w:t>356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7"/>
        </w:trPr>
        <w:tc>
          <w:tcPr>
            <w:tcW w:w="568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Non-building revenue</w:t>
            </w:r>
          </w:p>
        </w:tc>
        <w:tc>
          <w:tcPr>
            <w:tcW w:w="100" w:type="dxa"/>
            <w:vAlign w:val="bottom"/>
          </w:tcPr>
          <w:p>
            <w:pPr>
              <w:spacing w:after="0"/>
              <w:rPr>
                <w:sz w:val="18"/>
                <w:szCs w:val="18"/>
                <w:color w:val="auto"/>
              </w:rPr>
            </w:pPr>
          </w:p>
        </w:tc>
        <w:tc>
          <w:tcPr>
            <w:tcW w:w="120" w:type="dxa"/>
            <w:vAlign w:val="bottom"/>
            <w:tcBorders>
              <w:bottom w:val="single" w:sz="8" w:color="98A3B8"/>
            </w:tcBorders>
          </w:tcPr>
          <w:p>
            <w:pPr>
              <w:spacing w:after="0"/>
              <w:rPr>
                <w:sz w:val="18"/>
                <w:szCs w:val="18"/>
                <w:color w:val="auto"/>
              </w:rPr>
            </w:pPr>
          </w:p>
        </w:tc>
        <w:tc>
          <w:tcPr>
            <w:tcW w:w="76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(217,856)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74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(201,416)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68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(17,467)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98A3B8"/>
            </w:tcBorders>
          </w:tcPr>
          <w:p>
            <w:pPr>
              <w:spacing w:after="0"/>
              <w:rPr>
                <w:sz w:val="18"/>
                <w:szCs w:val="18"/>
                <w:color w:val="auto"/>
              </w:rPr>
            </w:pPr>
          </w:p>
        </w:tc>
        <w:tc>
          <w:tcPr>
            <w:tcW w:w="7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(18,451)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3"/>
        </w:trPr>
        <w:tc>
          <w:tcPr>
            <w:tcW w:w="5780" w:type="dxa"/>
            <w:vAlign w:val="bottom"/>
            <w:gridSpan w:val="2"/>
          </w:tcPr>
          <w:p>
            <w:pPr>
              <w:spacing w:after="0"/>
              <w:rPr>
                <w:sz w:val="20"/>
                <w:szCs w:val="20"/>
                <w:color w:val="auto"/>
              </w:rPr>
            </w:pPr>
            <w:r>
              <w:rPr>
                <w:rFonts w:ascii="Arial" w:cs="Arial" w:eastAsia="Arial" w:hAnsi="Arial"/>
                <w:sz w:val="15"/>
                <w:szCs w:val="15"/>
                <w:color w:val="auto"/>
              </w:rPr>
              <w:t>Equity in income from</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2"/>
        </w:trPr>
        <w:tc>
          <w:tcPr>
            <w:tcW w:w="568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unconsolidated joint ventures</w:t>
            </w:r>
          </w:p>
        </w:tc>
        <w:tc>
          <w:tcPr>
            <w:tcW w:w="100" w:type="dxa"/>
            <w:vAlign w:val="bottom"/>
          </w:tcPr>
          <w:p>
            <w:pPr>
              <w:spacing w:after="0"/>
              <w:rPr>
                <w:sz w:val="16"/>
                <w:szCs w:val="16"/>
                <w:color w:val="auto"/>
              </w:rPr>
            </w:pPr>
          </w:p>
        </w:tc>
        <w:tc>
          <w:tcPr>
            <w:tcW w:w="120" w:type="dxa"/>
            <w:vAlign w:val="bottom"/>
            <w:tcBorders>
              <w:bottom w:val="single" w:sz="8" w:color="98A3B8"/>
            </w:tcBorders>
          </w:tcPr>
          <w:p>
            <w:pPr>
              <w:spacing w:after="0"/>
              <w:rPr>
                <w:sz w:val="16"/>
                <w:szCs w:val="16"/>
                <w:color w:val="auto"/>
              </w:rPr>
            </w:pPr>
          </w:p>
        </w:tc>
        <w:tc>
          <w:tcPr>
            <w:tcW w:w="76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(26,537)</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98A3B8"/>
            </w:tcBorders>
          </w:tcPr>
          <w:p>
            <w:pPr>
              <w:spacing w:after="0"/>
              <w:rPr>
                <w:sz w:val="16"/>
                <w:szCs w:val="16"/>
                <w:color w:val="auto"/>
              </w:rPr>
            </w:pPr>
          </w:p>
        </w:tc>
        <w:tc>
          <w:tcPr>
            <w:tcW w:w="74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(9,921)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98A3B8"/>
            </w:tcBorders>
          </w:tcPr>
          <w:p>
            <w:pPr>
              <w:spacing w:after="0"/>
              <w:rPr>
                <w:sz w:val="16"/>
                <w:szCs w:val="16"/>
                <w:color w:val="auto"/>
              </w:rPr>
            </w:pPr>
          </w:p>
        </w:tc>
        <w:tc>
          <w:tcPr>
            <w:tcW w:w="680" w:type="dxa"/>
            <w:vAlign w:val="bottom"/>
            <w:tcBorders>
              <w:bottom w:val="single" w:sz="8" w:color="98A3B8"/>
            </w:tcBorders>
          </w:tcPr>
          <w:p>
            <w:pPr>
              <w:jc w:val="right"/>
              <w:ind w:right="6"/>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98A3B8"/>
            </w:tcBorders>
          </w:tcPr>
          <w:p>
            <w:pPr>
              <w:spacing w:after="0"/>
              <w:rPr>
                <w:sz w:val="16"/>
                <w:szCs w:val="16"/>
                <w:color w:val="auto"/>
              </w:rPr>
            </w:pPr>
          </w:p>
        </w:tc>
        <w:tc>
          <w:tcPr>
            <w:tcW w:w="700" w:type="dxa"/>
            <w:vAlign w:val="bottom"/>
            <w:tcBorders>
              <w:bottom w:val="single" w:sz="8" w:color="98A3B8"/>
            </w:tcBorders>
          </w:tcPr>
          <w:p>
            <w:pPr>
              <w:jc w:val="right"/>
              <w:ind w:right="2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7"/>
        </w:trPr>
        <w:tc>
          <w:tcPr>
            <w:tcW w:w="568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Loss on early extinguishment of debt</w:t>
            </w:r>
          </w:p>
        </w:tc>
        <w:tc>
          <w:tcPr>
            <w:tcW w:w="100" w:type="dxa"/>
            <w:vAlign w:val="bottom"/>
          </w:tcPr>
          <w:p>
            <w:pPr>
              <w:spacing w:after="0"/>
              <w:rPr>
                <w:sz w:val="18"/>
                <w:szCs w:val="18"/>
                <w:color w:val="auto"/>
              </w:rPr>
            </w:pPr>
          </w:p>
        </w:tc>
        <w:tc>
          <w:tcPr>
            <w:tcW w:w="120" w:type="dxa"/>
            <w:vAlign w:val="bottom"/>
            <w:tcBorders>
              <w:bottom w:val="single" w:sz="8" w:color="98A3B8"/>
            </w:tcBorders>
          </w:tcPr>
          <w:p>
            <w:pPr>
              <w:spacing w:after="0"/>
              <w:rPr>
                <w:sz w:val="18"/>
                <w:szCs w:val="18"/>
                <w:color w:val="auto"/>
              </w:rPr>
            </w:pPr>
          </w:p>
        </w:tc>
        <w:tc>
          <w:tcPr>
            <w:tcW w:w="760" w:type="dxa"/>
            <w:vAlign w:val="bottom"/>
            <w:tcBorders>
              <w:bottom w:val="single" w:sz="8" w:color="98A3B8"/>
            </w:tcBorders>
          </w:tcPr>
          <w:p>
            <w:pPr>
              <w:jc w:val="right"/>
              <w:ind w:right="26"/>
              <w:spacing w:after="0"/>
              <w:rPr>
                <w:sz w:val="20"/>
                <w:szCs w:val="20"/>
                <w:color w:val="auto"/>
              </w:rPr>
            </w:pPr>
            <w:r>
              <w:rPr>
                <w:rFonts w:ascii="Arial" w:cs="Arial" w:eastAsia="Arial" w:hAnsi="Arial"/>
                <w:sz w:val="15"/>
                <w:szCs w:val="15"/>
                <w:color w:val="auto"/>
              </w:rPr>
              <w:t>32,365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740" w:type="dxa"/>
            <w:vAlign w:val="bottom"/>
            <w:tcBorders>
              <w:bottom w:val="single" w:sz="8" w:color="98A3B8"/>
            </w:tcBorders>
          </w:tcPr>
          <w:p>
            <w:pPr>
              <w:jc w:val="right"/>
              <w:ind w:right="4"/>
              <w:spacing w:after="0"/>
              <w:rPr>
                <w:sz w:val="20"/>
                <w:szCs w:val="20"/>
                <w:color w:val="auto"/>
              </w:rPr>
            </w:pPr>
            <w:r>
              <w:rPr>
                <w:rFonts w:ascii="Arial" w:cs="Arial" w:eastAsia="Arial" w:hAnsi="Arial"/>
                <w:sz w:val="15"/>
                <w:szCs w:val="15"/>
                <w:color w:val="auto"/>
              </w:rPr>
              <w:t>18,518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680" w:type="dxa"/>
            <w:vAlign w:val="bottom"/>
            <w:tcBorders>
              <w:bottom w:val="single" w:sz="8" w:color="98A3B8"/>
            </w:tcBorders>
          </w:tcPr>
          <w:p>
            <w:pPr>
              <w:jc w:val="right"/>
              <w:ind w:right="6"/>
              <w:spacing w:after="0"/>
              <w:rPr>
                <w:sz w:val="20"/>
                <w:szCs w:val="20"/>
                <w:color w:val="auto"/>
              </w:rPr>
            </w:pPr>
            <w:r>
              <w:rPr>
                <w:rFonts w:ascii="Arial" w:cs="Arial" w:eastAsia="Arial" w:hAnsi="Arial"/>
                <w:sz w:val="15"/>
                <w:szCs w:val="15"/>
                <w:color w:val="auto"/>
              </w:rPr>
              <w:t>3,382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98A3B8"/>
            </w:tcBorders>
          </w:tcPr>
          <w:p>
            <w:pPr>
              <w:spacing w:after="0"/>
              <w:rPr>
                <w:sz w:val="18"/>
                <w:szCs w:val="18"/>
                <w:color w:val="auto"/>
              </w:rPr>
            </w:pPr>
          </w:p>
        </w:tc>
        <w:tc>
          <w:tcPr>
            <w:tcW w:w="700" w:type="dxa"/>
            <w:vAlign w:val="bottom"/>
            <w:tcBorders>
              <w:bottom w:val="single" w:sz="8" w:color="98A3B8"/>
            </w:tcBorders>
          </w:tcPr>
          <w:p>
            <w:pPr>
              <w:jc w:val="right"/>
              <w:ind w:right="2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740" w:type="dxa"/>
            <w:vAlign w:val="bottom"/>
            <w:tcBorders>
              <w:bottom w:val="single" w:sz="8" w:color="98A3B8"/>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760" w:type="dxa"/>
            <w:vAlign w:val="bottom"/>
            <w:tcBorders>
              <w:bottom w:val="single" w:sz="8" w:color="98A3B8"/>
            </w:tcBorders>
          </w:tcPr>
          <w:p>
            <w:pPr>
              <w:spacing w:after="0"/>
              <w:rPr>
                <w:sz w:val="18"/>
                <w:szCs w:val="18"/>
                <w:color w:val="auto"/>
              </w:rPr>
            </w:pPr>
          </w:p>
        </w:tc>
      </w:tr>
      <w:tr>
        <w:trPr>
          <w:trHeight w:val="217"/>
        </w:trPr>
        <w:tc>
          <w:tcPr>
            <w:tcW w:w="5680" w:type="dxa"/>
            <w:vAlign w:val="bottom"/>
            <w:tcBorders>
              <w:bottom w:val="single" w:sz="8" w:color="98A3B8"/>
            </w:tcBorders>
          </w:tcPr>
          <w:p>
            <w:pPr>
              <w:spacing w:after="0"/>
              <w:rPr>
                <w:sz w:val="20"/>
                <w:szCs w:val="20"/>
                <w:color w:val="auto"/>
              </w:rPr>
            </w:pPr>
            <w:r>
              <w:rPr>
                <w:rFonts w:ascii="Arial" w:cs="Arial" w:eastAsia="Arial" w:hAnsi="Arial"/>
                <w:sz w:val="15"/>
                <w:szCs w:val="15"/>
                <w:b w:val="1"/>
                <w:bCs w:val="1"/>
                <w:color w:val="auto"/>
              </w:rPr>
              <w:t>Net operating income (NOI)</w:t>
            </w:r>
          </w:p>
        </w:tc>
        <w:tc>
          <w:tcPr>
            <w:tcW w:w="100" w:type="dxa"/>
            <w:vAlign w:val="bottom"/>
          </w:tcPr>
          <w:p>
            <w:pPr>
              <w:spacing w:after="0"/>
              <w:rPr>
                <w:sz w:val="18"/>
                <w:szCs w:val="18"/>
                <w:color w:val="auto"/>
              </w:rPr>
            </w:pPr>
          </w:p>
        </w:tc>
        <w:tc>
          <w:tcPr>
            <w:tcW w:w="120" w:type="dxa"/>
            <w:vAlign w:val="bottom"/>
            <w:tcBorders>
              <w:bottom w:val="single" w:sz="8" w:color="98A3B8"/>
            </w:tcBorders>
          </w:tcPr>
          <w:p>
            <w:pPr>
              <w:spacing w:after="0"/>
              <w:rPr>
                <w:sz w:val="18"/>
                <w:szCs w:val="18"/>
                <w:color w:val="auto"/>
              </w:rPr>
            </w:pPr>
          </w:p>
        </w:tc>
        <w:tc>
          <w:tcPr>
            <w:tcW w:w="760" w:type="dxa"/>
            <w:vAlign w:val="bottom"/>
            <w:tcBorders>
              <w:bottom w:val="single" w:sz="8" w:color="98A3B8"/>
            </w:tcBorders>
          </w:tcPr>
          <w:p>
            <w:pPr>
              <w:jc w:val="right"/>
              <w:ind w:right="26"/>
              <w:spacing w:after="0"/>
              <w:rPr>
                <w:sz w:val="20"/>
                <w:szCs w:val="20"/>
                <w:color w:val="auto"/>
              </w:rPr>
            </w:pPr>
            <w:r>
              <w:rPr>
                <w:rFonts w:ascii="Arial" w:cs="Arial" w:eastAsia="Arial" w:hAnsi="Arial"/>
                <w:sz w:val="15"/>
                <w:szCs w:val="15"/>
                <w:color w:val="auto"/>
              </w:rPr>
              <w:t>807,479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740" w:type="dxa"/>
            <w:vAlign w:val="bottom"/>
            <w:tcBorders>
              <w:bottom w:val="single" w:sz="8" w:color="98A3B8"/>
            </w:tcBorders>
          </w:tcPr>
          <w:p>
            <w:pPr>
              <w:jc w:val="right"/>
              <w:ind w:right="4"/>
              <w:spacing w:after="0"/>
              <w:rPr>
                <w:sz w:val="20"/>
                <w:szCs w:val="20"/>
                <w:color w:val="auto"/>
              </w:rPr>
            </w:pPr>
            <w:r>
              <w:rPr>
                <w:rFonts w:ascii="Arial" w:cs="Arial" w:eastAsia="Arial" w:hAnsi="Arial"/>
                <w:sz w:val="15"/>
                <w:szCs w:val="15"/>
                <w:color w:val="auto"/>
              </w:rPr>
              <w:t>722,939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680" w:type="dxa"/>
            <w:vAlign w:val="bottom"/>
            <w:tcBorders>
              <w:bottom w:val="single" w:sz="8" w:color="98A3B8"/>
            </w:tcBorders>
          </w:tcPr>
          <w:p>
            <w:pPr>
              <w:jc w:val="right"/>
              <w:ind w:right="6"/>
              <w:spacing w:after="0"/>
              <w:rPr>
                <w:sz w:val="20"/>
                <w:szCs w:val="20"/>
                <w:color w:val="auto"/>
              </w:rPr>
            </w:pPr>
            <w:r>
              <w:rPr>
                <w:rFonts w:ascii="Arial" w:cs="Arial" w:eastAsia="Arial" w:hAnsi="Arial"/>
                <w:sz w:val="15"/>
                <w:szCs w:val="15"/>
                <w:color w:val="auto"/>
              </w:rPr>
              <w:t>141,079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98A3B8"/>
            </w:tcBorders>
          </w:tcPr>
          <w:p>
            <w:pPr>
              <w:spacing w:after="0"/>
              <w:rPr>
                <w:sz w:val="18"/>
                <w:szCs w:val="18"/>
                <w:color w:val="auto"/>
              </w:rPr>
            </w:pPr>
          </w:p>
        </w:tc>
        <w:tc>
          <w:tcPr>
            <w:tcW w:w="700" w:type="dxa"/>
            <w:vAlign w:val="bottom"/>
            <w:tcBorders>
              <w:bottom w:val="single" w:sz="8" w:color="98A3B8"/>
            </w:tcBorders>
          </w:tcPr>
          <w:p>
            <w:pPr>
              <w:jc w:val="right"/>
              <w:ind w:right="24"/>
              <w:spacing w:after="0"/>
              <w:rPr>
                <w:sz w:val="20"/>
                <w:szCs w:val="20"/>
                <w:color w:val="auto"/>
              </w:rPr>
            </w:pPr>
            <w:r>
              <w:rPr>
                <w:rFonts w:ascii="Arial" w:cs="Arial" w:eastAsia="Arial" w:hAnsi="Arial"/>
                <w:sz w:val="15"/>
                <w:szCs w:val="15"/>
                <w:color w:val="auto"/>
              </w:rPr>
              <w:t>165,762</w:t>
            </w:r>
          </w:p>
        </w:tc>
        <w:tc>
          <w:tcPr>
            <w:tcW w:w="100" w:type="dxa"/>
            <w:vAlign w:val="bottom"/>
          </w:tcPr>
          <w:p>
            <w:pPr>
              <w:spacing w:after="0"/>
              <w:rPr>
                <w:sz w:val="18"/>
                <w:szCs w:val="18"/>
                <w:color w:val="auto"/>
              </w:rPr>
            </w:pPr>
          </w:p>
        </w:tc>
        <w:tc>
          <w:tcPr>
            <w:tcW w:w="14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98A3B8"/>
            </w:tcBorders>
          </w:tcPr>
          <w:p>
            <w:pPr>
              <w:jc w:val="right"/>
              <w:ind w:right="9"/>
              <w:spacing w:after="0"/>
              <w:rPr>
                <w:sz w:val="20"/>
                <w:szCs w:val="20"/>
                <w:color w:val="auto"/>
              </w:rPr>
            </w:pPr>
            <w:r>
              <w:rPr>
                <w:rFonts w:ascii="Arial" w:cs="Arial" w:eastAsia="Arial" w:hAnsi="Arial"/>
                <w:sz w:val="15"/>
                <w:szCs w:val="15"/>
                <w:color w:val="auto"/>
              </w:rPr>
              <w:t>948,558</w:t>
            </w:r>
          </w:p>
        </w:tc>
        <w:tc>
          <w:tcPr>
            <w:tcW w:w="100" w:type="dxa"/>
            <w:vAlign w:val="bottom"/>
          </w:tcPr>
          <w:p>
            <w:pPr>
              <w:spacing w:after="0"/>
              <w:rPr>
                <w:sz w:val="18"/>
                <w:szCs w:val="18"/>
                <w:color w:val="auto"/>
              </w:rPr>
            </w:pPr>
          </w:p>
        </w:tc>
        <w:tc>
          <w:tcPr>
            <w:tcW w:w="14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98A3B8"/>
            </w:tcBorders>
          </w:tcPr>
          <w:p>
            <w:pPr>
              <w:jc w:val="right"/>
              <w:ind w:right="25"/>
              <w:spacing w:after="0"/>
              <w:rPr>
                <w:sz w:val="20"/>
                <w:szCs w:val="20"/>
                <w:color w:val="auto"/>
              </w:rPr>
            </w:pPr>
            <w:r>
              <w:rPr>
                <w:rFonts w:ascii="Arial" w:cs="Arial" w:eastAsia="Arial" w:hAnsi="Arial"/>
                <w:sz w:val="15"/>
                <w:szCs w:val="15"/>
                <w:color w:val="auto"/>
              </w:rPr>
              <w:t>888,701</w:t>
            </w:r>
          </w:p>
        </w:tc>
      </w:tr>
      <w:tr>
        <w:trPr>
          <w:trHeight w:val="217"/>
        </w:trPr>
        <w:tc>
          <w:tcPr>
            <w:tcW w:w="568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NOI from discontinued operations</w:t>
            </w:r>
          </w:p>
        </w:tc>
        <w:tc>
          <w:tcPr>
            <w:tcW w:w="100" w:type="dxa"/>
            <w:vAlign w:val="bottom"/>
          </w:tcPr>
          <w:p>
            <w:pPr>
              <w:spacing w:after="0"/>
              <w:rPr>
                <w:sz w:val="18"/>
                <w:szCs w:val="18"/>
                <w:color w:val="auto"/>
              </w:rPr>
            </w:pPr>
          </w:p>
        </w:tc>
        <w:tc>
          <w:tcPr>
            <w:tcW w:w="120" w:type="dxa"/>
            <w:vAlign w:val="bottom"/>
            <w:tcBorders>
              <w:bottom w:val="single" w:sz="8" w:color="98A3B8"/>
            </w:tcBorders>
          </w:tcPr>
          <w:p>
            <w:pPr>
              <w:spacing w:after="0"/>
              <w:rPr>
                <w:sz w:val="18"/>
                <w:szCs w:val="18"/>
                <w:color w:val="auto"/>
              </w:rPr>
            </w:pPr>
          </w:p>
        </w:tc>
        <w:tc>
          <w:tcPr>
            <w:tcW w:w="76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(37,790)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74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(64,906)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680" w:type="dxa"/>
            <w:vAlign w:val="bottom"/>
            <w:tcBorders>
              <w:bottom w:val="single" w:sz="8" w:color="98A3B8"/>
            </w:tcBorders>
          </w:tcPr>
          <w:p>
            <w:pPr>
              <w:jc w:val="right"/>
              <w:ind w:right="6"/>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98A3B8"/>
            </w:tcBorders>
          </w:tcPr>
          <w:p>
            <w:pPr>
              <w:spacing w:after="0"/>
              <w:rPr>
                <w:sz w:val="18"/>
                <w:szCs w:val="18"/>
                <w:color w:val="auto"/>
              </w:rPr>
            </w:pPr>
          </w:p>
        </w:tc>
        <w:tc>
          <w:tcPr>
            <w:tcW w:w="700" w:type="dxa"/>
            <w:vAlign w:val="bottom"/>
            <w:tcBorders>
              <w:bottom w:val="single" w:sz="8" w:color="98A3B8"/>
            </w:tcBorders>
          </w:tcPr>
          <w:p>
            <w:pPr>
              <w:jc w:val="right"/>
              <w:ind w:right="2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74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(37,790)</w:t>
            </w:r>
          </w:p>
        </w:tc>
        <w:tc>
          <w:tcPr>
            <w:tcW w:w="10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76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(64,906)</w:t>
            </w:r>
          </w:p>
        </w:tc>
      </w:tr>
      <w:tr>
        <w:trPr>
          <w:trHeight w:val="217"/>
        </w:trPr>
        <w:tc>
          <w:tcPr>
            <w:tcW w:w="568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NOI from other properties/affiliates</w:t>
            </w:r>
          </w:p>
        </w:tc>
        <w:tc>
          <w:tcPr>
            <w:tcW w:w="100" w:type="dxa"/>
            <w:vAlign w:val="bottom"/>
          </w:tcPr>
          <w:p>
            <w:pPr>
              <w:spacing w:after="0"/>
              <w:rPr>
                <w:sz w:val="18"/>
                <w:szCs w:val="18"/>
                <w:color w:val="auto"/>
              </w:rPr>
            </w:pPr>
          </w:p>
        </w:tc>
        <w:tc>
          <w:tcPr>
            <w:tcW w:w="120" w:type="dxa"/>
            <w:vAlign w:val="bottom"/>
            <w:tcBorders>
              <w:bottom w:val="single" w:sz="8" w:color="98A3B8"/>
            </w:tcBorders>
          </w:tcPr>
          <w:p>
            <w:pPr>
              <w:spacing w:after="0"/>
              <w:rPr>
                <w:sz w:val="18"/>
                <w:szCs w:val="18"/>
                <w:color w:val="auto"/>
              </w:rPr>
            </w:pPr>
          </w:p>
        </w:tc>
        <w:tc>
          <w:tcPr>
            <w:tcW w:w="76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(111,992)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74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(22,437)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68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(54,941)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98A3B8"/>
            </w:tcBorders>
          </w:tcPr>
          <w:p>
            <w:pPr>
              <w:spacing w:after="0"/>
              <w:rPr>
                <w:sz w:val="18"/>
                <w:szCs w:val="18"/>
                <w:color w:val="auto"/>
              </w:rPr>
            </w:pPr>
          </w:p>
        </w:tc>
        <w:tc>
          <w:tcPr>
            <w:tcW w:w="7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(87,906)</w:t>
            </w:r>
          </w:p>
        </w:tc>
        <w:tc>
          <w:tcPr>
            <w:tcW w:w="10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74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(166,933)</w:t>
            </w:r>
          </w:p>
        </w:tc>
        <w:tc>
          <w:tcPr>
            <w:tcW w:w="10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76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(110,343)</w:t>
            </w:r>
          </w:p>
        </w:tc>
      </w:tr>
      <w:tr>
        <w:trPr>
          <w:trHeight w:val="217"/>
        </w:trPr>
        <w:tc>
          <w:tcPr>
            <w:tcW w:w="5680" w:type="dxa"/>
            <w:vAlign w:val="bottom"/>
          </w:tcPr>
          <w:p>
            <w:pPr>
              <w:spacing w:after="0"/>
              <w:rPr>
                <w:sz w:val="20"/>
                <w:szCs w:val="20"/>
                <w:color w:val="auto"/>
              </w:rPr>
            </w:pPr>
            <w:r>
              <w:rPr>
                <w:rFonts w:ascii="Arial" w:cs="Arial" w:eastAsia="Arial" w:hAnsi="Arial"/>
                <w:sz w:val="15"/>
                <w:szCs w:val="15"/>
                <w:b w:val="1"/>
                <w:bCs w:val="1"/>
                <w:color w:val="auto"/>
              </w:rPr>
              <w:t>Same-Store NOI</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26"/>
              <w:spacing w:after="0"/>
              <w:rPr>
                <w:sz w:val="20"/>
                <w:szCs w:val="20"/>
                <w:color w:val="auto"/>
              </w:rPr>
            </w:pPr>
            <w:r>
              <w:rPr>
                <w:rFonts w:ascii="Arial" w:cs="Arial" w:eastAsia="Arial" w:hAnsi="Arial"/>
                <w:sz w:val="15"/>
                <w:szCs w:val="15"/>
                <w:color w:val="auto"/>
              </w:rPr>
              <w:t>657,697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635,596</w:t>
            </w:r>
          </w:p>
        </w:tc>
        <w:tc>
          <w:tcPr>
            <w:tcW w:w="6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6"/>
              <w:spacing w:after="0"/>
              <w:rPr>
                <w:sz w:val="20"/>
                <w:szCs w:val="20"/>
                <w:color w:val="auto"/>
              </w:rPr>
            </w:pPr>
            <w:r>
              <w:rPr>
                <w:rFonts w:ascii="Arial" w:cs="Arial" w:eastAsia="Arial" w:hAnsi="Arial"/>
                <w:sz w:val="15"/>
                <w:szCs w:val="15"/>
                <w:color w:val="auto"/>
              </w:rPr>
              <w:t>86,138</w:t>
            </w:r>
          </w:p>
        </w:tc>
        <w:tc>
          <w:tcPr>
            <w:tcW w:w="4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24"/>
              <w:spacing w:after="0"/>
              <w:rPr>
                <w:sz w:val="20"/>
                <w:szCs w:val="20"/>
                <w:color w:val="auto"/>
              </w:rPr>
            </w:pPr>
            <w:r>
              <w:rPr>
                <w:rFonts w:ascii="Arial" w:cs="Arial" w:eastAsia="Arial" w:hAnsi="Arial"/>
                <w:sz w:val="15"/>
                <w:szCs w:val="15"/>
                <w:color w:val="auto"/>
              </w:rPr>
              <w:t>77,856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9"/>
              <w:spacing w:after="0"/>
              <w:rPr>
                <w:sz w:val="20"/>
                <w:szCs w:val="20"/>
                <w:color w:val="auto"/>
              </w:rPr>
            </w:pPr>
            <w:r>
              <w:rPr>
                <w:rFonts w:ascii="Arial" w:cs="Arial" w:eastAsia="Arial" w:hAnsi="Arial"/>
                <w:sz w:val="15"/>
                <w:szCs w:val="15"/>
                <w:color w:val="auto"/>
              </w:rPr>
              <w:t>743,835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713,452</w:t>
            </w:r>
          </w:p>
        </w:tc>
      </w:tr>
      <w:tr>
        <w:trPr>
          <w:trHeight w:val="217"/>
        </w:trPr>
        <w:tc>
          <w:tcPr>
            <w:tcW w:w="5680" w:type="dxa"/>
            <w:vAlign w:val="bottom"/>
            <w:tcBorders>
              <w:top w:val="single" w:sz="8" w:color="98A3B8"/>
              <w:bottom w:val="single" w:sz="8" w:color="98A3B8"/>
            </w:tcBorders>
          </w:tcPr>
          <w:p>
            <w:pPr>
              <w:spacing w:after="0"/>
              <w:rPr>
                <w:sz w:val="20"/>
                <w:szCs w:val="20"/>
                <w:color w:val="auto"/>
              </w:rPr>
            </w:pPr>
            <w:r>
              <w:rPr>
                <w:rFonts w:ascii="Arial" w:cs="Arial" w:eastAsia="Arial" w:hAnsi="Arial"/>
                <w:sz w:val="15"/>
                <w:szCs w:val="15"/>
                <w:color w:val="auto"/>
              </w:rPr>
              <w:t>Ground lease straight-line adjustment</w:t>
            </w:r>
          </w:p>
        </w:tc>
        <w:tc>
          <w:tcPr>
            <w:tcW w:w="100" w:type="dxa"/>
            <w:vAlign w:val="bottom"/>
          </w:tcPr>
          <w:p>
            <w:pPr>
              <w:spacing w:after="0"/>
              <w:rPr>
                <w:sz w:val="18"/>
                <w:szCs w:val="18"/>
                <w:color w:val="auto"/>
              </w:rPr>
            </w:pPr>
          </w:p>
        </w:tc>
        <w:tc>
          <w:tcPr>
            <w:tcW w:w="120" w:type="dxa"/>
            <w:vAlign w:val="bottom"/>
            <w:tcBorders>
              <w:top w:val="single" w:sz="8" w:color="98A3B8"/>
              <w:bottom w:val="single" w:sz="8" w:color="98A3B8"/>
            </w:tcBorders>
          </w:tcPr>
          <w:p>
            <w:pPr>
              <w:spacing w:after="0"/>
              <w:rPr>
                <w:sz w:val="18"/>
                <w:szCs w:val="18"/>
                <w:color w:val="auto"/>
              </w:rPr>
            </w:pPr>
          </w:p>
        </w:tc>
        <w:tc>
          <w:tcPr>
            <w:tcW w:w="760" w:type="dxa"/>
            <w:vAlign w:val="bottom"/>
            <w:tcBorders>
              <w:top w:val="single" w:sz="8" w:color="98A3B8"/>
              <w:bottom w:val="single" w:sz="8" w:color="98A3B8"/>
            </w:tcBorders>
          </w:tcPr>
          <w:p>
            <w:pPr>
              <w:jc w:val="right"/>
              <w:ind w:right="26"/>
              <w:spacing w:after="0"/>
              <w:rPr>
                <w:sz w:val="20"/>
                <w:szCs w:val="20"/>
                <w:color w:val="auto"/>
              </w:rPr>
            </w:pPr>
            <w:r>
              <w:rPr>
                <w:rFonts w:ascii="Arial" w:cs="Arial" w:eastAsia="Arial" w:hAnsi="Arial"/>
                <w:sz w:val="15"/>
                <w:szCs w:val="15"/>
                <w:color w:val="auto"/>
              </w:rPr>
              <w:t>1,602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98A3B8"/>
              <w:bottom w:val="single" w:sz="8" w:color="98A3B8"/>
            </w:tcBorders>
          </w:tcPr>
          <w:p>
            <w:pPr>
              <w:spacing w:after="0"/>
              <w:rPr>
                <w:sz w:val="18"/>
                <w:szCs w:val="18"/>
                <w:color w:val="auto"/>
              </w:rPr>
            </w:pPr>
          </w:p>
        </w:tc>
        <w:tc>
          <w:tcPr>
            <w:tcW w:w="740" w:type="dxa"/>
            <w:vAlign w:val="bottom"/>
            <w:tcBorders>
              <w:top w:val="single" w:sz="8" w:color="98A3B8"/>
              <w:bottom w:val="single" w:sz="8" w:color="98A3B8"/>
            </w:tcBorders>
          </w:tcPr>
          <w:p>
            <w:pPr>
              <w:jc w:val="right"/>
              <w:ind w:right="4"/>
              <w:spacing w:after="0"/>
              <w:rPr>
                <w:sz w:val="20"/>
                <w:szCs w:val="20"/>
                <w:color w:val="auto"/>
              </w:rPr>
            </w:pPr>
            <w:r>
              <w:rPr>
                <w:rFonts w:ascii="Arial" w:cs="Arial" w:eastAsia="Arial" w:hAnsi="Arial"/>
                <w:sz w:val="15"/>
                <w:szCs w:val="15"/>
                <w:color w:val="auto"/>
              </w:rPr>
              <w:t>1,143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98A3B8"/>
              <w:bottom w:val="single" w:sz="8" w:color="98A3B8"/>
            </w:tcBorders>
          </w:tcPr>
          <w:p>
            <w:pPr>
              <w:spacing w:after="0"/>
              <w:rPr>
                <w:sz w:val="18"/>
                <w:szCs w:val="18"/>
                <w:color w:val="auto"/>
              </w:rPr>
            </w:pPr>
          </w:p>
        </w:tc>
        <w:tc>
          <w:tcPr>
            <w:tcW w:w="680" w:type="dxa"/>
            <w:vAlign w:val="bottom"/>
            <w:tcBorders>
              <w:top w:val="single" w:sz="8" w:color="98A3B8"/>
              <w:bottom w:val="single" w:sz="8" w:color="98A3B8"/>
            </w:tcBorders>
          </w:tcPr>
          <w:p>
            <w:pPr>
              <w:jc w:val="right"/>
              <w:ind w:right="6"/>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98A3B8"/>
              <w:bottom w:val="single" w:sz="8" w:color="98A3B8"/>
            </w:tcBorders>
          </w:tcPr>
          <w:p>
            <w:pPr>
              <w:spacing w:after="0"/>
              <w:rPr>
                <w:sz w:val="18"/>
                <w:szCs w:val="18"/>
                <w:color w:val="auto"/>
              </w:rPr>
            </w:pPr>
          </w:p>
        </w:tc>
        <w:tc>
          <w:tcPr>
            <w:tcW w:w="700" w:type="dxa"/>
            <w:vAlign w:val="bottom"/>
            <w:tcBorders>
              <w:top w:val="single" w:sz="8" w:color="98A3B8"/>
              <w:bottom w:val="single" w:sz="8" w:color="98A3B8"/>
            </w:tcBorders>
          </w:tcPr>
          <w:p>
            <w:pPr>
              <w:jc w:val="right"/>
              <w:ind w:right="2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40" w:type="dxa"/>
            <w:vAlign w:val="bottom"/>
            <w:tcBorders>
              <w:top w:val="single" w:sz="8" w:color="98A3B8"/>
              <w:bottom w:val="single" w:sz="8" w:color="98A3B8"/>
            </w:tcBorders>
          </w:tcPr>
          <w:p>
            <w:pPr>
              <w:spacing w:after="0"/>
              <w:rPr>
                <w:sz w:val="18"/>
                <w:szCs w:val="18"/>
                <w:color w:val="auto"/>
              </w:rPr>
            </w:pPr>
          </w:p>
        </w:tc>
        <w:tc>
          <w:tcPr>
            <w:tcW w:w="740" w:type="dxa"/>
            <w:vAlign w:val="bottom"/>
            <w:tcBorders>
              <w:top w:val="single" w:sz="8" w:color="98A3B8"/>
              <w:bottom w:val="single" w:sz="8" w:color="98A3B8"/>
            </w:tcBorders>
          </w:tcPr>
          <w:p>
            <w:pPr>
              <w:jc w:val="right"/>
              <w:ind w:right="9"/>
              <w:spacing w:after="0"/>
              <w:rPr>
                <w:sz w:val="20"/>
                <w:szCs w:val="20"/>
                <w:color w:val="auto"/>
              </w:rPr>
            </w:pPr>
            <w:r>
              <w:rPr>
                <w:rFonts w:ascii="Arial" w:cs="Arial" w:eastAsia="Arial" w:hAnsi="Arial"/>
                <w:sz w:val="15"/>
                <w:szCs w:val="15"/>
                <w:color w:val="auto"/>
              </w:rPr>
              <w:t>1,602</w:t>
            </w:r>
          </w:p>
        </w:tc>
        <w:tc>
          <w:tcPr>
            <w:tcW w:w="100" w:type="dxa"/>
            <w:vAlign w:val="bottom"/>
          </w:tcPr>
          <w:p>
            <w:pPr>
              <w:spacing w:after="0"/>
              <w:rPr>
                <w:sz w:val="18"/>
                <w:szCs w:val="18"/>
                <w:color w:val="auto"/>
              </w:rPr>
            </w:pPr>
          </w:p>
        </w:tc>
        <w:tc>
          <w:tcPr>
            <w:tcW w:w="140" w:type="dxa"/>
            <w:vAlign w:val="bottom"/>
            <w:tcBorders>
              <w:top w:val="single" w:sz="8" w:color="98A3B8"/>
              <w:bottom w:val="single" w:sz="8" w:color="98A3B8"/>
            </w:tcBorders>
          </w:tcPr>
          <w:p>
            <w:pPr>
              <w:spacing w:after="0"/>
              <w:rPr>
                <w:sz w:val="18"/>
                <w:szCs w:val="18"/>
                <w:color w:val="auto"/>
              </w:rPr>
            </w:pPr>
          </w:p>
        </w:tc>
        <w:tc>
          <w:tcPr>
            <w:tcW w:w="760" w:type="dxa"/>
            <w:vAlign w:val="bottom"/>
            <w:tcBorders>
              <w:top w:val="single" w:sz="8" w:color="98A3B8"/>
              <w:bottom w:val="single" w:sz="8" w:color="98A3B8"/>
            </w:tcBorders>
          </w:tcPr>
          <w:p>
            <w:pPr>
              <w:jc w:val="right"/>
              <w:ind w:right="25"/>
              <w:spacing w:after="0"/>
              <w:rPr>
                <w:sz w:val="20"/>
                <w:szCs w:val="20"/>
                <w:color w:val="auto"/>
              </w:rPr>
            </w:pPr>
            <w:r>
              <w:rPr>
                <w:rFonts w:ascii="Arial" w:cs="Arial" w:eastAsia="Arial" w:hAnsi="Arial"/>
                <w:sz w:val="15"/>
                <w:szCs w:val="15"/>
                <w:color w:val="auto"/>
              </w:rPr>
              <w:t>1,143</w:t>
            </w:r>
          </w:p>
        </w:tc>
      </w:tr>
      <w:tr>
        <w:trPr>
          <w:trHeight w:val="217"/>
        </w:trPr>
        <w:tc>
          <w:tcPr>
            <w:tcW w:w="568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Straight-line and free rent</w:t>
            </w:r>
          </w:p>
        </w:tc>
        <w:tc>
          <w:tcPr>
            <w:tcW w:w="100" w:type="dxa"/>
            <w:vAlign w:val="bottom"/>
          </w:tcPr>
          <w:p>
            <w:pPr>
              <w:spacing w:after="0"/>
              <w:rPr>
                <w:sz w:val="18"/>
                <w:szCs w:val="18"/>
                <w:color w:val="auto"/>
              </w:rPr>
            </w:pPr>
          </w:p>
        </w:tc>
        <w:tc>
          <w:tcPr>
            <w:tcW w:w="120" w:type="dxa"/>
            <w:vAlign w:val="bottom"/>
            <w:tcBorders>
              <w:bottom w:val="single" w:sz="8" w:color="98A3B8"/>
            </w:tcBorders>
          </w:tcPr>
          <w:p>
            <w:pPr>
              <w:spacing w:after="0"/>
              <w:rPr>
                <w:sz w:val="18"/>
                <w:szCs w:val="18"/>
                <w:color w:val="auto"/>
              </w:rPr>
            </w:pPr>
          </w:p>
        </w:tc>
        <w:tc>
          <w:tcPr>
            <w:tcW w:w="76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(47,886)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74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(40,357)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68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(8,404)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98A3B8"/>
            </w:tcBorders>
          </w:tcPr>
          <w:p>
            <w:pPr>
              <w:spacing w:after="0"/>
              <w:rPr>
                <w:sz w:val="18"/>
                <w:szCs w:val="18"/>
                <w:color w:val="auto"/>
              </w:rPr>
            </w:pPr>
          </w:p>
        </w:tc>
        <w:tc>
          <w:tcPr>
            <w:tcW w:w="7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(9,645)</w:t>
            </w:r>
          </w:p>
        </w:tc>
        <w:tc>
          <w:tcPr>
            <w:tcW w:w="10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74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(56,290)</w:t>
            </w:r>
          </w:p>
        </w:tc>
        <w:tc>
          <w:tcPr>
            <w:tcW w:w="10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76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(50,002)</w:t>
            </w:r>
          </w:p>
        </w:tc>
      </w:tr>
      <w:tr>
        <w:trPr>
          <w:trHeight w:val="217"/>
        </w:trPr>
        <w:tc>
          <w:tcPr>
            <w:tcW w:w="568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Rental income - FAS 141</w:t>
            </w:r>
          </w:p>
        </w:tc>
        <w:tc>
          <w:tcPr>
            <w:tcW w:w="100" w:type="dxa"/>
            <w:vAlign w:val="bottom"/>
          </w:tcPr>
          <w:p>
            <w:pPr>
              <w:spacing w:after="0"/>
              <w:rPr>
                <w:sz w:val="18"/>
                <w:szCs w:val="18"/>
                <w:color w:val="auto"/>
              </w:rPr>
            </w:pPr>
          </w:p>
        </w:tc>
        <w:tc>
          <w:tcPr>
            <w:tcW w:w="120" w:type="dxa"/>
            <w:vAlign w:val="bottom"/>
            <w:tcBorders>
              <w:bottom w:val="single" w:sz="8" w:color="98A3B8"/>
            </w:tcBorders>
          </w:tcPr>
          <w:p>
            <w:pPr>
              <w:spacing w:after="0"/>
              <w:rPr>
                <w:sz w:val="18"/>
                <w:szCs w:val="18"/>
                <w:color w:val="auto"/>
              </w:rPr>
            </w:pPr>
          </w:p>
        </w:tc>
        <w:tc>
          <w:tcPr>
            <w:tcW w:w="76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(21,578)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74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(18,956)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68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(1,990)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98A3B8"/>
            </w:tcBorders>
          </w:tcPr>
          <w:p>
            <w:pPr>
              <w:spacing w:after="0"/>
              <w:rPr>
                <w:sz w:val="18"/>
                <w:szCs w:val="18"/>
                <w:color w:val="auto"/>
              </w:rPr>
            </w:pPr>
          </w:p>
        </w:tc>
        <w:tc>
          <w:tcPr>
            <w:tcW w:w="7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(2,257)</w:t>
            </w:r>
          </w:p>
        </w:tc>
        <w:tc>
          <w:tcPr>
            <w:tcW w:w="10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74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(23,568)</w:t>
            </w:r>
          </w:p>
        </w:tc>
        <w:tc>
          <w:tcPr>
            <w:tcW w:w="10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76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(21,213)</w:t>
            </w:r>
          </w:p>
        </w:tc>
      </w:tr>
      <w:tr>
        <w:trPr>
          <w:trHeight w:val="217"/>
        </w:trPr>
        <w:tc>
          <w:tcPr>
            <w:tcW w:w="5680" w:type="dxa"/>
            <w:vAlign w:val="bottom"/>
          </w:tcPr>
          <w:p>
            <w:pPr>
              <w:spacing w:after="0"/>
              <w:rPr>
                <w:sz w:val="20"/>
                <w:szCs w:val="20"/>
                <w:color w:val="auto"/>
              </w:rPr>
            </w:pPr>
            <w:r>
              <w:rPr>
                <w:rFonts w:ascii="Arial" w:cs="Arial" w:eastAsia="Arial" w:hAnsi="Arial"/>
                <w:sz w:val="15"/>
                <w:szCs w:val="15"/>
                <w:b w:val="1"/>
                <w:bCs w:val="1"/>
                <w:color w:val="auto"/>
              </w:rPr>
              <w:t>Same-store cash NOI</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26"/>
              <w:spacing w:after="0"/>
              <w:rPr>
                <w:sz w:val="20"/>
                <w:szCs w:val="20"/>
                <w:color w:val="auto"/>
              </w:rPr>
            </w:pPr>
            <w:r>
              <w:rPr>
                <w:rFonts w:ascii="Arial" w:cs="Arial" w:eastAsia="Arial" w:hAnsi="Arial"/>
                <w:sz w:val="15"/>
                <w:szCs w:val="15"/>
                <w:color w:val="auto"/>
              </w:rPr>
              <w:t>589,835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577,426</w:t>
            </w:r>
          </w:p>
        </w:tc>
        <w:tc>
          <w:tcPr>
            <w:tcW w:w="6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6"/>
              <w:spacing w:after="0"/>
              <w:rPr>
                <w:sz w:val="20"/>
                <w:szCs w:val="20"/>
                <w:color w:val="auto"/>
              </w:rPr>
            </w:pPr>
            <w:r>
              <w:rPr>
                <w:rFonts w:ascii="Arial" w:cs="Arial" w:eastAsia="Arial" w:hAnsi="Arial"/>
                <w:sz w:val="15"/>
                <w:szCs w:val="15"/>
                <w:color w:val="auto"/>
              </w:rPr>
              <w:t>75,744</w:t>
            </w:r>
          </w:p>
        </w:tc>
        <w:tc>
          <w:tcPr>
            <w:tcW w:w="4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24"/>
              <w:spacing w:after="0"/>
              <w:rPr>
                <w:sz w:val="20"/>
                <w:szCs w:val="20"/>
                <w:color w:val="auto"/>
              </w:rPr>
            </w:pPr>
            <w:r>
              <w:rPr>
                <w:rFonts w:ascii="Arial" w:cs="Arial" w:eastAsia="Arial" w:hAnsi="Arial"/>
                <w:sz w:val="15"/>
                <w:szCs w:val="15"/>
                <w:color w:val="auto"/>
              </w:rPr>
              <w:t>65,954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9"/>
              <w:spacing w:after="0"/>
              <w:rPr>
                <w:sz w:val="20"/>
                <w:szCs w:val="20"/>
                <w:color w:val="auto"/>
              </w:rPr>
            </w:pPr>
            <w:r>
              <w:rPr>
                <w:rFonts w:ascii="Arial" w:cs="Arial" w:eastAsia="Arial" w:hAnsi="Arial"/>
                <w:sz w:val="15"/>
                <w:szCs w:val="15"/>
                <w:color w:val="auto"/>
              </w:rPr>
              <w:t>665,579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643,380</w:t>
            </w:r>
          </w:p>
        </w:tc>
      </w:tr>
      <w:tr>
        <w:trPr>
          <w:trHeight w:val="30"/>
        </w:trPr>
        <w:tc>
          <w:tcPr>
            <w:tcW w:w="5680" w:type="dxa"/>
            <w:vAlign w:val="bottom"/>
            <w:shd w:val="clear" w:color="auto" w:fill="325889"/>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325889"/>
          </w:tcPr>
          <w:p>
            <w:pPr>
              <w:spacing w:after="0"/>
              <w:rPr>
                <w:sz w:val="2"/>
                <w:szCs w:val="2"/>
                <w:color w:val="auto"/>
              </w:rPr>
            </w:pPr>
          </w:p>
        </w:tc>
        <w:tc>
          <w:tcPr>
            <w:tcW w:w="760" w:type="dxa"/>
            <w:vAlign w:val="bottom"/>
            <w:shd w:val="clear" w:color="auto" w:fill="325889"/>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325889"/>
          </w:tcPr>
          <w:p>
            <w:pPr>
              <w:spacing w:after="0"/>
              <w:rPr>
                <w:sz w:val="2"/>
                <w:szCs w:val="2"/>
                <w:color w:val="auto"/>
              </w:rPr>
            </w:pPr>
          </w:p>
        </w:tc>
        <w:tc>
          <w:tcPr>
            <w:tcW w:w="740" w:type="dxa"/>
            <w:vAlign w:val="bottom"/>
            <w:shd w:val="clear" w:color="auto" w:fill="325889"/>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325889"/>
          </w:tcPr>
          <w:p>
            <w:pPr>
              <w:spacing w:after="0"/>
              <w:rPr>
                <w:sz w:val="2"/>
                <w:szCs w:val="2"/>
                <w:color w:val="auto"/>
              </w:rPr>
            </w:pPr>
          </w:p>
        </w:tc>
        <w:tc>
          <w:tcPr>
            <w:tcW w:w="680" w:type="dxa"/>
            <w:vAlign w:val="bottom"/>
            <w:shd w:val="clear" w:color="auto" w:fill="325889"/>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325889"/>
          </w:tcPr>
          <w:p>
            <w:pPr>
              <w:spacing w:after="0"/>
              <w:rPr>
                <w:sz w:val="2"/>
                <w:szCs w:val="2"/>
                <w:color w:val="auto"/>
              </w:rPr>
            </w:pPr>
          </w:p>
        </w:tc>
        <w:tc>
          <w:tcPr>
            <w:tcW w:w="700" w:type="dxa"/>
            <w:vAlign w:val="bottom"/>
            <w:shd w:val="clear" w:color="auto" w:fill="325889"/>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325889"/>
          </w:tcPr>
          <w:p>
            <w:pPr>
              <w:spacing w:after="0"/>
              <w:rPr>
                <w:sz w:val="2"/>
                <w:szCs w:val="2"/>
                <w:color w:val="auto"/>
              </w:rPr>
            </w:pPr>
          </w:p>
        </w:tc>
        <w:tc>
          <w:tcPr>
            <w:tcW w:w="740" w:type="dxa"/>
            <w:vAlign w:val="bottom"/>
            <w:shd w:val="clear" w:color="auto" w:fill="325889"/>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325889"/>
          </w:tcPr>
          <w:p>
            <w:pPr>
              <w:spacing w:after="0"/>
              <w:rPr>
                <w:sz w:val="2"/>
                <w:szCs w:val="2"/>
                <w:color w:val="auto"/>
              </w:rPr>
            </w:pPr>
          </w:p>
        </w:tc>
        <w:tc>
          <w:tcPr>
            <w:tcW w:w="760" w:type="dxa"/>
            <w:vAlign w:val="bottom"/>
            <w:shd w:val="clear" w:color="auto" w:fill="325889"/>
          </w:tcPr>
          <w:p>
            <w:pPr>
              <w:spacing w:after="0"/>
              <w:rPr>
                <w:sz w:val="2"/>
                <w:szCs w:val="2"/>
                <w:color w:val="auto"/>
              </w:rPr>
            </w:pP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325889"/>
        </w:rPr>
        <w:t xml:space="preserve">A-4 </w:t>
      </w:r>
      <w:r>
        <w:rPr>
          <w:rFonts w:ascii="Arial" w:cs="Arial" w:eastAsia="Arial" w:hAnsi="Arial"/>
          <w:sz w:val="15"/>
          <w:szCs w:val="15"/>
          <w:color w:val="000000"/>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83450" cy="203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0"/>
          </w:cols>
          <w:pgMar w:left="240" w:top="528" w:right="219" w:bottom="1440" w:gutter="0" w:footer="0" w:header="0"/>
        </w:sectPr>
      </w:pPr>
    </w:p>
    <w:bookmarkStart w:id="70" w:name="page71"/>
    <w:bookmarkEnd w:id="70"/>
    <w:p>
      <w:pPr>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325889"/>
        </w:rPr>
        <w:t>APPENDIX A: INFORMATION REGARDING CERTAIN FINANCIAL MEASURES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860" w:type="dxa"/>
            <w:vAlign w:val="bottom"/>
            <w:gridSpan w:val="3"/>
          </w:tcPr>
          <w:p>
            <w:pPr>
              <w:spacing w:after="0"/>
              <w:rPr>
                <w:sz w:val="20"/>
                <w:szCs w:val="20"/>
                <w:color w:val="auto"/>
              </w:rPr>
            </w:pPr>
            <w:r>
              <w:rPr>
                <w:rFonts w:ascii="Arial" w:cs="Arial" w:eastAsia="Arial" w:hAnsi="Arial"/>
                <w:sz w:val="12"/>
                <w:szCs w:val="12"/>
                <w:b w:val="1"/>
                <w:bCs w:val="1"/>
                <w:color w:val="325889"/>
              </w:rPr>
              <w:t>Reconciliation of 2013 and 2012</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363"/>
        </w:trPr>
        <w:tc>
          <w:tcPr>
            <w:tcW w:w="1780" w:type="dxa"/>
            <w:vAlign w:val="bottom"/>
            <w:tcBorders>
              <w:top w:val="single" w:sz="8" w:color="325889"/>
            </w:tcBorders>
          </w:tcPr>
          <w:p>
            <w:pPr>
              <w:spacing w:after="0"/>
              <w:rPr>
                <w:sz w:val="24"/>
                <w:szCs w:val="24"/>
                <w:color w:val="auto"/>
              </w:rPr>
            </w:pPr>
          </w:p>
        </w:tc>
        <w:tc>
          <w:tcPr>
            <w:tcW w:w="3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325889"/>
            </w:tcBorders>
          </w:tcPr>
          <w:p>
            <w:pPr>
              <w:spacing w:after="0"/>
              <w:rPr>
                <w:sz w:val="24"/>
                <w:szCs w:val="24"/>
                <w:color w:val="auto"/>
              </w:rPr>
            </w:pPr>
          </w:p>
        </w:tc>
        <w:tc>
          <w:tcPr>
            <w:tcW w:w="1640" w:type="dxa"/>
            <w:vAlign w:val="bottom"/>
            <w:tcBorders>
              <w:bottom w:val="single" w:sz="8" w:color="325889"/>
            </w:tcBorders>
            <w:gridSpan w:val="5"/>
          </w:tcPr>
          <w:p>
            <w:pPr>
              <w:jc w:val="center"/>
              <w:ind w:right="64"/>
              <w:spacing w:after="0"/>
              <w:rPr>
                <w:sz w:val="20"/>
                <w:szCs w:val="20"/>
                <w:color w:val="auto"/>
              </w:rPr>
            </w:pPr>
            <w:r>
              <w:rPr>
                <w:rFonts w:ascii="Arial" w:cs="Arial" w:eastAsia="Arial" w:hAnsi="Arial"/>
                <w:sz w:val="12"/>
                <w:szCs w:val="12"/>
                <w:b w:val="1"/>
                <w:bCs w:val="1"/>
                <w:color w:val="325889"/>
                <w:w w:val="99"/>
              </w:rPr>
              <w:t>Consolidated Properties</w:t>
            </w:r>
          </w:p>
        </w:tc>
        <w:tc>
          <w:tcPr>
            <w:tcW w:w="100" w:type="dxa"/>
            <w:vAlign w:val="bottom"/>
          </w:tcPr>
          <w:p>
            <w:pPr>
              <w:spacing w:after="0"/>
              <w:rPr>
                <w:sz w:val="24"/>
                <w:szCs w:val="24"/>
                <w:color w:val="auto"/>
              </w:rPr>
            </w:pPr>
          </w:p>
        </w:tc>
        <w:tc>
          <w:tcPr>
            <w:tcW w:w="1820" w:type="dxa"/>
            <w:vAlign w:val="bottom"/>
            <w:tcBorders>
              <w:bottom w:val="single" w:sz="8" w:color="325889"/>
            </w:tcBorders>
            <w:gridSpan w:val="5"/>
          </w:tcPr>
          <w:p>
            <w:pPr>
              <w:jc w:val="center"/>
              <w:spacing w:after="0"/>
              <w:rPr>
                <w:sz w:val="20"/>
                <w:szCs w:val="20"/>
                <w:color w:val="auto"/>
              </w:rPr>
            </w:pPr>
            <w:r>
              <w:rPr>
                <w:rFonts w:ascii="Arial" w:cs="Arial" w:eastAsia="Arial" w:hAnsi="Arial"/>
                <w:sz w:val="12"/>
                <w:szCs w:val="12"/>
                <w:b w:val="1"/>
                <w:bCs w:val="1"/>
                <w:color w:val="325889"/>
                <w:w w:val="98"/>
              </w:rPr>
              <w:t>Unconsolidated Joint Ventures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325889"/>
            </w:tcBorders>
          </w:tcPr>
          <w:p>
            <w:pPr>
              <w:spacing w:after="0"/>
              <w:rPr>
                <w:sz w:val="24"/>
                <w:szCs w:val="24"/>
                <w:color w:val="auto"/>
              </w:rPr>
            </w:pPr>
          </w:p>
        </w:tc>
        <w:tc>
          <w:tcPr>
            <w:tcW w:w="1660" w:type="dxa"/>
            <w:vAlign w:val="bottom"/>
            <w:tcBorders>
              <w:bottom w:val="single" w:sz="8" w:color="325889"/>
            </w:tcBorders>
            <w:gridSpan w:val="4"/>
          </w:tcPr>
          <w:p>
            <w:pPr>
              <w:jc w:val="center"/>
              <w:ind w:right="45"/>
              <w:spacing w:after="0"/>
              <w:rPr>
                <w:sz w:val="20"/>
                <w:szCs w:val="20"/>
                <w:color w:val="auto"/>
              </w:rPr>
            </w:pPr>
            <w:r>
              <w:rPr>
                <w:rFonts w:ascii="Arial" w:cs="Arial" w:eastAsia="Arial" w:hAnsi="Arial"/>
                <w:sz w:val="12"/>
                <w:szCs w:val="12"/>
                <w:b w:val="1"/>
                <w:bCs w:val="1"/>
                <w:color w:val="325889"/>
                <w:w w:val="98"/>
              </w:rPr>
              <w:t>Combined</w:t>
            </w:r>
          </w:p>
        </w:tc>
      </w:tr>
      <w:tr>
        <w:trPr>
          <w:trHeight w:val="140"/>
        </w:trPr>
        <w:tc>
          <w:tcPr>
            <w:tcW w:w="17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6"/>
          </w:tcPr>
          <w:p>
            <w:pPr>
              <w:jc w:val="center"/>
              <w:ind w:right="260"/>
              <w:spacing w:after="0"/>
              <w:rPr>
                <w:sz w:val="20"/>
                <w:szCs w:val="20"/>
                <w:color w:val="auto"/>
              </w:rPr>
            </w:pPr>
            <w:r>
              <w:rPr>
                <w:rFonts w:ascii="Arial" w:cs="Arial" w:eastAsia="Arial" w:hAnsi="Arial"/>
                <w:sz w:val="12"/>
                <w:szCs w:val="12"/>
                <w:b w:val="1"/>
                <w:bCs w:val="1"/>
                <w:color w:val="325889"/>
                <w:w w:val="98"/>
              </w:rPr>
              <w:t>Twelve Months Ended</w:t>
            </w:r>
          </w:p>
        </w:tc>
        <w:tc>
          <w:tcPr>
            <w:tcW w:w="160" w:type="dxa"/>
            <w:vAlign w:val="bottom"/>
          </w:tcPr>
          <w:p>
            <w:pPr>
              <w:spacing w:after="0"/>
              <w:rPr>
                <w:sz w:val="12"/>
                <w:szCs w:val="12"/>
                <w:color w:val="auto"/>
              </w:rPr>
            </w:pPr>
          </w:p>
        </w:tc>
        <w:tc>
          <w:tcPr>
            <w:tcW w:w="1700" w:type="dxa"/>
            <w:vAlign w:val="bottom"/>
            <w:gridSpan w:val="5"/>
          </w:tcPr>
          <w:p>
            <w:pPr>
              <w:jc w:val="center"/>
              <w:ind w:right="220"/>
              <w:spacing w:after="0"/>
              <w:rPr>
                <w:sz w:val="20"/>
                <w:szCs w:val="20"/>
                <w:color w:val="auto"/>
              </w:rPr>
            </w:pPr>
            <w:r>
              <w:rPr>
                <w:rFonts w:ascii="Arial" w:cs="Arial" w:eastAsia="Arial" w:hAnsi="Arial"/>
                <w:sz w:val="12"/>
                <w:szCs w:val="12"/>
                <w:b w:val="1"/>
                <w:bCs w:val="1"/>
                <w:color w:val="325889"/>
                <w:w w:val="98"/>
              </w:rPr>
              <w:t>Twelve Months Ended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4"/>
          </w:tcPr>
          <w:p>
            <w:pPr>
              <w:jc w:val="center"/>
              <w:ind w:right="65"/>
              <w:spacing w:after="0"/>
              <w:rPr>
                <w:sz w:val="20"/>
                <w:szCs w:val="20"/>
                <w:color w:val="auto"/>
              </w:rPr>
            </w:pPr>
            <w:r>
              <w:rPr>
                <w:rFonts w:ascii="Arial" w:cs="Arial" w:eastAsia="Arial" w:hAnsi="Arial"/>
                <w:sz w:val="12"/>
                <w:szCs w:val="12"/>
                <w:b w:val="1"/>
                <w:bCs w:val="1"/>
                <w:color w:val="325889"/>
                <w:w w:val="98"/>
              </w:rPr>
              <w:t>Twelve Months Ended</w:t>
            </w:r>
          </w:p>
        </w:tc>
      </w:tr>
      <w:tr>
        <w:trPr>
          <w:trHeight w:val="173"/>
        </w:trPr>
        <w:tc>
          <w:tcPr>
            <w:tcW w:w="178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325889"/>
            </w:tcBorders>
          </w:tcPr>
          <w:p>
            <w:pPr>
              <w:spacing w:after="0"/>
              <w:rPr>
                <w:sz w:val="15"/>
                <w:szCs w:val="15"/>
                <w:color w:val="auto"/>
              </w:rPr>
            </w:pPr>
          </w:p>
        </w:tc>
        <w:tc>
          <w:tcPr>
            <w:tcW w:w="1640" w:type="dxa"/>
            <w:vAlign w:val="bottom"/>
            <w:tcBorders>
              <w:bottom w:val="single" w:sz="8" w:color="325889"/>
            </w:tcBorders>
            <w:gridSpan w:val="5"/>
          </w:tcPr>
          <w:p>
            <w:pPr>
              <w:jc w:val="center"/>
              <w:ind w:right="64"/>
              <w:spacing w:after="0"/>
              <w:rPr>
                <w:sz w:val="20"/>
                <w:szCs w:val="20"/>
                <w:color w:val="auto"/>
              </w:rPr>
            </w:pPr>
            <w:r>
              <w:rPr>
                <w:rFonts w:ascii="Arial" w:cs="Arial" w:eastAsia="Arial" w:hAnsi="Arial"/>
                <w:sz w:val="12"/>
                <w:szCs w:val="12"/>
                <w:b w:val="1"/>
                <w:bCs w:val="1"/>
                <w:color w:val="325889"/>
                <w:w w:val="99"/>
              </w:rPr>
              <w:t>December 31,</w:t>
            </w:r>
          </w:p>
        </w:tc>
        <w:tc>
          <w:tcPr>
            <w:tcW w:w="100" w:type="dxa"/>
            <w:vAlign w:val="bottom"/>
          </w:tcPr>
          <w:p>
            <w:pPr>
              <w:spacing w:after="0"/>
              <w:rPr>
                <w:sz w:val="15"/>
                <w:szCs w:val="15"/>
                <w:color w:val="auto"/>
              </w:rPr>
            </w:pPr>
          </w:p>
        </w:tc>
        <w:tc>
          <w:tcPr>
            <w:tcW w:w="160" w:type="dxa"/>
            <w:vAlign w:val="bottom"/>
            <w:tcBorders>
              <w:bottom w:val="single" w:sz="8" w:color="325889"/>
            </w:tcBorders>
          </w:tcPr>
          <w:p>
            <w:pPr>
              <w:spacing w:after="0"/>
              <w:rPr>
                <w:sz w:val="15"/>
                <w:szCs w:val="15"/>
                <w:color w:val="auto"/>
              </w:rPr>
            </w:pPr>
          </w:p>
        </w:tc>
        <w:tc>
          <w:tcPr>
            <w:tcW w:w="1660" w:type="dxa"/>
            <w:vAlign w:val="bottom"/>
            <w:tcBorders>
              <w:bottom w:val="single" w:sz="8" w:color="325889"/>
            </w:tcBorders>
            <w:gridSpan w:val="4"/>
          </w:tcPr>
          <w:p>
            <w:pPr>
              <w:jc w:val="center"/>
              <w:ind w:right="84"/>
              <w:spacing w:after="0"/>
              <w:rPr>
                <w:sz w:val="20"/>
                <w:szCs w:val="20"/>
                <w:color w:val="auto"/>
              </w:rPr>
            </w:pPr>
            <w:r>
              <w:rPr>
                <w:rFonts w:ascii="Arial" w:cs="Arial" w:eastAsia="Arial" w:hAnsi="Arial"/>
                <w:sz w:val="12"/>
                <w:szCs w:val="12"/>
                <w:b w:val="1"/>
                <w:bCs w:val="1"/>
                <w:color w:val="325889"/>
                <w:w w:val="99"/>
              </w:rPr>
              <w:t>December 31,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325889"/>
            </w:tcBorders>
          </w:tcPr>
          <w:p>
            <w:pPr>
              <w:spacing w:after="0"/>
              <w:rPr>
                <w:sz w:val="15"/>
                <w:szCs w:val="15"/>
                <w:color w:val="auto"/>
              </w:rPr>
            </w:pPr>
          </w:p>
        </w:tc>
        <w:tc>
          <w:tcPr>
            <w:tcW w:w="1660" w:type="dxa"/>
            <w:vAlign w:val="bottom"/>
            <w:tcBorders>
              <w:bottom w:val="single" w:sz="8" w:color="325889"/>
            </w:tcBorders>
            <w:gridSpan w:val="4"/>
          </w:tcPr>
          <w:p>
            <w:pPr>
              <w:jc w:val="center"/>
              <w:ind w:right="65"/>
              <w:spacing w:after="0"/>
              <w:rPr>
                <w:sz w:val="20"/>
                <w:szCs w:val="20"/>
                <w:color w:val="auto"/>
              </w:rPr>
            </w:pPr>
            <w:r>
              <w:rPr>
                <w:rFonts w:ascii="Arial" w:cs="Arial" w:eastAsia="Arial" w:hAnsi="Arial"/>
                <w:sz w:val="12"/>
                <w:szCs w:val="12"/>
                <w:b w:val="1"/>
                <w:bCs w:val="1"/>
                <w:color w:val="325889"/>
                <w:w w:val="97"/>
              </w:rPr>
              <w:t>December 31,</w:t>
            </w:r>
          </w:p>
        </w:tc>
      </w:tr>
      <w:tr>
        <w:trPr>
          <w:trHeight w:val="182"/>
        </w:trPr>
        <w:tc>
          <w:tcPr>
            <w:tcW w:w="178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325889"/>
              </w:rPr>
              <w:t>2013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325889"/>
              </w:rPr>
              <w:t>2012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b w:val="1"/>
                <w:bCs w:val="1"/>
                <w:color w:val="325889"/>
              </w:rPr>
              <w:t>2013</w:t>
            </w:r>
          </w:p>
        </w:tc>
        <w:tc>
          <w:tcPr>
            <w:tcW w:w="18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b w:val="1"/>
                <w:bCs w:val="1"/>
                <w:color w:val="325889"/>
              </w:rPr>
              <w:t>2012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325889"/>
              </w:rPr>
              <w:t>2013</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325889"/>
              </w:rPr>
              <w:t>2012</w:t>
            </w:r>
          </w:p>
        </w:tc>
      </w:tr>
      <w:tr>
        <w:trPr>
          <w:trHeight w:val="186"/>
        </w:trPr>
        <w:tc>
          <w:tcPr>
            <w:tcW w:w="5760" w:type="dxa"/>
            <w:vAlign w:val="bottom"/>
            <w:tcBorders>
              <w:top w:val="single" w:sz="8" w:color="325889"/>
            </w:tcBorders>
            <w:gridSpan w:val="2"/>
          </w:tcPr>
          <w:p>
            <w:pPr>
              <w:spacing w:after="0"/>
              <w:rPr>
                <w:sz w:val="20"/>
                <w:szCs w:val="20"/>
                <w:color w:val="auto"/>
              </w:rPr>
            </w:pPr>
            <w:r>
              <w:rPr>
                <w:rFonts w:ascii="Arial" w:cs="Arial" w:eastAsia="Arial" w:hAnsi="Arial"/>
                <w:sz w:val="15"/>
                <w:szCs w:val="15"/>
                <w:b w:val="1"/>
                <w:bCs w:val="1"/>
                <w:color w:val="auto"/>
              </w:rPr>
              <w:t>Operating income and Same-store</w:t>
            </w:r>
          </w:p>
        </w:tc>
        <w:tc>
          <w:tcPr>
            <w:tcW w:w="100" w:type="dxa"/>
            <w:vAlign w:val="bottom"/>
          </w:tcPr>
          <w:p>
            <w:pPr>
              <w:spacing w:after="0"/>
              <w:rPr>
                <w:sz w:val="16"/>
                <w:szCs w:val="16"/>
                <w:color w:val="auto"/>
              </w:rPr>
            </w:pPr>
          </w:p>
        </w:tc>
        <w:tc>
          <w:tcPr>
            <w:tcW w:w="140" w:type="dxa"/>
            <w:vAlign w:val="bottom"/>
            <w:tcBorders>
              <w:top w:val="single" w:sz="8" w:color="325889"/>
            </w:tcBorders>
          </w:tcPr>
          <w:p>
            <w:pPr>
              <w:spacing w:after="0"/>
              <w:rPr>
                <w:sz w:val="16"/>
                <w:szCs w:val="16"/>
                <w:color w:val="auto"/>
              </w:rPr>
            </w:pPr>
          </w:p>
        </w:tc>
        <w:tc>
          <w:tcPr>
            <w:tcW w:w="720" w:type="dxa"/>
            <w:vAlign w:val="bottom"/>
            <w:tcBorders>
              <w:top w:val="single" w:sz="8" w:color="325889"/>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top w:val="single" w:sz="8" w:color="325889"/>
            </w:tcBorders>
          </w:tcPr>
          <w:p>
            <w:pPr>
              <w:spacing w:after="0"/>
              <w:rPr>
                <w:sz w:val="16"/>
                <w:szCs w:val="16"/>
                <w:color w:val="auto"/>
              </w:rPr>
            </w:pPr>
          </w:p>
        </w:tc>
        <w:tc>
          <w:tcPr>
            <w:tcW w:w="720" w:type="dxa"/>
            <w:vAlign w:val="bottom"/>
            <w:tcBorders>
              <w:top w:val="single" w:sz="8" w:color="325889"/>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325889"/>
            </w:tcBorders>
          </w:tcPr>
          <w:p>
            <w:pPr>
              <w:spacing w:after="0"/>
              <w:rPr>
                <w:sz w:val="16"/>
                <w:szCs w:val="16"/>
                <w:color w:val="auto"/>
              </w:rPr>
            </w:pPr>
          </w:p>
        </w:tc>
        <w:tc>
          <w:tcPr>
            <w:tcW w:w="700" w:type="dxa"/>
            <w:vAlign w:val="bottom"/>
            <w:tcBorders>
              <w:top w:val="single" w:sz="8" w:color="325889"/>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325889"/>
            </w:tcBorders>
          </w:tcPr>
          <w:p>
            <w:pPr>
              <w:spacing w:after="0"/>
              <w:rPr>
                <w:sz w:val="16"/>
                <w:szCs w:val="16"/>
                <w:color w:val="auto"/>
              </w:rPr>
            </w:pPr>
          </w:p>
        </w:tc>
        <w:tc>
          <w:tcPr>
            <w:tcW w:w="700" w:type="dxa"/>
            <w:vAlign w:val="bottom"/>
            <w:tcBorders>
              <w:top w:val="single" w:sz="8" w:color="325889"/>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325889"/>
            </w:tcBorders>
          </w:tcPr>
          <w:p>
            <w:pPr>
              <w:spacing w:after="0"/>
              <w:rPr>
                <w:sz w:val="16"/>
                <w:szCs w:val="16"/>
                <w:color w:val="auto"/>
              </w:rPr>
            </w:pPr>
          </w:p>
        </w:tc>
        <w:tc>
          <w:tcPr>
            <w:tcW w:w="720" w:type="dxa"/>
            <w:vAlign w:val="bottom"/>
            <w:tcBorders>
              <w:top w:val="single" w:sz="8" w:color="325889"/>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325889"/>
            </w:tcBorders>
          </w:tcPr>
          <w:p>
            <w:pPr>
              <w:spacing w:after="0"/>
              <w:rPr>
                <w:sz w:val="16"/>
                <w:szCs w:val="16"/>
                <w:color w:val="auto"/>
              </w:rPr>
            </w:pPr>
          </w:p>
        </w:tc>
        <w:tc>
          <w:tcPr>
            <w:tcW w:w="720" w:type="dxa"/>
            <w:vAlign w:val="bottom"/>
            <w:tcBorders>
              <w:top w:val="single" w:sz="8" w:color="325889"/>
            </w:tcBorders>
          </w:tcPr>
          <w:p>
            <w:pPr>
              <w:spacing w:after="0"/>
              <w:rPr>
                <w:sz w:val="16"/>
                <w:szCs w:val="16"/>
                <w:color w:val="auto"/>
              </w:rPr>
            </w:pPr>
          </w:p>
        </w:tc>
      </w:tr>
      <w:tr>
        <w:trPr>
          <w:trHeight w:val="210"/>
        </w:trPr>
        <w:tc>
          <w:tcPr>
            <w:tcW w:w="5760" w:type="dxa"/>
            <w:vAlign w:val="bottom"/>
            <w:tcBorders>
              <w:bottom w:val="single" w:sz="8" w:color="98A3B8"/>
            </w:tcBorders>
            <w:gridSpan w:val="2"/>
          </w:tcPr>
          <w:p>
            <w:pPr>
              <w:spacing w:after="0"/>
              <w:rPr>
                <w:sz w:val="20"/>
                <w:szCs w:val="20"/>
                <w:color w:val="auto"/>
              </w:rPr>
            </w:pPr>
            <w:r>
              <w:rPr>
                <w:rFonts w:ascii="Arial" w:cs="Arial" w:eastAsia="Arial" w:hAnsi="Arial"/>
                <w:sz w:val="15"/>
                <w:szCs w:val="15"/>
                <w:b w:val="1"/>
                <w:bCs w:val="1"/>
                <w:color w:val="auto"/>
              </w:rPr>
              <w:t>NOI Reconciliation: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3"/>
        </w:trPr>
        <w:tc>
          <w:tcPr>
            <w:tcW w:w="5860" w:type="dxa"/>
            <w:vAlign w:val="bottom"/>
            <w:gridSpan w:val="3"/>
          </w:tcPr>
          <w:p>
            <w:pPr>
              <w:spacing w:after="0"/>
              <w:rPr>
                <w:sz w:val="20"/>
                <w:szCs w:val="20"/>
                <w:color w:val="auto"/>
              </w:rPr>
            </w:pPr>
            <w:r>
              <w:rPr>
                <w:rFonts w:ascii="Arial" w:cs="Arial" w:eastAsia="Arial" w:hAnsi="Arial"/>
                <w:sz w:val="15"/>
                <w:szCs w:val="15"/>
                <w:color w:val="auto"/>
              </w:rPr>
              <w:t>Income from continuing operations</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78"/>
        </w:trPr>
        <w:tc>
          <w:tcPr>
            <w:tcW w:w="5860" w:type="dxa"/>
            <w:vAlign w:val="bottom"/>
            <w:gridSpan w:val="3"/>
          </w:tcPr>
          <w:p>
            <w:pPr>
              <w:spacing w:after="0"/>
              <w:rPr>
                <w:sz w:val="20"/>
                <w:szCs w:val="20"/>
                <w:color w:val="auto"/>
              </w:rPr>
            </w:pPr>
            <w:r>
              <w:rPr>
                <w:rFonts w:ascii="Arial" w:cs="Arial" w:eastAsia="Arial" w:hAnsi="Arial"/>
                <w:sz w:val="15"/>
                <w:szCs w:val="15"/>
                <w:color w:val="auto"/>
              </w:rPr>
              <w:t>before equity in net income from</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8"/>
        </w:trPr>
        <w:tc>
          <w:tcPr>
            <w:tcW w:w="5860" w:type="dxa"/>
            <w:vAlign w:val="bottom"/>
            <w:gridSpan w:val="3"/>
          </w:tcPr>
          <w:p>
            <w:pPr>
              <w:spacing w:after="0"/>
              <w:rPr>
                <w:sz w:val="20"/>
                <w:szCs w:val="20"/>
                <w:color w:val="auto"/>
              </w:rPr>
            </w:pPr>
            <w:r>
              <w:rPr>
                <w:rFonts w:ascii="Arial" w:cs="Arial" w:eastAsia="Arial" w:hAnsi="Arial"/>
                <w:sz w:val="15"/>
                <w:szCs w:val="15"/>
                <w:color w:val="auto"/>
              </w:rPr>
              <w:t>unconsolidated joint ventures, equity</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8"/>
        </w:trPr>
        <w:tc>
          <w:tcPr>
            <w:tcW w:w="5860" w:type="dxa"/>
            <w:vAlign w:val="bottom"/>
            <w:gridSpan w:val="3"/>
          </w:tcPr>
          <w:p>
            <w:pPr>
              <w:spacing w:after="0"/>
              <w:rPr>
                <w:sz w:val="20"/>
                <w:szCs w:val="20"/>
                <w:color w:val="auto"/>
              </w:rPr>
            </w:pPr>
            <w:r>
              <w:rPr>
                <w:rFonts w:ascii="Arial" w:cs="Arial" w:eastAsia="Arial" w:hAnsi="Arial"/>
                <w:sz w:val="15"/>
                <w:szCs w:val="15"/>
                <w:color w:val="auto"/>
              </w:rPr>
              <w:t>in net gain on sale of interest in</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8"/>
        </w:trPr>
        <w:tc>
          <w:tcPr>
            <w:tcW w:w="5860" w:type="dxa"/>
            <w:vAlign w:val="bottom"/>
            <w:gridSpan w:val="3"/>
          </w:tcPr>
          <w:p>
            <w:pPr>
              <w:spacing w:after="0"/>
              <w:rPr>
                <w:sz w:val="20"/>
                <w:szCs w:val="20"/>
                <w:color w:val="auto"/>
              </w:rPr>
            </w:pPr>
            <w:r>
              <w:rPr>
                <w:rFonts w:ascii="Arial" w:cs="Arial" w:eastAsia="Arial" w:hAnsi="Arial"/>
                <w:sz w:val="15"/>
                <w:szCs w:val="15"/>
                <w:color w:val="auto"/>
              </w:rPr>
              <w:t>unconsolidated joint venture/real</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8"/>
        </w:trPr>
        <w:tc>
          <w:tcPr>
            <w:tcW w:w="5860" w:type="dxa"/>
            <w:vAlign w:val="bottom"/>
            <w:gridSpan w:val="3"/>
          </w:tcPr>
          <w:p>
            <w:pPr>
              <w:spacing w:after="0"/>
              <w:rPr>
                <w:sz w:val="20"/>
                <w:szCs w:val="20"/>
                <w:color w:val="auto"/>
              </w:rPr>
            </w:pPr>
            <w:r>
              <w:rPr>
                <w:rFonts w:ascii="Arial" w:cs="Arial" w:eastAsia="Arial" w:hAnsi="Arial"/>
                <w:sz w:val="15"/>
                <w:szCs w:val="15"/>
                <w:color w:val="auto"/>
              </w:rPr>
              <w:t>estate, gain (loss) on sale of investment</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8"/>
        </w:trPr>
        <w:tc>
          <w:tcPr>
            <w:tcW w:w="5860" w:type="dxa"/>
            <w:vAlign w:val="bottom"/>
            <w:gridSpan w:val="3"/>
          </w:tcPr>
          <w:p>
            <w:pPr>
              <w:spacing w:after="0"/>
              <w:rPr>
                <w:sz w:val="20"/>
                <w:szCs w:val="20"/>
                <w:color w:val="auto"/>
              </w:rPr>
            </w:pPr>
            <w:r>
              <w:rPr>
                <w:rFonts w:ascii="Arial" w:cs="Arial" w:eastAsia="Arial" w:hAnsi="Arial"/>
                <w:sz w:val="15"/>
                <w:szCs w:val="15"/>
                <w:color w:val="auto"/>
              </w:rPr>
              <w:t>in marketable securities, purchase price</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8"/>
        </w:trPr>
        <w:tc>
          <w:tcPr>
            <w:tcW w:w="5860" w:type="dxa"/>
            <w:vAlign w:val="bottom"/>
            <w:gridSpan w:val="3"/>
          </w:tcPr>
          <w:p>
            <w:pPr>
              <w:spacing w:after="0"/>
              <w:rPr>
                <w:sz w:val="20"/>
                <w:szCs w:val="20"/>
                <w:color w:val="auto"/>
              </w:rPr>
            </w:pPr>
            <w:r>
              <w:rPr>
                <w:rFonts w:ascii="Arial" w:cs="Arial" w:eastAsia="Arial" w:hAnsi="Arial"/>
                <w:sz w:val="15"/>
                <w:szCs w:val="15"/>
                <w:color w:val="auto"/>
              </w:rPr>
              <w:t>fair value adjustment and loss (gain)</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92"/>
        </w:trPr>
        <w:tc>
          <w:tcPr>
            <w:tcW w:w="5760" w:type="dxa"/>
            <w:vAlign w:val="bottom"/>
            <w:tcBorders>
              <w:bottom w:val="single" w:sz="8" w:color="98A3B8"/>
            </w:tcBorders>
            <w:gridSpan w:val="2"/>
          </w:tcPr>
          <w:p>
            <w:pPr>
              <w:spacing w:after="0"/>
              <w:rPr>
                <w:sz w:val="20"/>
                <w:szCs w:val="20"/>
                <w:color w:val="auto"/>
              </w:rPr>
            </w:pPr>
            <w:r>
              <w:rPr>
                <w:rFonts w:ascii="Arial" w:cs="Arial" w:eastAsia="Arial" w:hAnsi="Arial"/>
                <w:sz w:val="15"/>
                <w:szCs w:val="15"/>
                <w:color w:val="auto"/>
              </w:rPr>
              <w:t>on early extinguishment of debt</w:t>
            </w:r>
          </w:p>
        </w:tc>
        <w:tc>
          <w:tcPr>
            <w:tcW w:w="100" w:type="dxa"/>
            <w:vAlign w:val="bottom"/>
          </w:tcPr>
          <w:p>
            <w:pPr>
              <w:spacing w:after="0"/>
              <w:rPr>
                <w:sz w:val="16"/>
                <w:szCs w:val="16"/>
                <w:color w:val="auto"/>
              </w:rPr>
            </w:pPr>
          </w:p>
        </w:tc>
        <w:tc>
          <w:tcPr>
            <w:tcW w:w="14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142,024</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79,021</w:t>
            </w:r>
          </w:p>
        </w:tc>
        <w:tc>
          <w:tcPr>
            <w:tcW w:w="100" w:type="dxa"/>
            <w:vAlign w:val="bottom"/>
          </w:tcPr>
          <w:p>
            <w:pPr>
              <w:spacing w:after="0"/>
              <w:rPr>
                <w:sz w:val="16"/>
                <w:szCs w:val="16"/>
                <w:color w:val="auto"/>
              </w:rPr>
            </w:pPr>
          </w:p>
        </w:tc>
        <w:tc>
          <w:tcPr>
            <w:tcW w:w="160" w:type="dxa"/>
            <w:vAlign w:val="bottom"/>
            <w:tcBorders>
              <w:bottom w:val="single" w:sz="8" w:color="98A3B8"/>
            </w:tcBorders>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80" w:type="dxa"/>
            <w:vAlign w:val="bottom"/>
            <w:tcBorders>
              <w:bottom w:val="single" w:sz="8" w:color="98A3B8"/>
            </w:tcBorders>
          </w:tcPr>
          <w:p>
            <w:pPr>
              <w:jc w:val="right"/>
              <w:ind w:right="23"/>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3"/>
        </w:trPr>
        <w:tc>
          <w:tcPr>
            <w:tcW w:w="5860" w:type="dxa"/>
            <w:vAlign w:val="bottom"/>
            <w:gridSpan w:val="3"/>
          </w:tcPr>
          <w:p>
            <w:pPr>
              <w:spacing w:after="0"/>
              <w:rPr>
                <w:sz w:val="20"/>
                <w:szCs w:val="20"/>
                <w:color w:val="auto"/>
              </w:rPr>
            </w:pPr>
            <w:r>
              <w:rPr>
                <w:rFonts w:ascii="Arial" w:cs="Arial" w:eastAsia="Arial" w:hAnsi="Arial"/>
                <w:sz w:val="15"/>
                <w:szCs w:val="15"/>
                <w:color w:val="auto"/>
              </w:rPr>
              <w:t>Equity in net income from</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2"/>
        </w:trPr>
        <w:tc>
          <w:tcPr>
            <w:tcW w:w="5760" w:type="dxa"/>
            <w:vAlign w:val="bottom"/>
            <w:tcBorders>
              <w:bottom w:val="single" w:sz="8" w:color="98A3B8"/>
            </w:tcBorders>
            <w:gridSpan w:val="2"/>
          </w:tcPr>
          <w:p>
            <w:pPr>
              <w:spacing w:after="0"/>
              <w:rPr>
                <w:sz w:val="20"/>
                <w:szCs w:val="20"/>
                <w:color w:val="auto"/>
              </w:rPr>
            </w:pPr>
            <w:r>
              <w:rPr>
                <w:rFonts w:ascii="Arial" w:cs="Arial" w:eastAsia="Arial" w:hAnsi="Arial"/>
                <w:sz w:val="15"/>
                <w:szCs w:val="15"/>
                <w:color w:val="auto"/>
              </w:rPr>
              <w:t>unconsolidated joint ventures</w:t>
            </w:r>
          </w:p>
        </w:tc>
        <w:tc>
          <w:tcPr>
            <w:tcW w:w="100" w:type="dxa"/>
            <w:vAlign w:val="bottom"/>
          </w:tcPr>
          <w:p>
            <w:pPr>
              <w:spacing w:after="0"/>
              <w:rPr>
                <w:sz w:val="16"/>
                <w:szCs w:val="16"/>
                <w:color w:val="auto"/>
              </w:rPr>
            </w:pPr>
          </w:p>
        </w:tc>
        <w:tc>
          <w:tcPr>
            <w:tcW w:w="140" w:type="dxa"/>
            <w:vAlign w:val="bottom"/>
            <w:tcBorders>
              <w:bottom w:val="single" w:sz="8" w:color="98A3B8"/>
            </w:tcBorders>
          </w:tcPr>
          <w:p>
            <w:pPr>
              <w:spacing w:after="0"/>
              <w:rPr>
                <w:sz w:val="16"/>
                <w:szCs w:val="16"/>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9,921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98A3B8"/>
            </w:tcBorders>
          </w:tcPr>
          <w:p>
            <w:pPr>
              <w:spacing w:after="0"/>
              <w:rPr>
                <w:sz w:val="16"/>
                <w:szCs w:val="16"/>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76,418</w:t>
            </w:r>
          </w:p>
        </w:tc>
        <w:tc>
          <w:tcPr>
            <w:tcW w:w="100" w:type="dxa"/>
            <w:vAlign w:val="bottom"/>
          </w:tcPr>
          <w:p>
            <w:pPr>
              <w:spacing w:after="0"/>
              <w:rPr>
                <w:sz w:val="16"/>
                <w:szCs w:val="16"/>
                <w:color w:val="auto"/>
              </w:rPr>
            </w:pPr>
          </w:p>
        </w:tc>
        <w:tc>
          <w:tcPr>
            <w:tcW w:w="160" w:type="dxa"/>
            <w:vAlign w:val="bottom"/>
            <w:tcBorders>
              <w:bottom w:val="single" w:sz="8" w:color="98A3B8"/>
            </w:tcBorders>
          </w:tcPr>
          <w:p>
            <w:pPr>
              <w:spacing w:after="0"/>
              <w:rPr>
                <w:sz w:val="16"/>
                <w:szCs w:val="16"/>
                <w:color w:val="auto"/>
              </w:rPr>
            </w:pPr>
          </w:p>
        </w:tc>
        <w:tc>
          <w:tcPr>
            <w:tcW w:w="7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9,921</w:t>
            </w:r>
          </w:p>
        </w:tc>
        <w:tc>
          <w:tcPr>
            <w:tcW w:w="80" w:type="dxa"/>
            <w:vAlign w:val="bottom"/>
          </w:tcPr>
          <w:p>
            <w:pPr>
              <w:spacing w:after="0"/>
              <w:rPr>
                <w:sz w:val="16"/>
                <w:szCs w:val="16"/>
                <w:color w:val="auto"/>
              </w:rPr>
            </w:pPr>
          </w:p>
        </w:tc>
        <w:tc>
          <w:tcPr>
            <w:tcW w:w="180" w:type="dxa"/>
            <w:vAlign w:val="bottom"/>
            <w:tcBorders>
              <w:bottom w:val="single" w:sz="8" w:color="98A3B8"/>
            </w:tcBorders>
          </w:tcPr>
          <w:p>
            <w:pPr>
              <w:spacing w:after="0"/>
              <w:rPr>
                <w:sz w:val="16"/>
                <w:szCs w:val="16"/>
                <w:color w:val="auto"/>
              </w:rPr>
            </w:pPr>
          </w:p>
        </w:tc>
        <w:tc>
          <w:tcPr>
            <w:tcW w:w="7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76,418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7"/>
        </w:trPr>
        <w:tc>
          <w:tcPr>
            <w:tcW w:w="5760" w:type="dxa"/>
            <w:vAlign w:val="bottom"/>
            <w:tcBorders>
              <w:bottom w:val="single" w:sz="8" w:color="98A3B8"/>
            </w:tcBorders>
            <w:gridSpan w:val="2"/>
          </w:tcPr>
          <w:p>
            <w:pPr>
              <w:spacing w:after="0"/>
              <w:rPr>
                <w:sz w:val="20"/>
                <w:szCs w:val="20"/>
                <w:color w:val="auto"/>
              </w:rPr>
            </w:pPr>
            <w:r>
              <w:rPr>
                <w:rFonts w:ascii="Arial" w:cs="Arial" w:eastAsia="Arial" w:hAnsi="Arial"/>
                <w:sz w:val="15"/>
                <w:szCs w:val="15"/>
                <w:color w:val="auto"/>
              </w:rPr>
              <w:t>Depreciation and amortization</w:t>
            </w:r>
          </w:p>
        </w:tc>
        <w:tc>
          <w:tcPr>
            <w:tcW w:w="10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337,692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325,737</w:t>
            </w:r>
          </w:p>
        </w:tc>
        <w:tc>
          <w:tcPr>
            <w:tcW w:w="100" w:type="dxa"/>
            <w:vAlign w:val="bottom"/>
          </w:tcPr>
          <w:p>
            <w:pPr>
              <w:spacing w:after="0"/>
              <w:rPr>
                <w:sz w:val="18"/>
                <w:szCs w:val="18"/>
                <w:color w:val="auto"/>
              </w:rPr>
            </w:pPr>
          </w:p>
        </w:tc>
        <w:tc>
          <w:tcPr>
            <w:tcW w:w="160" w:type="dxa"/>
            <w:vAlign w:val="bottom"/>
            <w:tcBorders>
              <w:bottom w:val="single" w:sz="8" w:color="98A3B8"/>
            </w:tcBorders>
          </w:tcPr>
          <w:p>
            <w:pPr>
              <w:spacing w:after="0"/>
              <w:rPr>
                <w:sz w:val="18"/>
                <w:szCs w:val="18"/>
                <w:color w:val="auto"/>
              </w:rPr>
            </w:pPr>
          </w:p>
        </w:tc>
        <w:tc>
          <w:tcPr>
            <w:tcW w:w="7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84,403</w:t>
            </w:r>
          </w:p>
        </w:tc>
        <w:tc>
          <w:tcPr>
            <w:tcW w:w="80" w:type="dxa"/>
            <w:vAlign w:val="bottom"/>
          </w:tcPr>
          <w:p>
            <w:pPr>
              <w:spacing w:after="0"/>
              <w:rPr>
                <w:sz w:val="18"/>
                <w:szCs w:val="18"/>
                <w:color w:val="auto"/>
              </w:rPr>
            </w:pPr>
          </w:p>
        </w:tc>
        <w:tc>
          <w:tcPr>
            <w:tcW w:w="180" w:type="dxa"/>
            <w:vAlign w:val="bottom"/>
            <w:tcBorders>
              <w:bottom w:val="single" w:sz="8" w:color="98A3B8"/>
            </w:tcBorders>
          </w:tcPr>
          <w:p>
            <w:pPr>
              <w:spacing w:after="0"/>
              <w:rPr>
                <w:sz w:val="18"/>
                <w:szCs w:val="18"/>
                <w:color w:val="auto"/>
              </w:rPr>
            </w:pPr>
          </w:p>
        </w:tc>
        <w:tc>
          <w:tcPr>
            <w:tcW w:w="7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69,108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3"/>
        </w:trPr>
        <w:tc>
          <w:tcPr>
            <w:tcW w:w="5860" w:type="dxa"/>
            <w:vAlign w:val="bottom"/>
            <w:gridSpan w:val="3"/>
          </w:tcPr>
          <w:p>
            <w:pPr>
              <w:spacing w:after="0"/>
              <w:rPr>
                <w:sz w:val="20"/>
                <w:szCs w:val="20"/>
                <w:color w:val="auto"/>
              </w:rPr>
            </w:pPr>
            <w:r>
              <w:rPr>
                <w:rFonts w:ascii="Arial" w:cs="Arial" w:eastAsia="Arial" w:hAnsi="Arial"/>
                <w:sz w:val="15"/>
                <w:szCs w:val="15"/>
                <w:color w:val="auto"/>
              </w:rPr>
              <w:t>Interest expense,</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2"/>
        </w:trPr>
        <w:tc>
          <w:tcPr>
            <w:tcW w:w="5760" w:type="dxa"/>
            <w:vAlign w:val="bottom"/>
            <w:tcBorders>
              <w:bottom w:val="single" w:sz="8" w:color="98A3B8"/>
            </w:tcBorders>
            <w:gridSpan w:val="2"/>
          </w:tcPr>
          <w:p>
            <w:pPr>
              <w:spacing w:after="0"/>
              <w:rPr>
                <w:sz w:val="20"/>
                <w:szCs w:val="20"/>
                <w:color w:val="auto"/>
              </w:rPr>
            </w:pPr>
            <w:r>
              <w:rPr>
                <w:rFonts w:ascii="Arial" w:cs="Arial" w:eastAsia="Arial" w:hAnsi="Arial"/>
                <w:sz w:val="15"/>
                <w:szCs w:val="15"/>
                <w:color w:val="auto"/>
              </w:rPr>
              <w:t>net of interest income</w:t>
            </w:r>
          </w:p>
        </w:tc>
        <w:tc>
          <w:tcPr>
            <w:tcW w:w="100" w:type="dxa"/>
            <w:vAlign w:val="bottom"/>
          </w:tcPr>
          <w:p>
            <w:pPr>
              <w:spacing w:after="0"/>
              <w:rPr>
                <w:sz w:val="16"/>
                <w:szCs w:val="16"/>
                <w:color w:val="auto"/>
              </w:rPr>
            </w:pPr>
          </w:p>
        </w:tc>
        <w:tc>
          <w:tcPr>
            <w:tcW w:w="140" w:type="dxa"/>
            <w:vAlign w:val="bottom"/>
            <w:tcBorders>
              <w:bottom w:val="single" w:sz="8" w:color="98A3B8"/>
            </w:tcBorders>
          </w:tcPr>
          <w:p>
            <w:pPr>
              <w:spacing w:after="0"/>
              <w:rPr>
                <w:sz w:val="16"/>
                <w:szCs w:val="16"/>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330,215</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98A3B8"/>
            </w:tcBorders>
          </w:tcPr>
          <w:p>
            <w:pPr>
              <w:spacing w:after="0"/>
              <w:rPr>
                <w:sz w:val="16"/>
                <w:szCs w:val="16"/>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329,897</w:t>
            </w:r>
          </w:p>
        </w:tc>
        <w:tc>
          <w:tcPr>
            <w:tcW w:w="100" w:type="dxa"/>
            <w:vAlign w:val="bottom"/>
          </w:tcPr>
          <w:p>
            <w:pPr>
              <w:spacing w:after="0"/>
              <w:rPr>
                <w:sz w:val="16"/>
                <w:szCs w:val="16"/>
                <w:color w:val="auto"/>
              </w:rPr>
            </w:pPr>
          </w:p>
        </w:tc>
        <w:tc>
          <w:tcPr>
            <w:tcW w:w="160" w:type="dxa"/>
            <w:vAlign w:val="bottom"/>
            <w:tcBorders>
              <w:bottom w:val="single" w:sz="8" w:color="98A3B8"/>
            </w:tcBorders>
          </w:tcPr>
          <w:p>
            <w:pPr>
              <w:spacing w:after="0"/>
              <w:rPr>
                <w:sz w:val="16"/>
                <w:szCs w:val="16"/>
                <w:color w:val="auto"/>
              </w:rPr>
            </w:pPr>
          </w:p>
        </w:tc>
        <w:tc>
          <w:tcPr>
            <w:tcW w:w="7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79,896</w:t>
            </w:r>
          </w:p>
        </w:tc>
        <w:tc>
          <w:tcPr>
            <w:tcW w:w="80" w:type="dxa"/>
            <w:vAlign w:val="bottom"/>
          </w:tcPr>
          <w:p>
            <w:pPr>
              <w:spacing w:after="0"/>
              <w:rPr>
                <w:sz w:val="16"/>
                <w:szCs w:val="16"/>
                <w:color w:val="auto"/>
              </w:rPr>
            </w:pPr>
          </w:p>
        </w:tc>
        <w:tc>
          <w:tcPr>
            <w:tcW w:w="180" w:type="dxa"/>
            <w:vAlign w:val="bottom"/>
            <w:tcBorders>
              <w:bottom w:val="single" w:sz="8" w:color="98A3B8"/>
            </w:tcBorders>
          </w:tcPr>
          <w:p>
            <w:pPr>
              <w:spacing w:after="0"/>
              <w:rPr>
                <w:sz w:val="16"/>
                <w:szCs w:val="16"/>
                <w:color w:val="auto"/>
              </w:rPr>
            </w:pPr>
          </w:p>
        </w:tc>
        <w:tc>
          <w:tcPr>
            <w:tcW w:w="7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86,268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3"/>
        </w:trPr>
        <w:tc>
          <w:tcPr>
            <w:tcW w:w="5860" w:type="dxa"/>
            <w:vAlign w:val="bottom"/>
            <w:gridSpan w:val="3"/>
          </w:tcPr>
          <w:p>
            <w:pPr>
              <w:spacing w:after="0"/>
              <w:rPr>
                <w:sz w:val="20"/>
                <w:szCs w:val="20"/>
                <w:color w:val="auto"/>
              </w:rPr>
            </w:pPr>
            <w:r>
              <w:rPr>
                <w:rFonts w:ascii="Arial" w:cs="Arial" w:eastAsia="Arial" w:hAnsi="Arial"/>
                <w:sz w:val="15"/>
                <w:szCs w:val="15"/>
                <w:color w:val="auto"/>
              </w:rPr>
              <w:t>Amortization of deferred</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2"/>
        </w:trPr>
        <w:tc>
          <w:tcPr>
            <w:tcW w:w="5760" w:type="dxa"/>
            <w:vAlign w:val="bottom"/>
            <w:tcBorders>
              <w:bottom w:val="single" w:sz="8" w:color="98A3B8"/>
            </w:tcBorders>
            <w:gridSpan w:val="2"/>
          </w:tcPr>
          <w:p>
            <w:pPr>
              <w:spacing w:after="0"/>
              <w:rPr>
                <w:sz w:val="20"/>
                <w:szCs w:val="20"/>
                <w:color w:val="auto"/>
              </w:rPr>
            </w:pPr>
            <w:r>
              <w:rPr>
                <w:rFonts w:ascii="Arial" w:cs="Arial" w:eastAsia="Arial" w:hAnsi="Arial"/>
                <w:sz w:val="15"/>
                <w:szCs w:val="15"/>
                <w:color w:val="auto"/>
              </w:rPr>
              <w:t>financing costs</w:t>
            </w:r>
          </w:p>
        </w:tc>
        <w:tc>
          <w:tcPr>
            <w:tcW w:w="100" w:type="dxa"/>
            <w:vAlign w:val="bottom"/>
          </w:tcPr>
          <w:p>
            <w:pPr>
              <w:spacing w:after="0"/>
              <w:rPr>
                <w:sz w:val="16"/>
                <w:szCs w:val="16"/>
                <w:color w:val="auto"/>
              </w:rPr>
            </w:pPr>
          </w:p>
        </w:tc>
        <w:tc>
          <w:tcPr>
            <w:tcW w:w="140" w:type="dxa"/>
            <w:vAlign w:val="bottom"/>
            <w:tcBorders>
              <w:bottom w:val="single" w:sz="8" w:color="98A3B8"/>
            </w:tcBorders>
          </w:tcPr>
          <w:p>
            <w:pPr>
              <w:spacing w:after="0"/>
              <w:rPr>
                <w:sz w:val="16"/>
                <w:szCs w:val="16"/>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16,695</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98A3B8"/>
            </w:tcBorders>
          </w:tcPr>
          <w:p>
            <w:pPr>
              <w:spacing w:after="0"/>
              <w:rPr>
                <w:sz w:val="16"/>
                <w:szCs w:val="16"/>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19,450</w:t>
            </w:r>
          </w:p>
        </w:tc>
        <w:tc>
          <w:tcPr>
            <w:tcW w:w="100" w:type="dxa"/>
            <w:vAlign w:val="bottom"/>
          </w:tcPr>
          <w:p>
            <w:pPr>
              <w:spacing w:after="0"/>
              <w:rPr>
                <w:sz w:val="16"/>
                <w:szCs w:val="16"/>
                <w:color w:val="auto"/>
              </w:rPr>
            </w:pPr>
          </w:p>
        </w:tc>
        <w:tc>
          <w:tcPr>
            <w:tcW w:w="160" w:type="dxa"/>
            <w:vAlign w:val="bottom"/>
            <w:tcBorders>
              <w:bottom w:val="single" w:sz="8" w:color="98A3B8"/>
            </w:tcBorders>
          </w:tcPr>
          <w:p>
            <w:pPr>
              <w:spacing w:after="0"/>
              <w:rPr>
                <w:sz w:val="16"/>
                <w:szCs w:val="16"/>
                <w:color w:val="auto"/>
              </w:rPr>
            </w:pPr>
          </w:p>
        </w:tc>
        <w:tc>
          <w:tcPr>
            <w:tcW w:w="7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9,637</w:t>
            </w:r>
          </w:p>
        </w:tc>
        <w:tc>
          <w:tcPr>
            <w:tcW w:w="80" w:type="dxa"/>
            <w:vAlign w:val="bottom"/>
          </w:tcPr>
          <w:p>
            <w:pPr>
              <w:spacing w:after="0"/>
              <w:rPr>
                <w:sz w:val="16"/>
                <w:szCs w:val="16"/>
                <w:color w:val="auto"/>
              </w:rPr>
            </w:pPr>
          </w:p>
        </w:tc>
        <w:tc>
          <w:tcPr>
            <w:tcW w:w="180" w:type="dxa"/>
            <w:vAlign w:val="bottom"/>
            <w:tcBorders>
              <w:bottom w:val="single" w:sz="8" w:color="98A3B8"/>
            </w:tcBorders>
          </w:tcPr>
          <w:p>
            <w:pPr>
              <w:spacing w:after="0"/>
              <w:rPr>
                <w:sz w:val="16"/>
                <w:szCs w:val="16"/>
                <w:color w:val="auto"/>
              </w:rPr>
            </w:pPr>
          </w:p>
        </w:tc>
        <w:tc>
          <w:tcPr>
            <w:tcW w:w="7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3,859</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3"/>
        </w:trPr>
        <w:tc>
          <w:tcPr>
            <w:tcW w:w="5860" w:type="dxa"/>
            <w:vAlign w:val="bottom"/>
            <w:gridSpan w:val="3"/>
          </w:tcPr>
          <w:p>
            <w:pPr>
              <w:spacing w:after="0"/>
              <w:rPr>
                <w:sz w:val="20"/>
                <w:szCs w:val="20"/>
                <w:color w:val="auto"/>
              </w:rPr>
            </w:pPr>
            <w:r>
              <w:rPr>
                <w:rFonts w:ascii="Arial" w:cs="Arial" w:eastAsia="Arial" w:hAnsi="Arial"/>
                <w:sz w:val="15"/>
                <w:szCs w:val="15"/>
                <w:color w:val="auto"/>
              </w:rPr>
              <w:t>(Loss) gain on early</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2"/>
        </w:trPr>
        <w:tc>
          <w:tcPr>
            <w:tcW w:w="5760" w:type="dxa"/>
            <w:vAlign w:val="bottom"/>
            <w:tcBorders>
              <w:bottom w:val="single" w:sz="8" w:color="98A3B8"/>
            </w:tcBorders>
            <w:gridSpan w:val="2"/>
          </w:tcPr>
          <w:p>
            <w:pPr>
              <w:spacing w:after="0"/>
              <w:rPr>
                <w:sz w:val="20"/>
                <w:szCs w:val="20"/>
                <w:color w:val="auto"/>
              </w:rPr>
            </w:pPr>
            <w:r>
              <w:rPr>
                <w:rFonts w:ascii="Arial" w:cs="Arial" w:eastAsia="Arial" w:hAnsi="Arial"/>
                <w:sz w:val="15"/>
                <w:szCs w:val="15"/>
                <w:color w:val="auto"/>
              </w:rPr>
              <w:t>extinguishment of debt</w:t>
            </w:r>
          </w:p>
        </w:tc>
        <w:tc>
          <w:tcPr>
            <w:tcW w:w="100" w:type="dxa"/>
            <w:vAlign w:val="bottom"/>
          </w:tcPr>
          <w:p>
            <w:pPr>
              <w:spacing w:after="0"/>
              <w:rPr>
                <w:sz w:val="16"/>
                <w:szCs w:val="16"/>
                <w:color w:val="auto"/>
              </w:rPr>
            </w:pPr>
          </w:p>
        </w:tc>
        <w:tc>
          <w:tcPr>
            <w:tcW w:w="140" w:type="dxa"/>
            <w:vAlign w:val="bottom"/>
            <w:tcBorders>
              <w:bottom w:val="single" w:sz="8" w:color="98A3B8"/>
            </w:tcBorders>
          </w:tcPr>
          <w:p>
            <w:pPr>
              <w:spacing w:after="0"/>
              <w:rPr>
                <w:sz w:val="16"/>
                <w:szCs w:val="16"/>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(18,518)</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98A3B8"/>
            </w:tcBorders>
          </w:tcPr>
          <w:p>
            <w:pPr>
              <w:spacing w:after="0"/>
              <w:rPr>
                <w:sz w:val="16"/>
                <w:szCs w:val="16"/>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(6,978)</w:t>
            </w:r>
          </w:p>
        </w:tc>
        <w:tc>
          <w:tcPr>
            <w:tcW w:w="100" w:type="dxa"/>
            <w:vAlign w:val="bottom"/>
          </w:tcPr>
          <w:p>
            <w:pPr>
              <w:spacing w:after="0"/>
              <w:rPr>
                <w:sz w:val="16"/>
                <w:szCs w:val="16"/>
                <w:color w:val="auto"/>
              </w:rPr>
            </w:pPr>
          </w:p>
        </w:tc>
        <w:tc>
          <w:tcPr>
            <w:tcW w:w="160" w:type="dxa"/>
            <w:vAlign w:val="bottom"/>
            <w:tcBorders>
              <w:bottom w:val="single" w:sz="8" w:color="98A3B8"/>
            </w:tcBorders>
          </w:tcPr>
          <w:p>
            <w:pPr>
              <w:spacing w:after="0"/>
              <w:rPr>
                <w:sz w:val="16"/>
                <w:szCs w:val="16"/>
                <w:color w:val="auto"/>
              </w:rPr>
            </w:pPr>
          </w:p>
        </w:tc>
        <w:tc>
          <w:tcPr>
            <w:tcW w:w="7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80" w:type="dxa"/>
            <w:vAlign w:val="bottom"/>
            <w:tcBorders>
              <w:bottom w:val="single" w:sz="8" w:color="98A3B8"/>
            </w:tcBorders>
          </w:tcPr>
          <w:p>
            <w:pPr>
              <w:spacing w:after="0"/>
              <w:rPr>
                <w:sz w:val="16"/>
                <w:szCs w:val="16"/>
                <w:color w:val="auto"/>
              </w:rPr>
            </w:pPr>
          </w:p>
        </w:tc>
        <w:tc>
          <w:tcPr>
            <w:tcW w:w="7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10,711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7"/>
        </w:trPr>
        <w:tc>
          <w:tcPr>
            <w:tcW w:w="5760" w:type="dxa"/>
            <w:vAlign w:val="bottom"/>
            <w:tcBorders>
              <w:bottom w:val="single" w:sz="8" w:color="98A3B8"/>
            </w:tcBorders>
            <w:gridSpan w:val="2"/>
          </w:tcPr>
          <w:p>
            <w:pPr>
              <w:spacing w:after="0"/>
              <w:rPr>
                <w:sz w:val="20"/>
                <w:szCs w:val="20"/>
                <w:color w:val="auto"/>
              </w:rPr>
            </w:pPr>
            <w:r>
              <w:rPr>
                <w:rFonts w:ascii="Arial" w:cs="Arial" w:eastAsia="Arial" w:hAnsi="Arial"/>
                <w:sz w:val="15"/>
                <w:szCs w:val="15"/>
                <w:b w:val="1"/>
                <w:bCs w:val="1"/>
                <w:color w:val="auto"/>
              </w:rPr>
              <w:t>Operating income</w:t>
            </w:r>
          </w:p>
        </w:tc>
        <w:tc>
          <w:tcPr>
            <w:tcW w:w="100" w:type="dxa"/>
            <w:vAlign w:val="bottom"/>
          </w:tcPr>
          <w:p>
            <w:pPr>
              <w:spacing w:after="0"/>
              <w:rPr>
                <w:sz w:val="18"/>
                <w:szCs w:val="18"/>
                <w:color w:val="auto"/>
              </w:rPr>
            </w:pPr>
          </w:p>
        </w:tc>
        <w:tc>
          <w:tcPr>
            <w:tcW w:w="14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818,029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823,545</w:t>
            </w:r>
          </w:p>
        </w:tc>
        <w:tc>
          <w:tcPr>
            <w:tcW w:w="100" w:type="dxa"/>
            <w:vAlign w:val="bottom"/>
          </w:tcPr>
          <w:p>
            <w:pPr>
              <w:spacing w:after="0"/>
              <w:rPr>
                <w:sz w:val="18"/>
                <w:szCs w:val="18"/>
                <w:color w:val="auto"/>
              </w:rPr>
            </w:pPr>
          </w:p>
        </w:tc>
        <w:tc>
          <w:tcPr>
            <w:tcW w:w="160" w:type="dxa"/>
            <w:vAlign w:val="bottom"/>
            <w:tcBorders>
              <w:bottom w:val="single" w:sz="8" w:color="98A3B8"/>
            </w:tcBorders>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183,857</w:t>
            </w:r>
          </w:p>
        </w:tc>
        <w:tc>
          <w:tcPr>
            <w:tcW w:w="80" w:type="dxa"/>
            <w:vAlign w:val="bottom"/>
          </w:tcPr>
          <w:p>
            <w:pPr>
              <w:spacing w:after="0"/>
              <w:rPr>
                <w:sz w:val="18"/>
                <w:szCs w:val="18"/>
                <w:color w:val="auto"/>
              </w:rPr>
            </w:pPr>
          </w:p>
        </w:tc>
        <w:tc>
          <w:tcPr>
            <w:tcW w:w="180" w:type="dxa"/>
            <w:vAlign w:val="bottom"/>
            <w:tcBorders>
              <w:bottom w:val="single" w:sz="8" w:color="98A3B8"/>
            </w:tcBorders>
          </w:tcPr>
          <w:p>
            <w:pPr>
              <w:jc w:val="right"/>
              <w:ind w:right="23"/>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246,364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3"/>
        </w:trPr>
        <w:tc>
          <w:tcPr>
            <w:tcW w:w="5860" w:type="dxa"/>
            <w:vAlign w:val="bottom"/>
            <w:gridSpan w:val="3"/>
          </w:tcPr>
          <w:p>
            <w:pPr>
              <w:spacing w:after="0"/>
              <w:rPr>
                <w:sz w:val="20"/>
                <w:szCs w:val="20"/>
                <w:color w:val="auto"/>
              </w:rPr>
            </w:pPr>
            <w:r>
              <w:rPr>
                <w:rFonts w:ascii="Arial" w:cs="Arial" w:eastAsia="Arial" w:hAnsi="Arial"/>
                <w:sz w:val="15"/>
                <w:szCs w:val="15"/>
                <w:color w:val="auto"/>
              </w:rPr>
              <w:t>Marketing, general &amp;</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2"/>
        </w:trPr>
        <w:tc>
          <w:tcPr>
            <w:tcW w:w="5760" w:type="dxa"/>
            <w:vAlign w:val="bottom"/>
            <w:tcBorders>
              <w:bottom w:val="single" w:sz="8" w:color="98A3B8"/>
            </w:tcBorders>
            <w:gridSpan w:val="2"/>
          </w:tcPr>
          <w:p>
            <w:pPr>
              <w:spacing w:after="0"/>
              <w:rPr>
                <w:sz w:val="20"/>
                <w:szCs w:val="20"/>
                <w:color w:val="auto"/>
              </w:rPr>
            </w:pPr>
            <w:r>
              <w:rPr>
                <w:rFonts w:ascii="Arial" w:cs="Arial" w:eastAsia="Arial" w:hAnsi="Arial"/>
                <w:sz w:val="15"/>
                <w:szCs w:val="15"/>
                <w:color w:val="auto"/>
              </w:rPr>
              <w:t>administrative expense</w:t>
            </w:r>
          </w:p>
        </w:tc>
        <w:tc>
          <w:tcPr>
            <w:tcW w:w="100" w:type="dxa"/>
            <w:vAlign w:val="bottom"/>
          </w:tcPr>
          <w:p>
            <w:pPr>
              <w:spacing w:after="0"/>
              <w:rPr>
                <w:sz w:val="16"/>
                <w:szCs w:val="16"/>
                <w:color w:val="auto"/>
              </w:rPr>
            </w:pPr>
          </w:p>
        </w:tc>
        <w:tc>
          <w:tcPr>
            <w:tcW w:w="140" w:type="dxa"/>
            <w:vAlign w:val="bottom"/>
            <w:tcBorders>
              <w:bottom w:val="single" w:sz="8" w:color="98A3B8"/>
            </w:tcBorders>
          </w:tcPr>
          <w:p>
            <w:pPr>
              <w:spacing w:after="0"/>
              <w:rPr>
                <w:sz w:val="16"/>
                <w:szCs w:val="16"/>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86,192</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98A3B8"/>
            </w:tcBorders>
          </w:tcPr>
          <w:p>
            <w:pPr>
              <w:spacing w:after="0"/>
              <w:rPr>
                <w:sz w:val="16"/>
                <w:szCs w:val="16"/>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82,840</w:t>
            </w:r>
          </w:p>
        </w:tc>
        <w:tc>
          <w:tcPr>
            <w:tcW w:w="100" w:type="dxa"/>
            <w:vAlign w:val="bottom"/>
          </w:tcPr>
          <w:p>
            <w:pPr>
              <w:spacing w:after="0"/>
              <w:rPr>
                <w:sz w:val="16"/>
                <w:szCs w:val="16"/>
                <w:color w:val="auto"/>
              </w:rPr>
            </w:pPr>
          </w:p>
        </w:tc>
        <w:tc>
          <w:tcPr>
            <w:tcW w:w="160" w:type="dxa"/>
            <w:vAlign w:val="bottom"/>
            <w:tcBorders>
              <w:bottom w:val="single" w:sz="8" w:color="98A3B8"/>
            </w:tcBorders>
          </w:tcPr>
          <w:p>
            <w:pPr>
              <w:spacing w:after="0"/>
              <w:rPr>
                <w:sz w:val="16"/>
                <w:szCs w:val="16"/>
                <w:color w:val="auto"/>
              </w:rPr>
            </w:pPr>
          </w:p>
        </w:tc>
        <w:tc>
          <w:tcPr>
            <w:tcW w:w="7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80" w:type="dxa"/>
            <w:vAlign w:val="bottom"/>
            <w:tcBorders>
              <w:bottom w:val="single" w:sz="8" w:color="98A3B8"/>
            </w:tcBorders>
          </w:tcPr>
          <w:p>
            <w:pPr>
              <w:spacing w:after="0"/>
              <w:rPr>
                <w:sz w:val="16"/>
                <w:szCs w:val="16"/>
                <w:color w:val="auto"/>
              </w:rPr>
            </w:pPr>
          </w:p>
        </w:tc>
        <w:tc>
          <w:tcPr>
            <w:tcW w:w="7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3"/>
        </w:trPr>
        <w:tc>
          <w:tcPr>
            <w:tcW w:w="5860" w:type="dxa"/>
            <w:vAlign w:val="bottom"/>
            <w:gridSpan w:val="3"/>
          </w:tcPr>
          <w:p>
            <w:pPr>
              <w:spacing w:after="0"/>
              <w:rPr>
                <w:sz w:val="20"/>
                <w:szCs w:val="20"/>
                <w:color w:val="auto"/>
              </w:rPr>
            </w:pPr>
            <w:r>
              <w:rPr>
                <w:rFonts w:ascii="Arial" w:cs="Arial" w:eastAsia="Arial" w:hAnsi="Arial"/>
                <w:sz w:val="15"/>
                <w:szCs w:val="15"/>
                <w:color w:val="auto"/>
              </w:rPr>
              <w:t>Net operating income from</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2"/>
        </w:trPr>
        <w:tc>
          <w:tcPr>
            <w:tcW w:w="5760" w:type="dxa"/>
            <w:vAlign w:val="bottom"/>
            <w:tcBorders>
              <w:bottom w:val="single" w:sz="8" w:color="98A3B8"/>
            </w:tcBorders>
            <w:gridSpan w:val="2"/>
          </w:tcPr>
          <w:p>
            <w:pPr>
              <w:spacing w:after="0"/>
              <w:rPr>
                <w:sz w:val="20"/>
                <w:szCs w:val="20"/>
                <w:color w:val="auto"/>
              </w:rPr>
            </w:pPr>
            <w:r>
              <w:rPr>
                <w:rFonts w:ascii="Arial" w:cs="Arial" w:eastAsia="Arial" w:hAnsi="Arial"/>
                <w:sz w:val="15"/>
                <w:szCs w:val="15"/>
                <w:color w:val="auto"/>
              </w:rPr>
              <w:t>discontinued operations</w:t>
            </w:r>
          </w:p>
        </w:tc>
        <w:tc>
          <w:tcPr>
            <w:tcW w:w="100" w:type="dxa"/>
            <w:vAlign w:val="bottom"/>
          </w:tcPr>
          <w:p>
            <w:pPr>
              <w:spacing w:after="0"/>
              <w:rPr>
                <w:sz w:val="16"/>
                <w:szCs w:val="16"/>
                <w:color w:val="auto"/>
              </w:rPr>
            </w:pPr>
          </w:p>
        </w:tc>
        <w:tc>
          <w:tcPr>
            <w:tcW w:w="140" w:type="dxa"/>
            <w:vAlign w:val="bottom"/>
            <w:tcBorders>
              <w:bottom w:val="single" w:sz="8" w:color="98A3B8"/>
            </w:tcBorders>
          </w:tcPr>
          <w:p>
            <w:pPr>
              <w:spacing w:after="0"/>
              <w:rPr>
                <w:sz w:val="16"/>
                <w:szCs w:val="16"/>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7,548</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98A3B8"/>
            </w:tcBorders>
          </w:tcPr>
          <w:p>
            <w:pPr>
              <w:spacing w:after="0"/>
              <w:rPr>
                <w:sz w:val="16"/>
                <w:szCs w:val="16"/>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11,849</w:t>
            </w:r>
          </w:p>
        </w:tc>
        <w:tc>
          <w:tcPr>
            <w:tcW w:w="100" w:type="dxa"/>
            <w:vAlign w:val="bottom"/>
          </w:tcPr>
          <w:p>
            <w:pPr>
              <w:spacing w:after="0"/>
              <w:rPr>
                <w:sz w:val="16"/>
                <w:szCs w:val="16"/>
                <w:color w:val="auto"/>
              </w:rPr>
            </w:pPr>
          </w:p>
        </w:tc>
        <w:tc>
          <w:tcPr>
            <w:tcW w:w="160" w:type="dxa"/>
            <w:vAlign w:val="bottom"/>
            <w:tcBorders>
              <w:bottom w:val="single" w:sz="8" w:color="98A3B8"/>
            </w:tcBorders>
          </w:tcPr>
          <w:p>
            <w:pPr>
              <w:spacing w:after="0"/>
              <w:rPr>
                <w:sz w:val="16"/>
                <w:szCs w:val="16"/>
                <w:color w:val="auto"/>
              </w:rPr>
            </w:pPr>
          </w:p>
        </w:tc>
        <w:tc>
          <w:tcPr>
            <w:tcW w:w="7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80" w:type="dxa"/>
            <w:vAlign w:val="bottom"/>
            <w:tcBorders>
              <w:bottom w:val="single" w:sz="8" w:color="98A3B8"/>
            </w:tcBorders>
          </w:tcPr>
          <w:p>
            <w:pPr>
              <w:spacing w:after="0"/>
              <w:rPr>
                <w:sz w:val="16"/>
                <w:szCs w:val="16"/>
                <w:color w:val="auto"/>
              </w:rPr>
            </w:pPr>
          </w:p>
        </w:tc>
        <w:tc>
          <w:tcPr>
            <w:tcW w:w="7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3"/>
        </w:trPr>
        <w:tc>
          <w:tcPr>
            <w:tcW w:w="5860" w:type="dxa"/>
            <w:vAlign w:val="bottom"/>
            <w:gridSpan w:val="3"/>
          </w:tcPr>
          <w:p>
            <w:pPr>
              <w:spacing w:after="0"/>
              <w:rPr>
                <w:sz w:val="20"/>
                <w:szCs w:val="20"/>
                <w:color w:val="auto"/>
              </w:rPr>
            </w:pPr>
            <w:r>
              <w:rPr>
                <w:rFonts w:ascii="Arial" w:cs="Arial" w:eastAsia="Arial" w:hAnsi="Arial"/>
                <w:sz w:val="15"/>
                <w:szCs w:val="15"/>
                <w:color w:val="auto"/>
              </w:rPr>
              <w:t>Loan loss and other investment</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2"/>
        </w:trPr>
        <w:tc>
          <w:tcPr>
            <w:tcW w:w="5760" w:type="dxa"/>
            <w:vAlign w:val="bottom"/>
            <w:tcBorders>
              <w:bottom w:val="single" w:sz="8" w:color="98A3B8"/>
            </w:tcBorders>
            <w:gridSpan w:val="2"/>
          </w:tcPr>
          <w:p>
            <w:pPr>
              <w:spacing w:after="0"/>
              <w:rPr>
                <w:sz w:val="20"/>
                <w:szCs w:val="20"/>
                <w:color w:val="auto"/>
              </w:rPr>
            </w:pPr>
            <w:r>
              <w:rPr>
                <w:rFonts w:ascii="Arial" w:cs="Arial" w:eastAsia="Arial" w:hAnsi="Arial"/>
                <w:sz w:val="15"/>
                <w:szCs w:val="15"/>
                <w:color w:val="auto"/>
              </w:rPr>
              <w:t>reserves, net of recoveries</w:t>
            </w:r>
          </w:p>
        </w:tc>
        <w:tc>
          <w:tcPr>
            <w:tcW w:w="100" w:type="dxa"/>
            <w:vAlign w:val="bottom"/>
          </w:tcPr>
          <w:p>
            <w:pPr>
              <w:spacing w:after="0"/>
              <w:rPr>
                <w:sz w:val="16"/>
                <w:szCs w:val="16"/>
                <w:color w:val="auto"/>
              </w:rPr>
            </w:pPr>
          </w:p>
        </w:tc>
        <w:tc>
          <w:tcPr>
            <w:tcW w:w="140" w:type="dxa"/>
            <w:vAlign w:val="bottom"/>
            <w:tcBorders>
              <w:bottom w:val="single" w:sz="8" w:color="98A3B8"/>
            </w:tcBorders>
          </w:tcPr>
          <w:p>
            <w:pPr>
              <w:spacing w:after="0"/>
              <w:rPr>
                <w:sz w:val="16"/>
                <w:szCs w:val="16"/>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98A3B8"/>
            </w:tcBorders>
          </w:tcPr>
          <w:p>
            <w:pPr>
              <w:spacing w:after="0"/>
              <w:rPr>
                <w:sz w:val="16"/>
                <w:szCs w:val="16"/>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564</w:t>
            </w:r>
          </w:p>
        </w:tc>
        <w:tc>
          <w:tcPr>
            <w:tcW w:w="100" w:type="dxa"/>
            <w:vAlign w:val="bottom"/>
          </w:tcPr>
          <w:p>
            <w:pPr>
              <w:spacing w:after="0"/>
              <w:rPr>
                <w:sz w:val="16"/>
                <w:szCs w:val="16"/>
                <w:color w:val="auto"/>
              </w:rPr>
            </w:pPr>
          </w:p>
        </w:tc>
        <w:tc>
          <w:tcPr>
            <w:tcW w:w="160" w:type="dxa"/>
            <w:vAlign w:val="bottom"/>
            <w:tcBorders>
              <w:bottom w:val="single" w:sz="8" w:color="98A3B8"/>
            </w:tcBorders>
          </w:tcPr>
          <w:p>
            <w:pPr>
              <w:spacing w:after="0"/>
              <w:rPr>
                <w:sz w:val="16"/>
                <w:szCs w:val="16"/>
                <w:color w:val="auto"/>
              </w:rPr>
            </w:pPr>
          </w:p>
        </w:tc>
        <w:tc>
          <w:tcPr>
            <w:tcW w:w="7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80" w:type="dxa"/>
            <w:vAlign w:val="bottom"/>
            <w:tcBorders>
              <w:bottom w:val="single" w:sz="8" w:color="98A3B8"/>
            </w:tcBorders>
          </w:tcPr>
          <w:p>
            <w:pPr>
              <w:spacing w:after="0"/>
              <w:rPr>
                <w:sz w:val="16"/>
                <w:szCs w:val="16"/>
                <w:color w:val="auto"/>
              </w:rPr>
            </w:pPr>
          </w:p>
        </w:tc>
        <w:tc>
          <w:tcPr>
            <w:tcW w:w="7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7"/>
        </w:trPr>
        <w:tc>
          <w:tcPr>
            <w:tcW w:w="5760" w:type="dxa"/>
            <w:vAlign w:val="bottom"/>
            <w:tcBorders>
              <w:bottom w:val="single" w:sz="8" w:color="98A3B8"/>
            </w:tcBorders>
            <w:gridSpan w:val="2"/>
          </w:tcPr>
          <w:p>
            <w:pPr>
              <w:spacing w:after="0"/>
              <w:rPr>
                <w:sz w:val="20"/>
                <w:szCs w:val="20"/>
                <w:color w:val="auto"/>
              </w:rPr>
            </w:pPr>
            <w:r>
              <w:rPr>
                <w:rFonts w:ascii="Arial" w:cs="Arial" w:eastAsia="Arial" w:hAnsi="Arial"/>
                <w:sz w:val="15"/>
                <w:szCs w:val="15"/>
                <w:color w:val="auto"/>
              </w:rPr>
              <w:t>Transaction related costs, net</w:t>
            </w:r>
          </w:p>
        </w:tc>
        <w:tc>
          <w:tcPr>
            <w:tcW w:w="10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3,987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5,625</w:t>
            </w:r>
          </w:p>
        </w:tc>
        <w:tc>
          <w:tcPr>
            <w:tcW w:w="100" w:type="dxa"/>
            <w:vAlign w:val="bottom"/>
          </w:tcPr>
          <w:p>
            <w:pPr>
              <w:spacing w:after="0"/>
              <w:rPr>
                <w:sz w:val="18"/>
                <w:szCs w:val="18"/>
                <w:color w:val="auto"/>
              </w:rPr>
            </w:pPr>
          </w:p>
        </w:tc>
        <w:tc>
          <w:tcPr>
            <w:tcW w:w="160" w:type="dxa"/>
            <w:vAlign w:val="bottom"/>
            <w:tcBorders>
              <w:bottom w:val="single" w:sz="8" w:color="98A3B8"/>
            </w:tcBorders>
          </w:tcPr>
          <w:p>
            <w:pPr>
              <w:spacing w:after="0"/>
              <w:rPr>
                <w:sz w:val="18"/>
                <w:szCs w:val="18"/>
                <w:color w:val="auto"/>
              </w:rPr>
            </w:pPr>
          </w:p>
        </w:tc>
        <w:tc>
          <w:tcPr>
            <w:tcW w:w="7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356</w:t>
            </w:r>
          </w:p>
        </w:tc>
        <w:tc>
          <w:tcPr>
            <w:tcW w:w="80" w:type="dxa"/>
            <w:vAlign w:val="bottom"/>
          </w:tcPr>
          <w:p>
            <w:pPr>
              <w:spacing w:after="0"/>
              <w:rPr>
                <w:sz w:val="18"/>
                <w:szCs w:val="18"/>
                <w:color w:val="auto"/>
              </w:rPr>
            </w:pPr>
          </w:p>
        </w:tc>
        <w:tc>
          <w:tcPr>
            <w:tcW w:w="180" w:type="dxa"/>
            <w:vAlign w:val="bottom"/>
            <w:tcBorders>
              <w:bottom w:val="single" w:sz="8" w:color="98A3B8"/>
            </w:tcBorders>
          </w:tcPr>
          <w:p>
            <w:pPr>
              <w:spacing w:after="0"/>
              <w:rPr>
                <w:sz w:val="18"/>
                <w:szCs w:val="18"/>
                <w:color w:val="auto"/>
              </w:rPr>
            </w:pPr>
          </w:p>
        </w:tc>
        <w:tc>
          <w:tcPr>
            <w:tcW w:w="7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960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7"/>
        </w:trPr>
        <w:tc>
          <w:tcPr>
            <w:tcW w:w="5760" w:type="dxa"/>
            <w:vAlign w:val="bottom"/>
            <w:tcBorders>
              <w:bottom w:val="single" w:sz="8" w:color="98A3B8"/>
            </w:tcBorders>
            <w:gridSpan w:val="2"/>
          </w:tcPr>
          <w:p>
            <w:pPr>
              <w:spacing w:after="0"/>
              <w:rPr>
                <w:sz w:val="20"/>
                <w:szCs w:val="20"/>
                <w:color w:val="auto"/>
              </w:rPr>
            </w:pPr>
            <w:r>
              <w:rPr>
                <w:rFonts w:ascii="Arial" w:cs="Arial" w:eastAsia="Arial" w:hAnsi="Arial"/>
                <w:sz w:val="15"/>
                <w:szCs w:val="15"/>
                <w:color w:val="auto"/>
              </w:rPr>
              <w:t>Non-building revenue</w:t>
            </w:r>
          </w:p>
        </w:tc>
        <w:tc>
          <w:tcPr>
            <w:tcW w:w="10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(201,416)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(134,391)</w:t>
            </w:r>
          </w:p>
        </w:tc>
        <w:tc>
          <w:tcPr>
            <w:tcW w:w="100" w:type="dxa"/>
            <w:vAlign w:val="bottom"/>
          </w:tcPr>
          <w:p>
            <w:pPr>
              <w:spacing w:after="0"/>
              <w:rPr>
                <w:sz w:val="18"/>
                <w:szCs w:val="18"/>
                <w:color w:val="auto"/>
              </w:rPr>
            </w:pPr>
          </w:p>
        </w:tc>
        <w:tc>
          <w:tcPr>
            <w:tcW w:w="160" w:type="dxa"/>
            <w:vAlign w:val="bottom"/>
            <w:tcBorders>
              <w:bottom w:val="single" w:sz="8" w:color="98A3B8"/>
            </w:tcBorders>
          </w:tcPr>
          <w:p>
            <w:pPr>
              <w:spacing w:after="0"/>
              <w:rPr>
                <w:sz w:val="18"/>
                <w:szCs w:val="18"/>
                <w:color w:val="auto"/>
              </w:rPr>
            </w:pPr>
          </w:p>
        </w:tc>
        <w:tc>
          <w:tcPr>
            <w:tcW w:w="7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(18,451)</w:t>
            </w:r>
          </w:p>
        </w:tc>
        <w:tc>
          <w:tcPr>
            <w:tcW w:w="80" w:type="dxa"/>
            <w:vAlign w:val="bottom"/>
          </w:tcPr>
          <w:p>
            <w:pPr>
              <w:spacing w:after="0"/>
              <w:rPr>
                <w:sz w:val="18"/>
                <w:szCs w:val="18"/>
                <w:color w:val="auto"/>
              </w:rPr>
            </w:pPr>
          </w:p>
        </w:tc>
        <w:tc>
          <w:tcPr>
            <w:tcW w:w="180" w:type="dxa"/>
            <w:vAlign w:val="bottom"/>
            <w:tcBorders>
              <w:bottom w:val="single" w:sz="8" w:color="98A3B8"/>
            </w:tcBorders>
          </w:tcPr>
          <w:p>
            <w:pPr>
              <w:spacing w:after="0"/>
              <w:rPr>
                <w:sz w:val="18"/>
                <w:szCs w:val="18"/>
                <w:color w:val="auto"/>
              </w:rPr>
            </w:pPr>
          </w:p>
        </w:tc>
        <w:tc>
          <w:tcPr>
            <w:tcW w:w="7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(83,242)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3"/>
        </w:trPr>
        <w:tc>
          <w:tcPr>
            <w:tcW w:w="5860" w:type="dxa"/>
            <w:vAlign w:val="bottom"/>
            <w:gridSpan w:val="3"/>
          </w:tcPr>
          <w:p>
            <w:pPr>
              <w:spacing w:after="0"/>
              <w:rPr>
                <w:sz w:val="20"/>
                <w:szCs w:val="20"/>
                <w:color w:val="auto"/>
              </w:rPr>
            </w:pPr>
            <w:r>
              <w:rPr>
                <w:rFonts w:ascii="Arial" w:cs="Arial" w:eastAsia="Arial" w:hAnsi="Arial"/>
                <w:sz w:val="15"/>
                <w:szCs w:val="15"/>
                <w:color w:val="auto"/>
              </w:rPr>
              <w:t>Equity in net income from</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2"/>
        </w:trPr>
        <w:tc>
          <w:tcPr>
            <w:tcW w:w="5760" w:type="dxa"/>
            <w:vAlign w:val="bottom"/>
            <w:tcBorders>
              <w:bottom w:val="single" w:sz="8" w:color="98A3B8"/>
            </w:tcBorders>
            <w:gridSpan w:val="2"/>
          </w:tcPr>
          <w:p>
            <w:pPr>
              <w:spacing w:after="0"/>
              <w:rPr>
                <w:sz w:val="20"/>
                <w:szCs w:val="20"/>
                <w:color w:val="auto"/>
              </w:rPr>
            </w:pPr>
            <w:r>
              <w:rPr>
                <w:rFonts w:ascii="Arial" w:cs="Arial" w:eastAsia="Arial" w:hAnsi="Arial"/>
                <w:sz w:val="15"/>
                <w:szCs w:val="15"/>
                <w:color w:val="auto"/>
              </w:rPr>
              <w:t>unconsolidated joint ventures</w:t>
            </w:r>
          </w:p>
        </w:tc>
        <w:tc>
          <w:tcPr>
            <w:tcW w:w="100" w:type="dxa"/>
            <w:vAlign w:val="bottom"/>
          </w:tcPr>
          <w:p>
            <w:pPr>
              <w:spacing w:after="0"/>
              <w:rPr>
                <w:sz w:val="16"/>
                <w:szCs w:val="16"/>
                <w:color w:val="auto"/>
              </w:rPr>
            </w:pPr>
          </w:p>
        </w:tc>
        <w:tc>
          <w:tcPr>
            <w:tcW w:w="140" w:type="dxa"/>
            <w:vAlign w:val="bottom"/>
            <w:tcBorders>
              <w:bottom w:val="single" w:sz="8" w:color="98A3B8"/>
            </w:tcBorders>
          </w:tcPr>
          <w:p>
            <w:pPr>
              <w:spacing w:after="0"/>
              <w:rPr>
                <w:sz w:val="16"/>
                <w:szCs w:val="16"/>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(9,921)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98A3B8"/>
            </w:tcBorders>
          </w:tcPr>
          <w:p>
            <w:pPr>
              <w:spacing w:after="0"/>
              <w:rPr>
                <w:sz w:val="16"/>
                <w:szCs w:val="16"/>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(76,418)</w:t>
            </w:r>
          </w:p>
        </w:tc>
        <w:tc>
          <w:tcPr>
            <w:tcW w:w="100" w:type="dxa"/>
            <w:vAlign w:val="bottom"/>
          </w:tcPr>
          <w:p>
            <w:pPr>
              <w:spacing w:after="0"/>
              <w:rPr>
                <w:sz w:val="16"/>
                <w:szCs w:val="16"/>
                <w:color w:val="auto"/>
              </w:rPr>
            </w:pPr>
          </w:p>
        </w:tc>
        <w:tc>
          <w:tcPr>
            <w:tcW w:w="160" w:type="dxa"/>
            <w:vAlign w:val="bottom"/>
            <w:tcBorders>
              <w:bottom w:val="single" w:sz="8" w:color="98A3B8"/>
            </w:tcBorders>
          </w:tcPr>
          <w:p>
            <w:pPr>
              <w:spacing w:after="0"/>
              <w:rPr>
                <w:sz w:val="16"/>
                <w:szCs w:val="16"/>
                <w:color w:val="auto"/>
              </w:rPr>
            </w:pPr>
          </w:p>
        </w:tc>
        <w:tc>
          <w:tcPr>
            <w:tcW w:w="7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80" w:type="dxa"/>
            <w:vAlign w:val="bottom"/>
            <w:tcBorders>
              <w:bottom w:val="single" w:sz="8" w:color="98A3B8"/>
            </w:tcBorders>
          </w:tcPr>
          <w:p>
            <w:pPr>
              <w:spacing w:after="0"/>
              <w:rPr>
                <w:sz w:val="16"/>
                <w:szCs w:val="16"/>
                <w:color w:val="auto"/>
              </w:rPr>
            </w:pPr>
          </w:p>
        </w:tc>
        <w:tc>
          <w:tcPr>
            <w:tcW w:w="7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3"/>
        </w:trPr>
        <w:tc>
          <w:tcPr>
            <w:tcW w:w="5860" w:type="dxa"/>
            <w:vAlign w:val="bottom"/>
            <w:gridSpan w:val="3"/>
          </w:tcPr>
          <w:p>
            <w:pPr>
              <w:spacing w:after="0"/>
              <w:rPr>
                <w:sz w:val="20"/>
                <w:szCs w:val="20"/>
                <w:color w:val="auto"/>
              </w:rPr>
            </w:pPr>
            <w:r>
              <w:rPr>
                <w:rFonts w:ascii="Arial" w:cs="Arial" w:eastAsia="Arial" w:hAnsi="Arial"/>
                <w:sz w:val="15"/>
                <w:szCs w:val="15"/>
                <w:color w:val="auto"/>
              </w:rPr>
              <w:t>Loss (gain) on early</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2"/>
        </w:trPr>
        <w:tc>
          <w:tcPr>
            <w:tcW w:w="5760" w:type="dxa"/>
            <w:vAlign w:val="bottom"/>
            <w:tcBorders>
              <w:bottom w:val="single" w:sz="8" w:color="98A3B8"/>
            </w:tcBorders>
            <w:gridSpan w:val="2"/>
          </w:tcPr>
          <w:p>
            <w:pPr>
              <w:spacing w:after="0"/>
              <w:rPr>
                <w:sz w:val="20"/>
                <w:szCs w:val="20"/>
                <w:color w:val="auto"/>
              </w:rPr>
            </w:pPr>
            <w:r>
              <w:rPr>
                <w:rFonts w:ascii="Arial" w:cs="Arial" w:eastAsia="Arial" w:hAnsi="Arial"/>
                <w:sz w:val="15"/>
                <w:szCs w:val="15"/>
                <w:color w:val="auto"/>
              </w:rPr>
              <w:t>extinguishment of debt</w:t>
            </w:r>
          </w:p>
        </w:tc>
        <w:tc>
          <w:tcPr>
            <w:tcW w:w="100" w:type="dxa"/>
            <w:vAlign w:val="bottom"/>
          </w:tcPr>
          <w:p>
            <w:pPr>
              <w:spacing w:after="0"/>
              <w:rPr>
                <w:sz w:val="16"/>
                <w:szCs w:val="16"/>
                <w:color w:val="auto"/>
              </w:rPr>
            </w:pPr>
          </w:p>
        </w:tc>
        <w:tc>
          <w:tcPr>
            <w:tcW w:w="140" w:type="dxa"/>
            <w:vAlign w:val="bottom"/>
            <w:tcBorders>
              <w:bottom w:val="single" w:sz="8" w:color="98A3B8"/>
            </w:tcBorders>
          </w:tcPr>
          <w:p>
            <w:pPr>
              <w:spacing w:after="0"/>
              <w:rPr>
                <w:sz w:val="16"/>
                <w:szCs w:val="16"/>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18,518</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98A3B8"/>
            </w:tcBorders>
          </w:tcPr>
          <w:p>
            <w:pPr>
              <w:spacing w:after="0"/>
              <w:rPr>
                <w:sz w:val="16"/>
                <w:szCs w:val="16"/>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6,978</w:t>
            </w:r>
          </w:p>
        </w:tc>
        <w:tc>
          <w:tcPr>
            <w:tcW w:w="100" w:type="dxa"/>
            <w:vAlign w:val="bottom"/>
          </w:tcPr>
          <w:p>
            <w:pPr>
              <w:spacing w:after="0"/>
              <w:rPr>
                <w:sz w:val="16"/>
                <w:szCs w:val="16"/>
                <w:color w:val="auto"/>
              </w:rPr>
            </w:pPr>
          </w:p>
        </w:tc>
        <w:tc>
          <w:tcPr>
            <w:tcW w:w="160" w:type="dxa"/>
            <w:vAlign w:val="bottom"/>
            <w:tcBorders>
              <w:bottom w:val="single" w:sz="8" w:color="98A3B8"/>
            </w:tcBorders>
          </w:tcPr>
          <w:p>
            <w:pPr>
              <w:spacing w:after="0"/>
              <w:rPr>
                <w:sz w:val="16"/>
                <w:szCs w:val="16"/>
                <w:color w:val="auto"/>
              </w:rPr>
            </w:pPr>
          </w:p>
        </w:tc>
        <w:tc>
          <w:tcPr>
            <w:tcW w:w="7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80" w:type="dxa"/>
            <w:vAlign w:val="bottom"/>
            <w:tcBorders>
              <w:bottom w:val="single" w:sz="8" w:color="98A3B8"/>
            </w:tcBorders>
          </w:tcPr>
          <w:p>
            <w:pPr>
              <w:spacing w:after="0"/>
              <w:rPr>
                <w:sz w:val="16"/>
                <w:szCs w:val="16"/>
                <w:color w:val="auto"/>
              </w:rPr>
            </w:pPr>
          </w:p>
        </w:tc>
        <w:tc>
          <w:tcPr>
            <w:tcW w:w="7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(10,711)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98A3B8"/>
            </w:tcBorders>
          </w:tcPr>
          <w:p>
            <w:pPr>
              <w:spacing w:after="0"/>
              <w:rPr>
                <w:sz w:val="16"/>
                <w:szCs w:val="16"/>
                <w:color w:val="auto"/>
              </w:rPr>
            </w:pPr>
          </w:p>
        </w:tc>
        <w:tc>
          <w:tcPr>
            <w:tcW w:w="720" w:type="dxa"/>
            <w:vAlign w:val="bottom"/>
            <w:tcBorders>
              <w:bottom w:val="single" w:sz="8" w:color="98A3B8"/>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98A3B8"/>
            </w:tcBorders>
          </w:tcPr>
          <w:p>
            <w:pPr>
              <w:spacing w:after="0"/>
              <w:rPr>
                <w:sz w:val="16"/>
                <w:szCs w:val="16"/>
                <w:color w:val="auto"/>
              </w:rPr>
            </w:pPr>
          </w:p>
        </w:tc>
        <w:tc>
          <w:tcPr>
            <w:tcW w:w="720" w:type="dxa"/>
            <w:vAlign w:val="bottom"/>
            <w:tcBorders>
              <w:bottom w:val="single" w:sz="8" w:color="98A3B8"/>
            </w:tcBorders>
          </w:tcPr>
          <w:p>
            <w:pPr>
              <w:spacing w:after="0"/>
              <w:rPr>
                <w:sz w:val="16"/>
                <w:szCs w:val="16"/>
                <w:color w:val="auto"/>
              </w:rPr>
            </w:pPr>
          </w:p>
        </w:tc>
      </w:tr>
      <w:tr>
        <w:trPr>
          <w:trHeight w:val="217"/>
        </w:trPr>
        <w:tc>
          <w:tcPr>
            <w:tcW w:w="5760" w:type="dxa"/>
            <w:vAlign w:val="bottom"/>
            <w:gridSpan w:val="2"/>
          </w:tcPr>
          <w:p>
            <w:pPr>
              <w:spacing w:after="0"/>
              <w:rPr>
                <w:sz w:val="20"/>
                <w:szCs w:val="20"/>
                <w:color w:val="auto"/>
              </w:rPr>
            </w:pPr>
            <w:r>
              <w:rPr>
                <w:rFonts w:ascii="Arial" w:cs="Arial" w:eastAsia="Arial" w:hAnsi="Arial"/>
                <w:sz w:val="15"/>
                <w:szCs w:val="15"/>
                <w:b w:val="1"/>
                <w:bCs w:val="1"/>
                <w:color w:val="auto"/>
              </w:rPr>
              <w:t>Net operating income (NOI)</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722,937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720,592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165,762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153,371</w:t>
            </w:r>
          </w:p>
        </w:tc>
        <w:tc>
          <w:tcPr>
            <w:tcW w:w="4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888,699</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873,963</w:t>
            </w:r>
          </w:p>
        </w:tc>
      </w:tr>
      <w:tr>
        <w:trPr>
          <w:trHeight w:val="217"/>
        </w:trPr>
        <w:tc>
          <w:tcPr>
            <w:tcW w:w="5760" w:type="dxa"/>
            <w:vAlign w:val="bottom"/>
            <w:tcBorders>
              <w:top w:val="single" w:sz="8" w:color="98A3B8"/>
              <w:bottom w:val="single" w:sz="8" w:color="98A3B8"/>
            </w:tcBorders>
            <w:gridSpan w:val="2"/>
          </w:tcPr>
          <w:p>
            <w:pPr>
              <w:spacing w:after="0"/>
              <w:rPr>
                <w:sz w:val="20"/>
                <w:szCs w:val="20"/>
                <w:color w:val="auto"/>
              </w:rPr>
            </w:pPr>
            <w:r>
              <w:rPr>
                <w:rFonts w:ascii="Arial" w:cs="Arial" w:eastAsia="Arial" w:hAnsi="Arial"/>
                <w:sz w:val="15"/>
                <w:szCs w:val="15"/>
                <w:color w:val="auto"/>
              </w:rPr>
              <w:t>NOI from discontinued operations</w:t>
            </w:r>
          </w:p>
        </w:tc>
        <w:tc>
          <w:tcPr>
            <w:tcW w:w="100" w:type="dxa"/>
            <w:vAlign w:val="bottom"/>
          </w:tcPr>
          <w:p>
            <w:pPr>
              <w:spacing w:after="0"/>
              <w:rPr>
                <w:sz w:val="18"/>
                <w:szCs w:val="18"/>
                <w:color w:val="auto"/>
              </w:rPr>
            </w:pPr>
          </w:p>
        </w:tc>
        <w:tc>
          <w:tcPr>
            <w:tcW w:w="140" w:type="dxa"/>
            <w:vAlign w:val="bottom"/>
            <w:tcBorders>
              <w:top w:val="single" w:sz="8" w:color="98A3B8"/>
              <w:bottom w:val="single" w:sz="8" w:color="98A3B8"/>
            </w:tcBorders>
          </w:tcPr>
          <w:p>
            <w:pPr>
              <w:spacing w:after="0"/>
              <w:rPr>
                <w:sz w:val="18"/>
                <w:szCs w:val="18"/>
                <w:color w:val="auto"/>
              </w:rPr>
            </w:pPr>
          </w:p>
        </w:tc>
        <w:tc>
          <w:tcPr>
            <w:tcW w:w="720" w:type="dxa"/>
            <w:vAlign w:val="bottom"/>
            <w:tcBorders>
              <w:top w:val="single" w:sz="8" w:color="98A3B8"/>
              <w:bottom w:val="single" w:sz="8" w:color="98A3B8"/>
            </w:tcBorders>
          </w:tcPr>
          <w:p>
            <w:pPr>
              <w:jc w:val="right"/>
              <w:spacing w:after="0"/>
              <w:rPr>
                <w:sz w:val="20"/>
                <w:szCs w:val="20"/>
                <w:color w:val="auto"/>
              </w:rPr>
            </w:pPr>
            <w:r>
              <w:rPr>
                <w:rFonts w:ascii="Arial" w:cs="Arial" w:eastAsia="Arial" w:hAnsi="Arial"/>
                <w:sz w:val="15"/>
                <w:szCs w:val="15"/>
                <w:color w:val="auto"/>
              </w:rPr>
              <w:t>(7,548)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98A3B8"/>
              <w:bottom w:val="single" w:sz="8" w:color="98A3B8"/>
            </w:tcBorders>
          </w:tcPr>
          <w:p>
            <w:pPr>
              <w:spacing w:after="0"/>
              <w:rPr>
                <w:sz w:val="18"/>
                <w:szCs w:val="18"/>
                <w:color w:val="auto"/>
              </w:rPr>
            </w:pPr>
          </w:p>
        </w:tc>
        <w:tc>
          <w:tcPr>
            <w:tcW w:w="720" w:type="dxa"/>
            <w:vAlign w:val="bottom"/>
            <w:tcBorders>
              <w:top w:val="single" w:sz="8" w:color="98A3B8"/>
              <w:bottom w:val="single" w:sz="8" w:color="98A3B8"/>
            </w:tcBorders>
          </w:tcPr>
          <w:p>
            <w:pPr>
              <w:jc w:val="right"/>
              <w:spacing w:after="0"/>
              <w:rPr>
                <w:sz w:val="20"/>
                <w:szCs w:val="20"/>
                <w:color w:val="auto"/>
              </w:rPr>
            </w:pPr>
            <w:r>
              <w:rPr>
                <w:rFonts w:ascii="Arial" w:cs="Arial" w:eastAsia="Arial" w:hAnsi="Arial"/>
                <w:sz w:val="15"/>
                <w:szCs w:val="15"/>
                <w:color w:val="auto"/>
              </w:rPr>
              <w:t>(11,849)</w:t>
            </w:r>
          </w:p>
        </w:tc>
        <w:tc>
          <w:tcPr>
            <w:tcW w:w="100" w:type="dxa"/>
            <w:vAlign w:val="bottom"/>
          </w:tcPr>
          <w:p>
            <w:pPr>
              <w:spacing w:after="0"/>
              <w:rPr>
                <w:sz w:val="18"/>
                <w:szCs w:val="18"/>
                <w:color w:val="auto"/>
              </w:rPr>
            </w:pPr>
          </w:p>
        </w:tc>
        <w:tc>
          <w:tcPr>
            <w:tcW w:w="160" w:type="dxa"/>
            <w:vAlign w:val="bottom"/>
            <w:tcBorders>
              <w:top w:val="single" w:sz="8" w:color="98A3B8"/>
              <w:bottom w:val="single" w:sz="8" w:color="98A3B8"/>
            </w:tcBorders>
          </w:tcPr>
          <w:p>
            <w:pPr>
              <w:spacing w:after="0"/>
              <w:rPr>
                <w:sz w:val="18"/>
                <w:szCs w:val="18"/>
                <w:color w:val="auto"/>
              </w:rPr>
            </w:pPr>
          </w:p>
        </w:tc>
        <w:tc>
          <w:tcPr>
            <w:tcW w:w="700" w:type="dxa"/>
            <w:vAlign w:val="bottom"/>
            <w:tcBorders>
              <w:top w:val="single" w:sz="8" w:color="98A3B8"/>
              <w:bottom w:val="single" w:sz="8" w:color="98A3B8"/>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180" w:type="dxa"/>
            <w:vAlign w:val="bottom"/>
            <w:tcBorders>
              <w:top w:val="single" w:sz="8" w:color="98A3B8"/>
              <w:bottom w:val="single" w:sz="8" w:color="98A3B8"/>
            </w:tcBorders>
          </w:tcPr>
          <w:p>
            <w:pPr>
              <w:spacing w:after="0"/>
              <w:rPr>
                <w:sz w:val="18"/>
                <w:szCs w:val="18"/>
                <w:color w:val="auto"/>
              </w:rPr>
            </w:pPr>
          </w:p>
        </w:tc>
        <w:tc>
          <w:tcPr>
            <w:tcW w:w="700" w:type="dxa"/>
            <w:vAlign w:val="bottom"/>
            <w:tcBorders>
              <w:top w:val="single" w:sz="8" w:color="98A3B8"/>
              <w:bottom w:val="single" w:sz="8" w:color="98A3B8"/>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98A3B8"/>
              <w:bottom w:val="single" w:sz="8" w:color="98A3B8"/>
            </w:tcBorders>
          </w:tcPr>
          <w:p>
            <w:pPr>
              <w:spacing w:after="0"/>
              <w:rPr>
                <w:sz w:val="18"/>
                <w:szCs w:val="18"/>
                <w:color w:val="auto"/>
              </w:rPr>
            </w:pPr>
          </w:p>
        </w:tc>
        <w:tc>
          <w:tcPr>
            <w:tcW w:w="720" w:type="dxa"/>
            <w:vAlign w:val="bottom"/>
            <w:tcBorders>
              <w:top w:val="single" w:sz="8" w:color="98A3B8"/>
              <w:bottom w:val="single" w:sz="8" w:color="98A3B8"/>
            </w:tcBorders>
          </w:tcPr>
          <w:p>
            <w:pPr>
              <w:jc w:val="right"/>
              <w:spacing w:after="0"/>
              <w:rPr>
                <w:sz w:val="20"/>
                <w:szCs w:val="20"/>
                <w:color w:val="auto"/>
              </w:rPr>
            </w:pPr>
            <w:r>
              <w:rPr>
                <w:rFonts w:ascii="Arial" w:cs="Arial" w:eastAsia="Arial" w:hAnsi="Arial"/>
                <w:sz w:val="15"/>
                <w:szCs w:val="15"/>
                <w:color w:val="auto"/>
              </w:rPr>
              <w:t>(7,548)</w:t>
            </w:r>
          </w:p>
        </w:tc>
        <w:tc>
          <w:tcPr>
            <w:tcW w:w="80" w:type="dxa"/>
            <w:vAlign w:val="bottom"/>
          </w:tcPr>
          <w:p>
            <w:pPr>
              <w:spacing w:after="0"/>
              <w:rPr>
                <w:sz w:val="18"/>
                <w:szCs w:val="18"/>
                <w:color w:val="auto"/>
              </w:rPr>
            </w:pPr>
          </w:p>
        </w:tc>
        <w:tc>
          <w:tcPr>
            <w:tcW w:w="140" w:type="dxa"/>
            <w:vAlign w:val="bottom"/>
            <w:tcBorders>
              <w:top w:val="single" w:sz="8" w:color="98A3B8"/>
              <w:bottom w:val="single" w:sz="8" w:color="98A3B8"/>
            </w:tcBorders>
          </w:tcPr>
          <w:p>
            <w:pPr>
              <w:spacing w:after="0"/>
              <w:rPr>
                <w:sz w:val="18"/>
                <w:szCs w:val="18"/>
                <w:color w:val="auto"/>
              </w:rPr>
            </w:pPr>
          </w:p>
        </w:tc>
        <w:tc>
          <w:tcPr>
            <w:tcW w:w="720" w:type="dxa"/>
            <w:vAlign w:val="bottom"/>
            <w:tcBorders>
              <w:top w:val="single" w:sz="8" w:color="98A3B8"/>
              <w:bottom w:val="single" w:sz="8" w:color="98A3B8"/>
            </w:tcBorders>
          </w:tcPr>
          <w:p>
            <w:pPr>
              <w:jc w:val="right"/>
              <w:spacing w:after="0"/>
              <w:rPr>
                <w:sz w:val="20"/>
                <w:szCs w:val="20"/>
                <w:color w:val="auto"/>
              </w:rPr>
            </w:pPr>
            <w:r>
              <w:rPr>
                <w:rFonts w:ascii="Arial" w:cs="Arial" w:eastAsia="Arial" w:hAnsi="Arial"/>
                <w:sz w:val="15"/>
                <w:szCs w:val="15"/>
                <w:color w:val="auto"/>
              </w:rPr>
              <w:t>(11,849)</w:t>
            </w:r>
          </w:p>
        </w:tc>
      </w:tr>
      <w:tr>
        <w:trPr>
          <w:trHeight w:val="217"/>
        </w:trPr>
        <w:tc>
          <w:tcPr>
            <w:tcW w:w="5760" w:type="dxa"/>
            <w:vAlign w:val="bottom"/>
            <w:tcBorders>
              <w:bottom w:val="single" w:sz="8" w:color="98A3B8"/>
            </w:tcBorders>
            <w:gridSpan w:val="2"/>
          </w:tcPr>
          <w:p>
            <w:pPr>
              <w:spacing w:after="0"/>
              <w:rPr>
                <w:sz w:val="20"/>
                <w:szCs w:val="20"/>
                <w:color w:val="auto"/>
              </w:rPr>
            </w:pPr>
            <w:r>
              <w:rPr>
                <w:rFonts w:ascii="Arial" w:cs="Arial" w:eastAsia="Arial" w:hAnsi="Arial"/>
                <w:sz w:val="15"/>
                <w:szCs w:val="15"/>
                <w:color w:val="auto"/>
              </w:rPr>
              <w:t>NOI from other properties/affiliates</w:t>
            </w:r>
          </w:p>
        </w:tc>
        <w:tc>
          <w:tcPr>
            <w:tcW w:w="10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(59,448)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(54,403)</w:t>
            </w:r>
          </w:p>
        </w:tc>
        <w:tc>
          <w:tcPr>
            <w:tcW w:w="100" w:type="dxa"/>
            <w:vAlign w:val="bottom"/>
          </w:tcPr>
          <w:p>
            <w:pPr>
              <w:spacing w:after="0"/>
              <w:rPr>
                <w:sz w:val="18"/>
                <w:szCs w:val="18"/>
                <w:color w:val="auto"/>
              </w:rPr>
            </w:pPr>
          </w:p>
        </w:tc>
        <w:tc>
          <w:tcPr>
            <w:tcW w:w="160" w:type="dxa"/>
            <w:vAlign w:val="bottom"/>
            <w:tcBorders>
              <w:bottom w:val="single" w:sz="8" w:color="98A3B8"/>
            </w:tcBorders>
          </w:tcPr>
          <w:p>
            <w:pPr>
              <w:spacing w:after="0"/>
              <w:rPr>
                <w:sz w:val="18"/>
                <w:szCs w:val="18"/>
                <w:color w:val="auto"/>
              </w:rPr>
            </w:pPr>
          </w:p>
        </w:tc>
        <w:tc>
          <w:tcPr>
            <w:tcW w:w="7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(64,861)</w:t>
            </w:r>
          </w:p>
        </w:tc>
        <w:tc>
          <w:tcPr>
            <w:tcW w:w="80" w:type="dxa"/>
            <w:vAlign w:val="bottom"/>
          </w:tcPr>
          <w:p>
            <w:pPr>
              <w:spacing w:after="0"/>
              <w:rPr>
                <w:sz w:val="18"/>
                <w:szCs w:val="18"/>
                <w:color w:val="auto"/>
              </w:rPr>
            </w:pPr>
          </w:p>
        </w:tc>
        <w:tc>
          <w:tcPr>
            <w:tcW w:w="180" w:type="dxa"/>
            <w:vAlign w:val="bottom"/>
            <w:tcBorders>
              <w:bottom w:val="single" w:sz="8" w:color="98A3B8"/>
            </w:tcBorders>
          </w:tcPr>
          <w:p>
            <w:pPr>
              <w:spacing w:after="0"/>
              <w:rPr>
                <w:sz w:val="18"/>
                <w:szCs w:val="18"/>
                <w:color w:val="auto"/>
              </w:rPr>
            </w:pPr>
          </w:p>
        </w:tc>
        <w:tc>
          <w:tcPr>
            <w:tcW w:w="7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(56,296)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98A3B8"/>
            </w:tcBorders>
          </w:tcPr>
          <w:p>
            <w:pPr>
              <w:spacing w:after="0"/>
              <w:rPr>
                <w:sz w:val="18"/>
                <w:szCs w:val="18"/>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(124,309)</w:t>
            </w:r>
          </w:p>
        </w:tc>
        <w:tc>
          <w:tcPr>
            <w:tcW w:w="8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(110,699)</w:t>
            </w:r>
          </w:p>
        </w:tc>
      </w:tr>
      <w:tr>
        <w:trPr>
          <w:trHeight w:val="217"/>
        </w:trPr>
        <w:tc>
          <w:tcPr>
            <w:tcW w:w="5760" w:type="dxa"/>
            <w:vAlign w:val="bottom"/>
            <w:gridSpan w:val="2"/>
          </w:tcPr>
          <w:p>
            <w:pPr>
              <w:spacing w:after="0"/>
              <w:rPr>
                <w:sz w:val="20"/>
                <w:szCs w:val="20"/>
                <w:color w:val="auto"/>
              </w:rPr>
            </w:pPr>
            <w:r>
              <w:rPr>
                <w:rFonts w:ascii="Arial" w:cs="Arial" w:eastAsia="Arial" w:hAnsi="Arial"/>
                <w:sz w:val="15"/>
                <w:szCs w:val="15"/>
                <w:b w:val="1"/>
                <w:bCs w:val="1"/>
                <w:color w:val="auto"/>
              </w:rPr>
              <w:t>Same-Store NOI</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655,941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654,340</w:t>
            </w:r>
          </w:p>
        </w:tc>
        <w:tc>
          <w:tcPr>
            <w:tcW w:w="100" w:type="dxa"/>
            <w:vAlign w:val="bottom"/>
          </w:tcPr>
          <w:p>
            <w:pPr>
              <w:spacing w:after="0"/>
              <w:rPr>
                <w:sz w:val="18"/>
                <w:szCs w:val="18"/>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100,901</w:t>
            </w:r>
          </w:p>
        </w:tc>
        <w:tc>
          <w:tcPr>
            <w:tcW w:w="8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97,075</w:t>
            </w:r>
          </w:p>
        </w:tc>
        <w:tc>
          <w:tcPr>
            <w:tcW w:w="4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756,842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751,415</w:t>
            </w:r>
          </w:p>
        </w:tc>
      </w:tr>
      <w:tr>
        <w:trPr>
          <w:trHeight w:val="217"/>
        </w:trPr>
        <w:tc>
          <w:tcPr>
            <w:tcW w:w="5760" w:type="dxa"/>
            <w:vAlign w:val="bottom"/>
            <w:tcBorders>
              <w:top w:val="single" w:sz="8" w:color="98A3B8"/>
              <w:bottom w:val="single" w:sz="8" w:color="98A3B8"/>
            </w:tcBorders>
            <w:gridSpan w:val="2"/>
          </w:tcPr>
          <w:p>
            <w:pPr>
              <w:spacing w:after="0"/>
              <w:rPr>
                <w:sz w:val="20"/>
                <w:szCs w:val="20"/>
                <w:color w:val="auto"/>
              </w:rPr>
            </w:pPr>
            <w:r>
              <w:rPr>
                <w:rFonts w:ascii="Arial" w:cs="Arial" w:eastAsia="Arial" w:hAnsi="Arial"/>
                <w:sz w:val="15"/>
                <w:szCs w:val="15"/>
                <w:color w:val="auto"/>
              </w:rPr>
              <w:t>Ground lease straight-line adjustment</w:t>
            </w:r>
          </w:p>
        </w:tc>
        <w:tc>
          <w:tcPr>
            <w:tcW w:w="100" w:type="dxa"/>
            <w:vAlign w:val="bottom"/>
          </w:tcPr>
          <w:p>
            <w:pPr>
              <w:spacing w:after="0"/>
              <w:rPr>
                <w:sz w:val="18"/>
                <w:szCs w:val="18"/>
                <w:color w:val="auto"/>
              </w:rPr>
            </w:pPr>
          </w:p>
        </w:tc>
        <w:tc>
          <w:tcPr>
            <w:tcW w:w="140" w:type="dxa"/>
            <w:vAlign w:val="bottom"/>
            <w:tcBorders>
              <w:top w:val="single" w:sz="8" w:color="98A3B8"/>
              <w:bottom w:val="single" w:sz="8" w:color="98A3B8"/>
            </w:tcBorders>
          </w:tcPr>
          <w:p>
            <w:pPr>
              <w:spacing w:after="0"/>
              <w:rPr>
                <w:sz w:val="18"/>
                <w:szCs w:val="18"/>
                <w:color w:val="auto"/>
              </w:rPr>
            </w:pPr>
          </w:p>
        </w:tc>
        <w:tc>
          <w:tcPr>
            <w:tcW w:w="720" w:type="dxa"/>
            <w:vAlign w:val="bottom"/>
            <w:tcBorders>
              <w:top w:val="single" w:sz="8" w:color="98A3B8"/>
              <w:bottom w:val="single" w:sz="8" w:color="98A3B8"/>
            </w:tcBorders>
          </w:tcPr>
          <w:p>
            <w:pPr>
              <w:jc w:val="right"/>
              <w:spacing w:after="0"/>
              <w:rPr>
                <w:sz w:val="20"/>
                <w:szCs w:val="20"/>
                <w:color w:val="auto"/>
              </w:rPr>
            </w:pPr>
            <w:r>
              <w:rPr>
                <w:rFonts w:ascii="Arial" w:cs="Arial" w:eastAsia="Arial" w:hAnsi="Arial"/>
                <w:sz w:val="15"/>
                <w:szCs w:val="15"/>
                <w:color w:val="auto"/>
              </w:rPr>
              <w:t>5,645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98A3B8"/>
              <w:bottom w:val="single" w:sz="8" w:color="98A3B8"/>
            </w:tcBorders>
          </w:tcPr>
          <w:p>
            <w:pPr>
              <w:spacing w:after="0"/>
              <w:rPr>
                <w:sz w:val="18"/>
                <w:szCs w:val="18"/>
                <w:color w:val="auto"/>
              </w:rPr>
            </w:pPr>
          </w:p>
        </w:tc>
        <w:tc>
          <w:tcPr>
            <w:tcW w:w="720" w:type="dxa"/>
            <w:vAlign w:val="bottom"/>
            <w:tcBorders>
              <w:top w:val="single" w:sz="8" w:color="98A3B8"/>
              <w:bottom w:val="single" w:sz="8" w:color="98A3B8"/>
            </w:tcBorders>
          </w:tcPr>
          <w:p>
            <w:pPr>
              <w:jc w:val="right"/>
              <w:spacing w:after="0"/>
              <w:rPr>
                <w:sz w:val="20"/>
                <w:szCs w:val="20"/>
                <w:color w:val="auto"/>
              </w:rPr>
            </w:pPr>
            <w:r>
              <w:rPr>
                <w:rFonts w:ascii="Arial" w:cs="Arial" w:eastAsia="Arial" w:hAnsi="Arial"/>
                <w:sz w:val="15"/>
                <w:szCs w:val="15"/>
                <w:color w:val="auto"/>
              </w:rPr>
              <w:t>2,702</w:t>
            </w:r>
          </w:p>
        </w:tc>
        <w:tc>
          <w:tcPr>
            <w:tcW w:w="100" w:type="dxa"/>
            <w:vAlign w:val="bottom"/>
          </w:tcPr>
          <w:p>
            <w:pPr>
              <w:spacing w:after="0"/>
              <w:rPr>
                <w:sz w:val="18"/>
                <w:szCs w:val="18"/>
                <w:color w:val="auto"/>
              </w:rPr>
            </w:pPr>
          </w:p>
        </w:tc>
        <w:tc>
          <w:tcPr>
            <w:tcW w:w="160" w:type="dxa"/>
            <w:vAlign w:val="bottom"/>
            <w:tcBorders>
              <w:top w:val="single" w:sz="8" w:color="98A3B8"/>
              <w:bottom w:val="single" w:sz="8" w:color="98A3B8"/>
            </w:tcBorders>
          </w:tcPr>
          <w:p>
            <w:pPr>
              <w:spacing w:after="0"/>
              <w:rPr>
                <w:sz w:val="18"/>
                <w:szCs w:val="18"/>
                <w:color w:val="auto"/>
              </w:rPr>
            </w:pPr>
          </w:p>
        </w:tc>
        <w:tc>
          <w:tcPr>
            <w:tcW w:w="700" w:type="dxa"/>
            <w:vAlign w:val="bottom"/>
            <w:tcBorders>
              <w:top w:val="single" w:sz="8" w:color="98A3B8"/>
              <w:bottom w:val="single" w:sz="8" w:color="98A3B8"/>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180" w:type="dxa"/>
            <w:vAlign w:val="bottom"/>
            <w:tcBorders>
              <w:top w:val="single" w:sz="8" w:color="98A3B8"/>
              <w:bottom w:val="single" w:sz="8" w:color="98A3B8"/>
            </w:tcBorders>
          </w:tcPr>
          <w:p>
            <w:pPr>
              <w:spacing w:after="0"/>
              <w:rPr>
                <w:sz w:val="18"/>
                <w:szCs w:val="18"/>
                <w:color w:val="auto"/>
              </w:rPr>
            </w:pPr>
          </w:p>
        </w:tc>
        <w:tc>
          <w:tcPr>
            <w:tcW w:w="700" w:type="dxa"/>
            <w:vAlign w:val="bottom"/>
            <w:tcBorders>
              <w:top w:val="single" w:sz="8" w:color="98A3B8"/>
              <w:bottom w:val="single" w:sz="8" w:color="98A3B8"/>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98A3B8"/>
              <w:bottom w:val="single" w:sz="8" w:color="98A3B8"/>
            </w:tcBorders>
          </w:tcPr>
          <w:p>
            <w:pPr>
              <w:spacing w:after="0"/>
              <w:rPr>
                <w:sz w:val="18"/>
                <w:szCs w:val="18"/>
                <w:color w:val="auto"/>
              </w:rPr>
            </w:pPr>
          </w:p>
        </w:tc>
        <w:tc>
          <w:tcPr>
            <w:tcW w:w="720" w:type="dxa"/>
            <w:vAlign w:val="bottom"/>
            <w:tcBorders>
              <w:top w:val="single" w:sz="8" w:color="98A3B8"/>
              <w:bottom w:val="single" w:sz="8" w:color="98A3B8"/>
            </w:tcBorders>
          </w:tcPr>
          <w:p>
            <w:pPr>
              <w:jc w:val="right"/>
              <w:spacing w:after="0"/>
              <w:rPr>
                <w:sz w:val="20"/>
                <w:szCs w:val="20"/>
                <w:color w:val="auto"/>
              </w:rPr>
            </w:pPr>
            <w:r>
              <w:rPr>
                <w:rFonts w:ascii="Arial" w:cs="Arial" w:eastAsia="Arial" w:hAnsi="Arial"/>
                <w:sz w:val="15"/>
                <w:szCs w:val="15"/>
                <w:color w:val="auto"/>
              </w:rPr>
              <w:t>5,645</w:t>
            </w:r>
          </w:p>
        </w:tc>
        <w:tc>
          <w:tcPr>
            <w:tcW w:w="80" w:type="dxa"/>
            <w:vAlign w:val="bottom"/>
          </w:tcPr>
          <w:p>
            <w:pPr>
              <w:spacing w:after="0"/>
              <w:rPr>
                <w:sz w:val="18"/>
                <w:szCs w:val="18"/>
                <w:color w:val="auto"/>
              </w:rPr>
            </w:pPr>
          </w:p>
        </w:tc>
        <w:tc>
          <w:tcPr>
            <w:tcW w:w="140" w:type="dxa"/>
            <w:vAlign w:val="bottom"/>
            <w:tcBorders>
              <w:top w:val="single" w:sz="8" w:color="98A3B8"/>
              <w:bottom w:val="single" w:sz="8" w:color="98A3B8"/>
            </w:tcBorders>
          </w:tcPr>
          <w:p>
            <w:pPr>
              <w:spacing w:after="0"/>
              <w:rPr>
                <w:sz w:val="18"/>
                <w:szCs w:val="18"/>
                <w:color w:val="auto"/>
              </w:rPr>
            </w:pPr>
          </w:p>
        </w:tc>
        <w:tc>
          <w:tcPr>
            <w:tcW w:w="720" w:type="dxa"/>
            <w:vAlign w:val="bottom"/>
            <w:tcBorders>
              <w:top w:val="single" w:sz="8" w:color="98A3B8"/>
              <w:bottom w:val="single" w:sz="8" w:color="98A3B8"/>
            </w:tcBorders>
          </w:tcPr>
          <w:p>
            <w:pPr>
              <w:jc w:val="right"/>
              <w:spacing w:after="0"/>
              <w:rPr>
                <w:sz w:val="20"/>
                <w:szCs w:val="20"/>
                <w:color w:val="auto"/>
              </w:rPr>
            </w:pPr>
            <w:r>
              <w:rPr>
                <w:rFonts w:ascii="Arial" w:cs="Arial" w:eastAsia="Arial" w:hAnsi="Arial"/>
                <w:sz w:val="15"/>
                <w:szCs w:val="15"/>
                <w:color w:val="auto"/>
              </w:rPr>
              <w:t>2,702</w:t>
            </w:r>
          </w:p>
        </w:tc>
      </w:tr>
      <w:tr>
        <w:trPr>
          <w:trHeight w:val="217"/>
        </w:trPr>
        <w:tc>
          <w:tcPr>
            <w:tcW w:w="5760" w:type="dxa"/>
            <w:vAlign w:val="bottom"/>
            <w:tcBorders>
              <w:bottom w:val="single" w:sz="8" w:color="98A3B8"/>
            </w:tcBorders>
            <w:gridSpan w:val="2"/>
          </w:tcPr>
          <w:p>
            <w:pPr>
              <w:spacing w:after="0"/>
              <w:rPr>
                <w:sz w:val="20"/>
                <w:szCs w:val="20"/>
                <w:color w:val="auto"/>
              </w:rPr>
            </w:pPr>
            <w:r>
              <w:rPr>
                <w:rFonts w:ascii="Arial" w:cs="Arial" w:eastAsia="Arial" w:hAnsi="Arial"/>
                <w:sz w:val="15"/>
                <w:szCs w:val="15"/>
                <w:color w:val="auto"/>
              </w:rPr>
              <w:t>Straight-line and free rent</w:t>
            </w:r>
          </w:p>
        </w:tc>
        <w:tc>
          <w:tcPr>
            <w:tcW w:w="10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(47,963)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(56,249)</w:t>
            </w:r>
          </w:p>
        </w:tc>
        <w:tc>
          <w:tcPr>
            <w:tcW w:w="100" w:type="dxa"/>
            <w:vAlign w:val="bottom"/>
          </w:tcPr>
          <w:p>
            <w:pPr>
              <w:spacing w:after="0"/>
              <w:rPr>
                <w:sz w:val="18"/>
                <w:szCs w:val="18"/>
                <w:color w:val="auto"/>
              </w:rPr>
            </w:pPr>
          </w:p>
        </w:tc>
        <w:tc>
          <w:tcPr>
            <w:tcW w:w="160" w:type="dxa"/>
            <w:vAlign w:val="bottom"/>
            <w:tcBorders>
              <w:bottom w:val="single" w:sz="8" w:color="98A3B8"/>
            </w:tcBorders>
          </w:tcPr>
          <w:p>
            <w:pPr>
              <w:spacing w:after="0"/>
              <w:rPr>
                <w:sz w:val="18"/>
                <w:szCs w:val="18"/>
                <w:color w:val="auto"/>
              </w:rPr>
            </w:pPr>
          </w:p>
        </w:tc>
        <w:tc>
          <w:tcPr>
            <w:tcW w:w="7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(3,186)</w:t>
            </w:r>
          </w:p>
        </w:tc>
        <w:tc>
          <w:tcPr>
            <w:tcW w:w="80" w:type="dxa"/>
            <w:vAlign w:val="bottom"/>
          </w:tcPr>
          <w:p>
            <w:pPr>
              <w:spacing w:after="0"/>
              <w:rPr>
                <w:sz w:val="18"/>
                <w:szCs w:val="18"/>
                <w:color w:val="auto"/>
              </w:rPr>
            </w:pPr>
          </w:p>
        </w:tc>
        <w:tc>
          <w:tcPr>
            <w:tcW w:w="180" w:type="dxa"/>
            <w:vAlign w:val="bottom"/>
            <w:tcBorders>
              <w:bottom w:val="single" w:sz="8" w:color="98A3B8"/>
            </w:tcBorders>
          </w:tcPr>
          <w:p>
            <w:pPr>
              <w:spacing w:after="0"/>
              <w:rPr>
                <w:sz w:val="18"/>
                <w:szCs w:val="18"/>
                <w:color w:val="auto"/>
              </w:rPr>
            </w:pPr>
          </w:p>
        </w:tc>
        <w:tc>
          <w:tcPr>
            <w:tcW w:w="7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(2,842)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98A3B8"/>
            </w:tcBorders>
          </w:tcPr>
          <w:p>
            <w:pPr>
              <w:spacing w:after="0"/>
              <w:rPr>
                <w:sz w:val="18"/>
                <w:szCs w:val="18"/>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(51,149)</w:t>
            </w:r>
          </w:p>
        </w:tc>
        <w:tc>
          <w:tcPr>
            <w:tcW w:w="8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(59,091)</w:t>
            </w:r>
          </w:p>
        </w:tc>
      </w:tr>
      <w:tr>
        <w:trPr>
          <w:trHeight w:val="217"/>
        </w:trPr>
        <w:tc>
          <w:tcPr>
            <w:tcW w:w="5760" w:type="dxa"/>
            <w:vAlign w:val="bottom"/>
            <w:tcBorders>
              <w:bottom w:val="single" w:sz="8" w:color="98A3B8"/>
            </w:tcBorders>
            <w:gridSpan w:val="2"/>
          </w:tcPr>
          <w:p>
            <w:pPr>
              <w:spacing w:after="0"/>
              <w:rPr>
                <w:sz w:val="20"/>
                <w:szCs w:val="20"/>
                <w:color w:val="auto"/>
              </w:rPr>
            </w:pPr>
            <w:r>
              <w:rPr>
                <w:rFonts w:ascii="Arial" w:cs="Arial" w:eastAsia="Arial" w:hAnsi="Arial"/>
                <w:sz w:val="15"/>
                <w:szCs w:val="15"/>
                <w:color w:val="auto"/>
              </w:rPr>
              <w:t>Rental income - FAS 141</w:t>
            </w:r>
          </w:p>
        </w:tc>
        <w:tc>
          <w:tcPr>
            <w:tcW w:w="10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(5,154)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(10,317)</w:t>
            </w:r>
          </w:p>
        </w:tc>
        <w:tc>
          <w:tcPr>
            <w:tcW w:w="100" w:type="dxa"/>
            <w:vAlign w:val="bottom"/>
          </w:tcPr>
          <w:p>
            <w:pPr>
              <w:spacing w:after="0"/>
              <w:rPr>
                <w:sz w:val="18"/>
                <w:szCs w:val="18"/>
                <w:color w:val="auto"/>
              </w:rPr>
            </w:pPr>
          </w:p>
        </w:tc>
        <w:tc>
          <w:tcPr>
            <w:tcW w:w="160" w:type="dxa"/>
            <w:vAlign w:val="bottom"/>
            <w:tcBorders>
              <w:bottom w:val="single" w:sz="8" w:color="98A3B8"/>
            </w:tcBorders>
          </w:tcPr>
          <w:p>
            <w:pPr>
              <w:spacing w:after="0"/>
              <w:rPr>
                <w:sz w:val="18"/>
                <w:szCs w:val="18"/>
                <w:color w:val="auto"/>
              </w:rPr>
            </w:pPr>
          </w:p>
        </w:tc>
        <w:tc>
          <w:tcPr>
            <w:tcW w:w="7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(2,525)</w:t>
            </w:r>
          </w:p>
        </w:tc>
        <w:tc>
          <w:tcPr>
            <w:tcW w:w="80" w:type="dxa"/>
            <w:vAlign w:val="bottom"/>
          </w:tcPr>
          <w:p>
            <w:pPr>
              <w:spacing w:after="0"/>
              <w:rPr>
                <w:sz w:val="18"/>
                <w:szCs w:val="18"/>
                <w:color w:val="auto"/>
              </w:rPr>
            </w:pPr>
          </w:p>
        </w:tc>
        <w:tc>
          <w:tcPr>
            <w:tcW w:w="180" w:type="dxa"/>
            <w:vAlign w:val="bottom"/>
            <w:tcBorders>
              <w:bottom w:val="single" w:sz="8" w:color="98A3B8"/>
            </w:tcBorders>
          </w:tcPr>
          <w:p>
            <w:pPr>
              <w:spacing w:after="0"/>
              <w:rPr>
                <w:sz w:val="18"/>
                <w:szCs w:val="18"/>
                <w:color w:val="auto"/>
              </w:rPr>
            </w:pPr>
          </w:p>
        </w:tc>
        <w:tc>
          <w:tcPr>
            <w:tcW w:w="70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(1,411)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98A3B8"/>
            </w:tcBorders>
          </w:tcPr>
          <w:p>
            <w:pPr>
              <w:spacing w:after="0"/>
              <w:rPr>
                <w:sz w:val="18"/>
                <w:szCs w:val="18"/>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(7,679)</w:t>
            </w:r>
          </w:p>
        </w:tc>
        <w:tc>
          <w:tcPr>
            <w:tcW w:w="8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(11,728)</w:t>
            </w:r>
          </w:p>
        </w:tc>
      </w:tr>
      <w:tr>
        <w:trPr>
          <w:trHeight w:val="217"/>
        </w:trPr>
        <w:tc>
          <w:tcPr>
            <w:tcW w:w="5760" w:type="dxa"/>
            <w:vAlign w:val="bottom"/>
            <w:gridSpan w:val="2"/>
          </w:tcPr>
          <w:p>
            <w:pPr>
              <w:spacing w:after="0"/>
              <w:rPr>
                <w:sz w:val="20"/>
                <w:szCs w:val="20"/>
                <w:color w:val="auto"/>
              </w:rPr>
            </w:pPr>
            <w:r>
              <w:rPr>
                <w:rFonts w:ascii="Arial" w:cs="Arial" w:eastAsia="Arial" w:hAnsi="Arial"/>
                <w:sz w:val="15"/>
                <w:szCs w:val="15"/>
                <w:b w:val="1"/>
                <w:bCs w:val="1"/>
                <w:color w:val="auto"/>
              </w:rPr>
              <w:t>Same-store cash NOI</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608,469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590,476</w:t>
            </w:r>
          </w:p>
        </w:tc>
        <w:tc>
          <w:tcPr>
            <w:tcW w:w="100" w:type="dxa"/>
            <w:vAlign w:val="bottom"/>
          </w:tcPr>
          <w:p>
            <w:pPr>
              <w:spacing w:after="0"/>
              <w:rPr>
                <w:sz w:val="18"/>
                <w:szCs w:val="18"/>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95,190</w:t>
            </w:r>
          </w:p>
        </w:tc>
        <w:tc>
          <w:tcPr>
            <w:tcW w:w="80" w:type="dxa"/>
            <w:vAlign w:val="bottom"/>
          </w:tcPr>
          <w:p>
            <w:pPr>
              <w:spacing w:after="0"/>
              <w:rPr>
                <w:sz w:val="18"/>
                <w:szCs w:val="18"/>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92,822</w:t>
            </w:r>
          </w:p>
        </w:tc>
        <w:tc>
          <w:tcPr>
            <w:tcW w:w="4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703,659</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683,298</w:t>
            </w:r>
          </w:p>
        </w:tc>
      </w:tr>
      <w:tr>
        <w:trPr>
          <w:trHeight w:val="30"/>
        </w:trPr>
        <w:tc>
          <w:tcPr>
            <w:tcW w:w="1780" w:type="dxa"/>
            <w:vAlign w:val="bottom"/>
            <w:shd w:val="clear" w:color="auto" w:fill="325889"/>
          </w:tcPr>
          <w:p>
            <w:pPr>
              <w:spacing w:after="0"/>
              <w:rPr>
                <w:sz w:val="2"/>
                <w:szCs w:val="2"/>
                <w:color w:val="auto"/>
              </w:rPr>
            </w:pPr>
          </w:p>
        </w:tc>
        <w:tc>
          <w:tcPr>
            <w:tcW w:w="3980" w:type="dxa"/>
            <w:vAlign w:val="bottom"/>
            <w:shd w:val="clear" w:color="auto" w:fill="325889"/>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325889"/>
          </w:tcPr>
          <w:p>
            <w:pPr>
              <w:spacing w:after="0"/>
              <w:rPr>
                <w:sz w:val="2"/>
                <w:szCs w:val="2"/>
                <w:color w:val="auto"/>
              </w:rPr>
            </w:pPr>
          </w:p>
        </w:tc>
        <w:tc>
          <w:tcPr>
            <w:tcW w:w="720" w:type="dxa"/>
            <w:vAlign w:val="bottom"/>
            <w:shd w:val="clear" w:color="auto" w:fill="325889"/>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325889"/>
          </w:tcPr>
          <w:p>
            <w:pPr>
              <w:spacing w:after="0"/>
              <w:rPr>
                <w:sz w:val="2"/>
                <w:szCs w:val="2"/>
                <w:color w:val="auto"/>
              </w:rPr>
            </w:pPr>
          </w:p>
        </w:tc>
        <w:tc>
          <w:tcPr>
            <w:tcW w:w="720" w:type="dxa"/>
            <w:vAlign w:val="bottom"/>
            <w:shd w:val="clear" w:color="auto" w:fill="325889"/>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325889"/>
          </w:tcPr>
          <w:p>
            <w:pPr>
              <w:spacing w:after="0"/>
              <w:rPr>
                <w:sz w:val="2"/>
                <w:szCs w:val="2"/>
                <w:color w:val="auto"/>
              </w:rPr>
            </w:pPr>
          </w:p>
        </w:tc>
        <w:tc>
          <w:tcPr>
            <w:tcW w:w="700" w:type="dxa"/>
            <w:vAlign w:val="bottom"/>
            <w:shd w:val="clear" w:color="auto" w:fill="325889"/>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325889"/>
          </w:tcPr>
          <w:p>
            <w:pPr>
              <w:spacing w:after="0"/>
              <w:rPr>
                <w:sz w:val="2"/>
                <w:szCs w:val="2"/>
                <w:color w:val="auto"/>
              </w:rPr>
            </w:pPr>
          </w:p>
        </w:tc>
        <w:tc>
          <w:tcPr>
            <w:tcW w:w="700" w:type="dxa"/>
            <w:vAlign w:val="bottom"/>
            <w:shd w:val="clear" w:color="auto" w:fill="325889"/>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325889"/>
          </w:tcPr>
          <w:p>
            <w:pPr>
              <w:spacing w:after="0"/>
              <w:rPr>
                <w:sz w:val="2"/>
                <w:szCs w:val="2"/>
                <w:color w:val="auto"/>
              </w:rPr>
            </w:pPr>
          </w:p>
        </w:tc>
        <w:tc>
          <w:tcPr>
            <w:tcW w:w="720" w:type="dxa"/>
            <w:vAlign w:val="bottom"/>
            <w:shd w:val="clear" w:color="auto" w:fill="325889"/>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325889"/>
          </w:tcPr>
          <w:p>
            <w:pPr>
              <w:spacing w:after="0"/>
              <w:rPr>
                <w:sz w:val="2"/>
                <w:szCs w:val="2"/>
                <w:color w:val="auto"/>
              </w:rPr>
            </w:pPr>
          </w:p>
        </w:tc>
        <w:tc>
          <w:tcPr>
            <w:tcW w:w="720" w:type="dxa"/>
            <w:vAlign w:val="bottom"/>
            <w:shd w:val="clear" w:color="auto" w:fill="325889"/>
          </w:tcPr>
          <w:p>
            <w:pPr>
              <w:spacing w:after="0"/>
              <w:rPr>
                <w:sz w:val="2"/>
                <w:szCs w:val="2"/>
                <w:color w:val="auto"/>
              </w:rPr>
            </w:pPr>
          </w:p>
        </w:tc>
      </w:tr>
    </w:tbl>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2017 Proxy Statement </w:t>
      </w:r>
      <w:r>
        <w:rPr>
          <w:rFonts w:ascii="Arial" w:cs="Arial" w:eastAsia="Arial" w:hAnsi="Arial"/>
          <w:sz w:val="15"/>
          <w:szCs w:val="15"/>
          <w:color w:val="325889"/>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83450" cy="203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0"/>
          </w:cols>
          <w:pgMar w:left="240" w:top="528" w:right="219" w:bottom="1440" w:gutter="0" w:footer="0" w:header="0"/>
        </w:sectPr>
      </w:pPr>
    </w:p>
    <w:bookmarkStart w:id="71" w:name="page72"/>
    <w:bookmarkEnd w:id="71"/>
    <w:p>
      <w:pPr>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u w:val="single" w:color="auto"/>
          <w:color w:val="325889"/>
        </w:rPr>
        <w:t>APPENDIX A: INFORMATION REGARDING CERTAIN FINANCIAL MEASURES</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325889"/>
        </w:rPr>
        <w:t>Reconciliation of 2012 and 2011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325889"/>
            </w:tcBorders>
          </w:tcPr>
          <w:p>
            <w:pPr>
              <w:spacing w:after="0"/>
              <w:rPr>
                <w:sz w:val="15"/>
                <w:szCs w:val="15"/>
                <w:color w:val="auto"/>
              </w:rPr>
            </w:pPr>
          </w:p>
        </w:tc>
        <w:tc>
          <w:tcPr>
            <w:tcW w:w="1660" w:type="dxa"/>
            <w:vAlign w:val="bottom"/>
            <w:tcBorders>
              <w:bottom w:val="single" w:sz="8" w:color="325889"/>
            </w:tcBorders>
            <w:gridSpan w:val="4"/>
          </w:tcPr>
          <w:p>
            <w:pPr>
              <w:jc w:val="center"/>
              <w:ind w:right="64"/>
              <w:spacing w:after="0"/>
              <w:rPr>
                <w:sz w:val="20"/>
                <w:szCs w:val="20"/>
                <w:color w:val="auto"/>
              </w:rPr>
            </w:pPr>
            <w:r>
              <w:rPr>
                <w:rFonts w:ascii="Arial" w:cs="Arial" w:eastAsia="Arial" w:hAnsi="Arial"/>
                <w:sz w:val="12"/>
                <w:szCs w:val="12"/>
                <w:b w:val="1"/>
                <w:bCs w:val="1"/>
                <w:color w:val="325889"/>
                <w:w w:val="98"/>
              </w:rPr>
              <w:t>Consolidated Properties</w:t>
            </w:r>
          </w:p>
        </w:tc>
        <w:tc>
          <w:tcPr>
            <w:tcW w:w="80" w:type="dxa"/>
            <w:vAlign w:val="bottom"/>
          </w:tcPr>
          <w:p>
            <w:pPr>
              <w:spacing w:after="0"/>
              <w:rPr>
                <w:sz w:val="15"/>
                <w:szCs w:val="15"/>
                <w:color w:val="auto"/>
              </w:rPr>
            </w:pPr>
          </w:p>
        </w:tc>
        <w:tc>
          <w:tcPr>
            <w:tcW w:w="1960" w:type="dxa"/>
            <w:vAlign w:val="bottom"/>
            <w:tcBorders>
              <w:bottom w:val="single" w:sz="8" w:color="325889"/>
            </w:tcBorders>
            <w:gridSpan w:val="5"/>
          </w:tcPr>
          <w:p>
            <w:pPr>
              <w:jc w:val="right"/>
              <w:ind w:right="84"/>
              <w:spacing w:after="0"/>
              <w:rPr>
                <w:sz w:val="20"/>
                <w:szCs w:val="20"/>
                <w:color w:val="auto"/>
              </w:rPr>
            </w:pPr>
            <w:r>
              <w:rPr>
                <w:rFonts w:ascii="Arial" w:cs="Arial" w:eastAsia="Arial" w:hAnsi="Arial"/>
                <w:sz w:val="12"/>
                <w:szCs w:val="12"/>
                <w:b w:val="1"/>
                <w:bCs w:val="1"/>
                <w:color w:val="325889"/>
              </w:rPr>
              <w:t>Unconsolidated Joint Ventures</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325889"/>
            </w:tcBorders>
          </w:tcPr>
          <w:p>
            <w:pPr>
              <w:spacing w:after="0"/>
              <w:rPr>
                <w:sz w:val="15"/>
                <w:szCs w:val="15"/>
                <w:color w:val="auto"/>
              </w:rPr>
            </w:pPr>
          </w:p>
        </w:tc>
        <w:tc>
          <w:tcPr>
            <w:tcW w:w="1560" w:type="dxa"/>
            <w:vAlign w:val="bottom"/>
            <w:tcBorders>
              <w:bottom w:val="single" w:sz="8" w:color="325889"/>
            </w:tcBorders>
            <w:gridSpan w:val="4"/>
          </w:tcPr>
          <w:p>
            <w:pPr>
              <w:jc w:val="center"/>
              <w:ind w:right="65"/>
              <w:spacing w:after="0"/>
              <w:rPr>
                <w:sz w:val="20"/>
                <w:szCs w:val="20"/>
                <w:color w:val="auto"/>
              </w:rPr>
            </w:pPr>
            <w:r>
              <w:rPr>
                <w:rFonts w:ascii="Arial" w:cs="Arial" w:eastAsia="Arial" w:hAnsi="Arial"/>
                <w:sz w:val="12"/>
                <w:szCs w:val="12"/>
                <w:b w:val="1"/>
                <w:bCs w:val="1"/>
                <w:color w:val="325889"/>
                <w:w w:val="98"/>
              </w:rPr>
              <w:t>Combined</w:t>
            </w:r>
          </w:p>
        </w:tc>
      </w:tr>
      <w:tr>
        <w:trPr>
          <w:trHeight w:val="140"/>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5"/>
          </w:tcPr>
          <w:p>
            <w:pPr>
              <w:jc w:val="center"/>
              <w:ind w:right="220"/>
              <w:spacing w:after="0"/>
              <w:rPr>
                <w:sz w:val="20"/>
                <w:szCs w:val="20"/>
                <w:color w:val="auto"/>
              </w:rPr>
            </w:pPr>
            <w:r>
              <w:rPr>
                <w:rFonts w:ascii="Arial" w:cs="Arial" w:eastAsia="Arial" w:hAnsi="Arial"/>
                <w:sz w:val="12"/>
                <w:szCs w:val="12"/>
                <w:b w:val="1"/>
                <w:bCs w:val="1"/>
                <w:color w:val="325889"/>
                <w:w w:val="98"/>
              </w:rPr>
              <w:t>Twelve Months Ended</w:t>
            </w:r>
          </w:p>
        </w:tc>
        <w:tc>
          <w:tcPr>
            <w:tcW w:w="220" w:type="dxa"/>
            <w:vAlign w:val="bottom"/>
          </w:tcPr>
          <w:p>
            <w:pPr>
              <w:spacing w:after="0"/>
              <w:rPr>
                <w:sz w:val="12"/>
                <w:szCs w:val="12"/>
                <w:color w:val="auto"/>
              </w:rPr>
            </w:pPr>
          </w:p>
        </w:tc>
        <w:tc>
          <w:tcPr>
            <w:tcW w:w="1780" w:type="dxa"/>
            <w:vAlign w:val="bottom"/>
            <w:gridSpan w:val="5"/>
          </w:tcPr>
          <w:p>
            <w:pPr>
              <w:ind w:left="140"/>
              <w:spacing w:after="0"/>
              <w:rPr>
                <w:sz w:val="20"/>
                <w:szCs w:val="20"/>
                <w:color w:val="auto"/>
              </w:rPr>
            </w:pPr>
            <w:r>
              <w:rPr>
                <w:rFonts w:ascii="Arial" w:cs="Arial" w:eastAsia="Arial" w:hAnsi="Arial"/>
                <w:sz w:val="12"/>
                <w:szCs w:val="12"/>
                <w:b w:val="1"/>
                <w:bCs w:val="1"/>
                <w:color w:val="325889"/>
              </w:rPr>
              <w:t>Twelve Months Ended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4"/>
          </w:tcPr>
          <w:p>
            <w:pPr>
              <w:jc w:val="center"/>
              <w:ind w:right="65"/>
              <w:spacing w:after="0"/>
              <w:rPr>
                <w:sz w:val="20"/>
                <w:szCs w:val="20"/>
                <w:color w:val="auto"/>
              </w:rPr>
            </w:pPr>
            <w:r>
              <w:rPr>
                <w:rFonts w:ascii="Arial" w:cs="Arial" w:eastAsia="Arial" w:hAnsi="Arial"/>
                <w:sz w:val="12"/>
                <w:szCs w:val="12"/>
                <w:b w:val="1"/>
                <w:bCs w:val="1"/>
                <w:color w:val="325889"/>
                <w:w w:val="96"/>
              </w:rPr>
              <w:t>Twelve Months Ended</w:t>
            </w:r>
          </w:p>
        </w:tc>
      </w:tr>
      <w:tr>
        <w:trPr>
          <w:trHeight w:val="173"/>
        </w:trPr>
        <w:tc>
          <w:tcPr>
            <w:tcW w:w="5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325889"/>
            </w:tcBorders>
          </w:tcPr>
          <w:p>
            <w:pPr>
              <w:spacing w:after="0"/>
              <w:rPr>
                <w:sz w:val="15"/>
                <w:szCs w:val="15"/>
                <w:color w:val="auto"/>
              </w:rPr>
            </w:pPr>
          </w:p>
        </w:tc>
        <w:tc>
          <w:tcPr>
            <w:tcW w:w="1660" w:type="dxa"/>
            <w:vAlign w:val="bottom"/>
            <w:tcBorders>
              <w:bottom w:val="single" w:sz="8" w:color="325889"/>
            </w:tcBorders>
            <w:gridSpan w:val="4"/>
          </w:tcPr>
          <w:p>
            <w:pPr>
              <w:jc w:val="center"/>
              <w:ind w:right="64"/>
              <w:spacing w:after="0"/>
              <w:rPr>
                <w:sz w:val="20"/>
                <w:szCs w:val="20"/>
                <w:color w:val="auto"/>
              </w:rPr>
            </w:pPr>
            <w:r>
              <w:rPr>
                <w:rFonts w:ascii="Arial" w:cs="Arial" w:eastAsia="Arial" w:hAnsi="Arial"/>
                <w:sz w:val="12"/>
                <w:szCs w:val="12"/>
                <w:b w:val="1"/>
                <w:bCs w:val="1"/>
                <w:color w:val="325889"/>
                <w:w w:val="97"/>
              </w:rPr>
              <w:t>December 31</w:t>
            </w:r>
            <w:r>
              <w:rPr>
                <w:rFonts w:ascii="Arial" w:cs="Arial" w:eastAsia="Arial" w:hAnsi="Arial"/>
                <w:sz w:val="12"/>
                <w:szCs w:val="12"/>
                <w:b w:val="1"/>
                <w:bCs w:val="1"/>
                <w:color w:val="000000"/>
                <w:w w:val="97"/>
              </w:rPr>
              <w:t>,</w:t>
            </w:r>
          </w:p>
        </w:tc>
        <w:tc>
          <w:tcPr>
            <w:tcW w:w="80" w:type="dxa"/>
            <w:vAlign w:val="bottom"/>
          </w:tcPr>
          <w:p>
            <w:pPr>
              <w:spacing w:after="0"/>
              <w:rPr>
                <w:sz w:val="15"/>
                <w:szCs w:val="15"/>
                <w:color w:val="auto"/>
              </w:rPr>
            </w:pPr>
          </w:p>
        </w:tc>
        <w:tc>
          <w:tcPr>
            <w:tcW w:w="220" w:type="dxa"/>
            <w:vAlign w:val="bottom"/>
            <w:tcBorders>
              <w:bottom w:val="single" w:sz="8" w:color="325889"/>
            </w:tcBorders>
          </w:tcPr>
          <w:p>
            <w:pPr>
              <w:spacing w:after="0"/>
              <w:rPr>
                <w:sz w:val="15"/>
                <w:szCs w:val="15"/>
                <w:color w:val="auto"/>
              </w:rPr>
            </w:pPr>
          </w:p>
        </w:tc>
        <w:tc>
          <w:tcPr>
            <w:tcW w:w="1740" w:type="dxa"/>
            <w:vAlign w:val="bottom"/>
            <w:tcBorders>
              <w:bottom w:val="single" w:sz="8" w:color="325889"/>
            </w:tcBorders>
            <w:gridSpan w:val="4"/>
          </w:tcPr>
          <w:p>
            <w:pPr>
              <w:jc w:val="right"/>
              <w:ind w:right="524"/>
              <w:spacing w:after="0"/>
              <w:rPr>
                <w:sz w:val="20"/>
                <w:szCs w:val="20"/>
                <w:color w:val="auto"/>
              </w:rPr>
            </w:pPr>
            <w:r>
              <w:rPr>
                <w:rFonts w:ascii="Arial" w:cs="Arial" w:eastAsia="Arial" w:hAnsi="Arial"/>
                <w:sz w:val="12"/>
                <w:szCs w:val="12"/>
                <w:b w:val="1"/>
                <w:bCs w:val="1"/>
                <w:color w:val="325889"/>
              </w:rPr>
              <w:t>December 31</w:t>
            </w:r>
            <w:r>
              <w:rPr>
                <w:rFonts w:ascii="Arial" w:cs="Arial" w:eastAsia="Arial" w:hAnsi="Arial"/>
                <w:sz w:val="12"/>
                <w:szCs w:val="12"/>
                <w:b w:val="1"/>
                <w:bCs w:val="1"/>
                <w:color w:val="000000"/>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325889"/>
            </w:tcBorders>
          </w:tcPr>
          <w:p>
            <w:pPr>
              <w:spacing w:after="0"/>
              <w:rPr>
                <w:sz w:val="15"/>
                <w:szCs w:val="15"/>
                <w:color w:val="auto"/>
              </w:rPr>
            </w:pPr>
          </w:p>
        </w:tc>
        <w:tc>
          <w:tcPr>
            <w:tcW w:w="1560" w:type="dxa"/>
            <w:vAlign w:val="bottom"/>
            <w:tcBorders>
              <w:bottom w:val="single" w:sz="8" w:color="325889"/>
            </w:tcBorders>
            <w:gridSpan w:val="4"/>
          </w:tcPr>
          <w:p>
            <w:pPr>
              <w:jc w:val="center"/>
              <w:ind w:right="65"/>
              <w:spacing w:after="0"/>
              <w:rPr>
                <w:sz w:val="20"/>
                <w:szCs w:val="20"/>
                <w:color w:val="auto"/>
              </w:rPr>
            </w:pPr>
            <w:r>
              <w:rPr>
                <w:rFonts w:ascii="Arial" w:cs="Arial" w:eastAsia="Arial" w:hAnsi="Arial"/>
                <w:sz w:val="12"/>
                <w:szCs w:val="12"/>
                <w:b w:val="1"/>
                <w:bCs w:val="1"/>
                <w:color w:val="325889"/>
                <w:w w:val="99"/>
              </w:rPr>
              <w:t>December 31</w:t>
            </w:r>
            <w:r>
              <w:rPr>
                <w:rFonts w:ascii="Arial" w:cs="Arial" w:eastAsia="Arial" w:hAnsi="Arial"/>
                <w:sz w:val="12"/>
                <w:szCs w:val="12"/>
                <w:b w:val="1"/>
                <w:bCs w:val="1"/>
                <w:color w:val="000000"/>
                <w:w w:val="99"/>
              </w:rPr>
              <w:t>,</w:t>
            </w:r>
          </w:p>
        </w:tc>
      </w:tr>
      <w:tr>
        <w:trPr>
          <w:trHeight w:val="182"/>
        </w:trPr>
        <w:tc>
          <w:tcPr>
            <w:tcW w:w="5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325889"/>
              </w:rPr>
              <w:t>2012</w:t>
            </w:r>
          </w:p>
        </w:tc>
        <w:tc>
          <w:tcPr>
            <w:tcW w:w="14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325889"/>
              </w:rPr>
              <w:t>2011</w:t>
            </w:r>
          </w:p>
        </w:tc>
        <w:tc>
          <w:tcPr>
            <w:tcW w:w="22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325889"/>
              </w:rPr>
              <w:t>2012</w:t>
            </w:r>
          </w:p>
        </w:tc>
        <w:tc>
          <w:tcPr>
            <w:tcW w:w="20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b w:val="1"/>
                <w:bCs w:val="1"/>
                <w:color w:val="325889"/>
              </w:rPr>
              <w:t>2011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b w:val="1"/>
                <w:bCs w:val="1"/>
                <w:color w:val="325889"/>
              </w:rPr>
              <w:t>2012</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325889"/>
              </w:rPr>
              <w:t>2011</w:t>
            </w:r>
          </w:p>
        </w:tc>
      </w:tr>
      <w:tr>
        <w:trPr>
          <w:trHeight w:val="186"/>
        </w:trPr>
        <w:tc>
          <w:tcPr>
            <w:tcW w:w="5740" w:type="dxa"/>
            <w:vAlign w:val="bottom"/>
            <w:tcBorders>
              <w:top w:val="single" w:sz="8" w:color="325889"/>
            </w:tcBorders>
          </w:tcPr>
          <w:p>
            <w:pPr>
              <w:spacing w:after="0"/>
              <w:rPr>
                <w:sz w:val="20"/>
                <w:szCs w:val="20"/>
                <w:color w:val="auto"/>
              </w:rPr>
            </w:pPr>
            <w:r>
              <w:rPr>
                <w:rFonts w:ascii="Arial" w:cs="Arial" w:eastAsia="Arial" w:hAnsi="Arial"/>
                <w:sz w:val="15"/>
                <w:szCs w:val="15"/>
                <w:b w:val="1"/>
                <w:bCs w:val="1"/>
                <w:color w:val="auto"/>
              </w:rPr>
              <w:t>Operating income and Same-store</w:t>
            </w:r>
          </w:p>
        </w:tc>
        <w:tc>
          <w:tcPr>
            <w:tcW w:w="100" w:type="dxa"/>
            <w:vAlign w:val="bottom"/>
          </w:tcPr>
          <w:p>
            <w:pPr>
              <w:spacing w:after="0"/>
              <w:rPr>
                <w:sz w:val="16"/>
                <w:szCs w:val="16"/>
                <w:color w:val="auto"/>
              </w:rPr>
            </w:pPr>
          </w:p>
        </w:tc>
        <w:tc>
          <w:tcPr>
            <w:tcW w:w="120" w:type="dxa"/>
            <w:vAlign w:val="bottom"/>
            <w:tcBorders>
              <w:top w:val="single" w:sz="8" w:color="325889"/>
            </w:tcBorders>
          </w:tcPr>
          <w:p>
            <w:pPr>
              <w:spacing w:after="0"/>
              <w:rPr>
                <w:sz w:val="16"/>
                <w:szCs w:val="16"/>
                <w:color w:val="auto"/>
              </w:rPr>
            </w:pPr>
          </w:p>
        </w:tc>
        <w:tc>
          <w:tcPr>
            <w:tcW w:w="720" w:type="dxa"/>
            <w:vAlign w:val="bottom"/>
            <w:tcBorders>
              <w:top w:val="single" w:sz="8" w:color="325889"/>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325889"/>
            </w:tcBorders>
          </w:tcPr>
          <w:p>
            <w:pPr>
              <w:spacing w:after="0"/>
              <w:rPr>
                <w:sz w:val="16"/>
                <w:szCs w:val="16"/>
                <w:color w:val="auto"/>
              </w:rPr>
            </w:pPr>
          </w:p>
        </w:tc>
        <w:tc>
          <w:tcPr>
            <w:tcW w:w="720" w:type="dxa"/>
            <w:vAlign w:val="bottom"/>
            <w:tcBorders>
              <w:top w:val="single" w:sz="8" w:color="325889"/>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325889"/>
            </w:tcBorders>
          </w:tcPr>
          <w:p>
            <w:pPr>
              <w:spacing w:after="0"/>
              <w:rPr>
                <w:sz w:val="16"/>
                <w:szCs w:val="16"/>
                <w:color w:val="auto"/>
              </w:rPr>
            </w:pPr>
          </w:p>
        </w:tc>
        <w:tc>
          <w:tcPr>
            <w:tcW w:w="720" w:type="dxa"/>
            <w:vAlign w:val="bottom"/>
            <w:tcBorders>
              <w:top w:val="single" w:sz="8" w:color="325889"/>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325889"/>
            </w:tcBorders>
          </w:tcPr>
          <w:p>
            <w:pPr>
              <w:spacing w:after="0"/>
              <w:rPr>
                <w:sz w:val="16"/>
                <w:szCs w:val="16"/>
                <w:color w:val="auto"/>
              </w:rPr>
            </w:pPr>
          </w:p>
        </w:tc>
        <w:tc>
          <w:tcPr>
            <w:tcW w:w="740" w:type="dxa"/>
            <w:vAlign w:val="bottom"/>
            <w:tcBorders>
              <w:top w:val="single" w:sz="8" w:color="325889"/>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top w:val="single" w:sz="8" w:color="325889"/>
            </w:tcBorders>
          </w:tcPr>
          <w:p>
            <w:pPr>
              <w:spacing w:after="0"/>
              <w:rPr>
                <w:sz w:val="16"/>
                <w:szCs w:val="16"/>
                <w:color w:val="auto"/>
              </w:rPr>
            </w:pPr>
          </w:p>
        </w:tc>
        <w:tc>
          <w:tcPr>
            <w:tcW w:w="680" w:type="dxa"/>
            <w:vAlign w:val="bottom"/>
            <w:tcBorders>
              <w:top w:val="single" w:sz="8" w:color="325889"/>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325889"/>
            </w:tcBorders>
          </w:tcPr>
          <w:p>
            <w:pPr>
              <w:spacing w:after="0"/>
              <w:rPr>
                <w:sz w:val="16"/>
                <w:szCs w:val="16"/>
                <w:color w:val="auto"/>
              </w:rPr>
            </w:pPr>
          </w:p>
        </w:tc>
        <w:tc>
          <w:tcPr>
            <w:tcW w:w="680" w:type="dxa"/>
            <w:vAlign w:val="bottom"/>
            <w:tcBorders>
              <w:top w:val="single" w:sz="8" w:color="325889"/>
            </w:tcBorders>
          </w:tcPr>
          <w:p>
            <w:pPr>
              <w:spacing w:after="0"/>
              <w:rPr>
                <w:sz w:val="16"/>
                <w:szCs w:val="16"/>
                <w:color w:val="auto"/>
              </w:rPr>
            </w:pPr>
          </w:p>
        </w:tc>
      </w:tr>
      <w:tr>
        <w:trPr>
          <w:trHeight w:val="210"/>
        </w:trPr>
        <w:tc>
          <w:tcPr>
            <w:tcW w:w="5740" w:type="dxa"/>
            <w:vAlign w:val="bottom"/>
            <w:tcBorders>
              <w:bottom w:val="single" w:sz="8" w:color="98A3B8"/>
            </w:tcBorders>
          </w:tcPr>
          <w:p>
            <w:pPr>
              <w:spacing w:after="0"/>
              <w:rPr>
                <w:sz w:val="20"/>
                <w:szCs w:val="20"/>
                <w:color w:val="auto"/>
              </w:rPr>
            </w:pPr>
            <w:r>
              <w:rPr>
                <w:rFonts w:ascii="Arial" w:cs="Arial" w:eastAsia="Arial" w:hAnsi="Arial"/>
                <w:sz w:val="15"/>
                <w:szCs w:val="15"/>
                <w:b w:val="1"/>
                <w:bCs w:val="1"/>
                <w:color w:val="auto"/>
              </w:rPr>
              <w:t>NOI Reconciliation: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03"/>
        </w:trPr>
        <w:tc>
          <w:tcPr>
            <w:tcW w:w="5740" w:type="dxa"/>
            <w:vAlign w:val="bottom"/>
          </w:tcPr>
          <w:p>
            <w:pPr>
              <w:spacing w:after="0"/>
              <w:rPr>
                <w:sz w:val="20"/>
                <w:szCs w:val="20"/>
                <w:color w:val="auto"/>
              </w:rPr>
            </w:pPr>
            <w:r>
              <w:rPr>
                <w:rFonts w:ascii="Arial" w:cs="Arial" w:eastAsia="Arial" w:hAnsi="Arial"/>
                <w:sz w:val="15"/>
                <w:szCs w:val="15"/>
                <w:color w:val="auto"/>
              </w:rPr>
              <w:t>Income from continuing operations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78"/>
        </w:trPr>
        <w:tc>
          <w:tcPr>
            <w:tcW w:w="5740" w:type="dxa"/>
            <w:vAlign w:val="bottom"/>
          </w:tcPr>
          <w:p>
            <w:pPr>
              <w:spacing w:after="0"/>
              <w:rPr>
                <w:sz w:val="20"/>
                <w:szCs w:val="20"/>
                <w:color w:val="auto"/>
              </w:rPr>
            </w:pPr>
            <w:r>
              <w:rPr>
                <w:rFonts w:ascii="Arial" w:cs="Arial" w:eastAsia="Arial" w:hAnsi="Arial"/>
                <w:sz w:val="15"/>
                <w:szCs w:val="15"/>
                <w:color w:val="auto"/>
              </w:rPr>
              <w:t>before equity in net income of</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8"/>
        </w:trPr>
        <w:tc>
          <w:tcPr>
            <w:tcW w:w="5740" w:type="dxa"/>
            <w:vAlign w:val="bottom"/>
          </w:tcPr>
          <w:p>
            <w:pPr>
              <w:spacing w:after="0"/>
              <w:rPr>
                <w:sz w:val="20"/>
                <w:szCs w:val="20"/>
                <w:color w:val="auto"/>
              </w:rPr>
            </w:pPr>
            <w:r>
              <w:rPr>
                <w:rFonts w:ascii="Arial" w:cs="Arial" w:eastAsia="Arial" w:hAnsi="Arial"/>
                <w:sz w:val="15"/>
                <w:szCs w:val="15"/>
                <w:color w:val="auto"/>
              </w:rPr>
              <w:t>unconsolidated joint ventures,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8"/>
        </w:trPr>
        <w:tc>
          <w:tcPr>
            <w:tcW w:w="5740" w:type="dxa"/>
            <w:vAlign w:val="bottom"/>
          </w:tcPr>
          <w:p>
            <w:pPr>
              <w:spacing w:after="0"/>
              <w:rPr>
                <w:sz w:val="20"/>
                <w:szCs w:val="20"/>
                <w:color w:val="auto"/>
              </w:rPr>
            </w:pPr>
            <w:r>
              <w:rPr>
                <w:rFonts w:ascii="Arial" w:cs="Arial" w:eastAsia="Arial" w:hAnsi="Arial"/>
                <w:sz w:val="15"/>
                <w:szCs w:val="15"/>
                <w:color w:val="auto"/>
              </w:rPr>
              <w:t>noncontrolling interests and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92"/>
        </w:trPr>
        <w:tc>
          <w:tcPr>
            <w:tcW w:w="5740" w:type="dxa"/>
            <w:vAlign w:val="bottom"/>
          </w:tcPr>
          <w:p>
            <w:pPr>
              <w:spacing w:after="0"/>
              <w:rPr>
                <w:sz w:val="20"/>
                <w:szCs w:val="20"/>
                <w:color w:val="auto"/>
              </w:rPr>
            </w:pPr>
            <w:r>
              <w:rPr>
                <w:rFonts w:ascii="Arial" w:cs="Arial" w:eastAsia="Arial" w:hAnsi="Arial"/>
                <w:sz w:val="15"/>
                <w:szCs w:val="15"/>
                <w:color w:val="auto"/>
              </w:rPr>
              <w:t>discontinued operations</w:t>
            </w:r>
          </w:p>
        </w:tc>
        <w:tc>
          <w:tcPr>
            <w:tcW w:w="2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82,524</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122,580</w:t>
            </w:r>
          </w:p>
        </w:tc>
        <w:tc>
          <w:tcPr>
            <w:tcW w:w="80" w:type="dxa"/>
            <w:vAlign w:val="bottom"/>
          </w:tcPr>
          <w:p>
            <w:pPr>
              <w:spacing w:after="0"/>
              <w:rPr>
                <w:sz w:val="16"/>
                <w:szCs w:val="16"/>
                <w:color w:val="auto"/>
              </w:rPr>
            </w:pPr>
          </w:p>
        </w:tc>
        <w:tc>
          <w:tcPr>
            <w:tcW w:w="220" w:type="dxa"/>
            <w:vAlign w:val="bottom"/>
          </w:tcPr>
          <w:p>
            <w:pPr>
              <w:jc w:val="right"/>
              <w:ind w:right="46"/>
              <w:spacing w:after="0"/>
              <w:rPr>
                <w:sz w:val="20"/>
                <w:szCs w:val="20"/>
                <w:color w:val="auto"/>
              </w:rPr>
            </w:pPr>
            <w:r>
              <w:rPr>
                <w:rFonts w:ascii="Arial" w:cs="Arial" w:eastAsia="Arial" w:hAnsi="Arial"/>
                <w:sz w:val="15"/>
                <w:szCs w:val="15"/>
                <w:color w:val="auto"/>
                <w:w w:val="95"/>
              </w:rPr>
              <w:t>$</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3"/>
        </w:trPr>
        <w:tc>
          <w:tcPr>
            <w:tcW w:w="5740" w:type="dxa"/>
            <w:vAlign w:val="bottom"/>
            <w:tcBorders>
              <w:top w:val="single" w:sz="8" w:color="98A3B8"/>
            </w:tcBorders>
          </w:tcPr>
          <w:p>
            <w:pPr>
              <w:spacing w:after="0"/>
              <w:rPr>
                <w:sz w:val="20"/>
                <w:szCs w:val="20"/>
                <w:color w:val="auto"/>
              </w:rPr>
            </w:pPr>
            <w:r>
              <w:rPr>
                <w:rFonts w:ascii="Arial" w:cs="Arial" w:eastAsia="Arial" w:hAnsi="Arial"/>
                <w:sz w:val="15"/>
                <w:szCs w:val="15"/>
                <w:color w:val="auto"/>
              </w:rPr>
              <w:t>Equity in net income (loss) from</w:t>
            </w:r>
          </w:p>
        </w:tc>
        <w:tc>
          <w:tcPr>
            <w:tcW w:w="100" w:type="dxa"/>
            <w:vAlign w:val="bottom"/>
          </w:tcPr>
          <w:p>
            <w:pPr>
              <w:spacing w:after="0"/>
              <w:rPr>
                <w:sz w:val="17"/>
                <w:szCs w:val="17"/>
                <w:color w:val="auto"/>
              </w:rPr>
            </w:pPr>
          </w:p>
        </w:tc>
        <w:tc>
          <w:tcPr>
            <w:tcW w:w="120" w:type="dxa"/>
            <w:vAlign w:val="bottom"/>
            <w:tcBorders>
              <w:top w:val="single" w:sz="8" w:color="98A3B8"/>
            </w:tcBorders>
          </w:tcPr>
          <w:p>
            <w:pPr>
              <w:spacing w:after="0"/>
              <w:rPr>
                <w:sz w:val="17"/>
                <w:szCs w:val="17"/>
                <w:color w:val="auto"/>
              </w:rPr>
            </w:pPr>
          </w:p>
        </w:tc>
        <w:tc>
          <w:tcPr>
            <w:tcW w:w="720" w:type="dxa"/>
            <w:vAlign w:val="bottom"/>
            <w:tcBorders>
              <w:top w:val="single" w:sz="8" w:color="98A3B8"/>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98A3B8"/>
            </w:tcBorders>
          </w:tcPr>
          <w:p>
            <w:pPr>
              <w:spacing w:after="0"/>
              <w:rPr>
                <w:sz w:val="17"/>
                <w:szCs w:val="17"/>
                <w:color w:val="auto"/>
              </w:rPr>
            </w:pPr>
          </w:p>
        </w:tc>
        <w:tc>
          <w:tcPr>
            <w:tcW w:w="720" w:type="dxa"/>
            <w:vAlign w:val="bottom"/>
            <w:tcBorders>
              <w:top w:val="single" w:sz="8" w:color="98A3B8"/>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98A3B8"/>
            </w:tcBorders>
          </w:tcPr>
          <w:p>
            <w:pPr>
              <w:spacing w:after="0"/>
              <w:rPr>
                <w:sz w:val="17"/>
                <w:szCs w:val="17"/>
                <w:color w:val="auto"/>
              </w:rPr>
            </w:pPr>
          </w:p>
        </w:tc>
        <w:tc>
          <w:tcPr>
            <w:tcW w:w="720" w:type="dxa"/>
            <w:vAlign w:val="bottom"/>
            <w:tcBorders>
              <w:top w:val="single" w:sz="8" w:color="98A3B8"/>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98A3B8"/>
            </w:tcBorders>
          </w:tcPr>
          <w:p>
            <w:pPr>
              <w:spacing w:after="0"/>
              <w:rPr>
                <w:sz w:val="17"/>
                <w:szCs w:val="17"/>
                <w:color w:val="auto"/>
              </w:rPr>
            </w:pPr>
          </w:p>
        </w:tc>
        <w:tc>
          <w:tcPr>
            <w:tcW w:w="740" w:type="dxa"/>
            <w:vAlign w:val="bottom"/>
            <w:tcBorders>
              <w:top w:val="single" w:sz="8" w:color="98A3B8"/>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2"/>
        </w:trPr>
        <w:tc>
          <w:tcPr>
            <w:tcW w:w="574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joint ventures</w:t>
            </w:r>
          </w:p>
        </w:tc>
        <w:tc>
          <w:tcPr>
            <w:tcW w:w="100" w:type="dxa"/>
            <w:vAlign w:val="bottom"/>
          </w:tcPr>
          <w:p>
            <w:pPr>
              <w:spacing w:after="0"/>
              <w:rPr>
                <w:sz w:val="16"/>
                <w:szCs w:val="16"/>
                <w:color w:val="auto"/>
              </w:rPr>
            </w:pPr>
          </w:p>
        </w:tc>
        <w:tc>
          <w:tcPr>
            <w:tcW w:w="120" w:type="dxa"/>
            <w:vAlign w:val="bottom"/>
            <w:tcBorders>
              <w:bottom w:val="single" w:sz="8" w:color="98A3B8"/>
            </w:tcBorders>
          </w:tcPr>
          <w:p>
            <w:pPr>
              <w:spacing w:after="0"/>
              <w:rPr>
                <w:sz w:val="16"/>
                <w:szCs w:val="16"/>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76,418</w:t>
            </w:r>
          </w:p>
        </w:tc>
        <w:tc>
          <w:tcPr>
            <w:tcW w:w="80" w:type="dxa"/>
            <w:vAlign w:val="bottom"/>
          </w:tcPr>
          <w:p>
            <w:pPr>
              <w:spacing w:after="0"/>
              <w:rPr>
                <w:sz w:val="16"/>
                <w:szCs w:val="16"/>
                <w:color w:val="auto"/>
              </w:rPr>
            </w:pPr>
          </w:p>
        </w:tc>
        <w:tc>
          <w:tcPr>
            <w:tcW w:w="140" w:type="dxa"/>
            <w:vAlign w:val="bottom"/>
            <w:tcBorders>
              <w:bottom w:val="single" w:sz="8" w:color="98A3B8"/>
            </w:tcBorders>
          </w:tcPr>
          <w:p>
            <w:pPr>
              <w:spacing w:after="0"/>
              <w:rPr>
                <w:sz w:val="16"/>
                <w:szCs w:val="16"/>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1,583</w:t>
            </w:r>
          </w:p>
        </w:tc>
        <w:tc>
          <w:tcPr>
            <w:tcW w:w="80" w:type="dxa"/>
            <w:vAlign w:val="bottom"/>
          </w:tcPr>
          <w:p>
            <w:pPr>
              <w:spacing w:after="0"/>
              <w:rPr>
                <w:sz w:val="16"/>
                <w:szCs w:val="16"/>
                <w:color w:val="auto"/>
              </w:rPr>
            </w:pPr>
          </w:p>
        </w:tc>
        <w:tc>
          <w:tcPr>
            <w:tcW w:w="220" w:type="dxa"/>
            <w:vAlign w:val="bottom"/>
            <w:tcBorders>
              <w:bottom w:val="single" w:sz="8" w:color="98A3B8"/>
            </w:tcBorders>
          </w:tcPr>
          <w:p>
            <w:pPr>
              <w:spacing w:after="0"/>
              <w:rPr>
                <w:sz w:val="16"/>
                <w:szCs w:val="16"/>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76,418</w:t>
            </w:r>
          </w:p>
        </w:tc>
        <w:tc>
          <w:tcPr>
            <w:tcW w:w="80" w:type="dxa"/>
            <w:vAlign w:val="bottom"/>
          </w:tcPr>
          <w:p>
            <w:pPr>
              <w:spacing w:after="0"/>
              <w:rPr>
                <w:sz w:val="16"/>
                <w:szCs w:val="16"/>
                <w:color w:val="auto"/>
              </w:rPr>
            </w:pPr>
          </w:p>
        </w:tc>
        <w:tc>
          <w:tcPr>
            <w:tcW w:w="200" w:type="dxa"/>
            <w:vAlign w:val="bottom"/>
            <w:tcBorders>
              <w:bottom w:val="single" w:sz="8" w:color="98A3B8"/>
            </w:tcBorders>
          </w:tcPr>
          <w:p>
            <w:pPr>
              <w:spacing w:after="0"/>
              <w:rPr>
                <w:sz w:val="16"/>
                <w:szCs w:val="16"/>
                <w:color w:val="auto"/>
              </w:rPr>
            </w:pPr>
          </w:p>
        </w:tc>
        <w:tc>
          <w:tcPr>
            <w:tcW w:w="74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1,583</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7"/>
        </w:trPr>
        <w:tc>
          <w:tcPr>
            <w:tcW w:w="574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Depreciation and amortization</w:t>
            </w:r>
          </w:p>
        </w:tc>
        <w:tc>
          <w:tcPr>
            <w:tcW w:w="100" w:type="dxa"/>
            <w:vAlign w:val="bottom"/>
          </w:tcPr>
          <w:p>
            <w:pPr>
              <w:spacing w:after="0"/>
              <w:rPr>
                <w:sz w:val="18"/>
                <w:szCs w:val="18"/>
                <w:color w:val="auto"/>
              </w:rPr>
            </w:pPr>
          </w:p>
        </w:tc>
        <w:tc>
          <w:tcPr>
            <w:tcW w:w="120" w:type="dxa"/>
            <w:vAlign w:val="bottom"/>
            <w:tcBorders>
              <w:bottom w:val="single" w:sz="8" w:color="98A3B8"/>
            </w:tcBorders>
          </w:tcPr>
          <w:p>
            <w:pPr>
              <w:spacing w:after="0"/>
              <w:rPr>
                <w:sz w:val="18"/>
                <w:szCs w:val="18"/>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332,028</w:t>
            </w:r>
          </w:p>
        </w:tc>
        <w:tc>
          <w:tcPr>
            <w:tcW w:w="8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277,345</w:t>
            </w:r>
          </w:p>
        </w:tc>
        <w:tc>
          <w:tcPr>
            <w:tcW w:w="80" w:type="dxa"/>
            <w:vAlign w:val="bottom"/>
          </w:tcPr>
          <w:p>
            <w:pPr>
              <w:spacing w:after="0"/>
              <w:rPr>
                <w:sz w:val="18"/>
                <w:szCs w:val="18"/>
                <w:color w:val="auto"/>
              </w:rPr>
            </w:pPr>
          </w:p>
        </w:tc>
        <w:tc>
          <w:tcPr>
            <w:tcW w:w="220" w:type="dxa"/>
            <w:vAlign w:val="bottom"/>
            <w:tcBorders>
              <w:bottom w:val="single" w:sz="8" w:color="98A3B8"/>
            </w:tcBorders>
          </w:tcPr>
          <w:p>
            <w:pPr>
              <w:spacing w:after="0"/>
              <w:rPr>
                <w:sz w:val="18"/>
                <w:szCs w:val="18"/>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69,116</w:t>
            </w:r>
          </w:p>
        </w:tc>
        <w:tc>
          <w:tcPr>
            <w:tcW w:w="80" w:type="dxa"/>
            <w:vAlign w:val="bottom"/>
          </w:tcPr>
          <w:p>
            <w:pPr>
              <w:spacing w:after="0"/>
              <w:rPr>
                <w:sz w:val="18"/>
                <w:szCs w:val="18"/>
                <w:color w:val="auto"/>
              </w:rPr>
            </w:pPr>
          </w:p>
        </w:tc>
        <w:tc>
          <w:tcPr>
            <w:tcW w:w="200" w:type="dxa"/>
            <w:vAlign w:val="bottom"/>
            <w:tcBorders>
              <w:bottom w:val="single" w:sz="8" w:color="98A3B8"/>
            </w:tcBorders>
          </w:tcPr>
          <w:p>
            <w:pPr>
              <w:spacing w:after="0"/>
              <w:rPr>
                <w:sz w:val="18"/>
                <w:szCs w:val="18"/>
                <w:color w:val="auto"/>
              </w:rPr>
            </w:pPr>
          </w:p>
        </w:tc>
        <w:tc>
          <w:tcPr>
            <w:tcW w:w="74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58,598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03"/>
        </w:trPr>
        <w:tc>
          <w:tcPr>
            <w:tcW w:w="5740" w:type="dxa"/>
            <w:vAlign w:val="bottom"/>
          </w:tcPr>
          <w:p>
            <w:pPr>
              <w:spacing w:after="0"/>
              <w:rPr>
                <w:sz w:val="20"/>
                <w:szCs w:val="20"/>
                <w:color w:val="auto"/>
              </w:rPr>
            </w:pPr>
            <w:r>
              <w:rPr>
                <w:rFonts w:ascii="Arial" w:cs="Arial" w:eastAsia="Arial" w:hAnsi="Arial"/>
                <w:sz w:val="15"/>
                <w:szCs w:val="15"/>
                <w:color w:val="auto"/>
              </w:rPr>
              <w:t>Interest expense,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2"/>
        </w:trPr>
        <w:tc>
          <w:tcPr>
            <w:tcW w:w="574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net of interest income</w:t>
            </w:r>
          </w:p>
        </w:tc>
        <w:tc>
          <w:tcPr>
            <w:tcW w:w="100" w:type="dxa"/>
            <w:vAlign w:val="bottom"/>
          </w:tcPr>
          <w:p>
            <w:pPr>
              <w:spacing w:after="0"/>
              <w:rPr>
                <w:sz w:val="16"/>
                <w:szCs w:val="16"/>
                <w:color w:val="auto"/>
              </w:rPr>
            </w:pPr>
          </w:p>
        </w:tc>
        <w:tc>
          <w:tcPr>
            <w:tcW w:w="120" w:type="dxa"/>
            <w:vAlign w:val="bottom"/>
            <w:tcBorders>
              <w:bottom w:val="single" w:sz="8" w:color="98A3B8"/>
            </w:tcBorders>
          </w:tcPr>
          <w:p>
            <w:pPr>
              <w:spacing w:after="0"/>
              <w:rPr>
                <w:sz w:val="16"/>
                <w:szCs w:val="16"/>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330,569</w:t>
            </w:r>
          </w:p>
        </w:tc>
        <w:tc>
          <w:tcPr>
            <w:tcW w:w="80" w:type="dxa"/>
            <w:vAlign w:val="bottom"/>
          </w:tcPr>
          <w:p>
            <w:pPr>
              <w:spacing w:after="0"/>
              <w:rPr>
                <w:sz w:val="16"/>
                <w:szCs w:val="16"/>
                <w:color w:val="auto"/>
              </w:rPr>
            </w:pPr>
          </w:p>
        </w:tc>
        <w:tc>
          <w:tcPr>
            <w:tcW w:w="140" w:type="dxa"/>
            <w:vAlign w:val="bottom"/>
            <w:tcBorders>
              <w:bottom w:val="single" w:sz="8" w:color="98A3B8"/>
            </w:tcBorders>
          </w:tcPr>
          <w:p>
            <w:pPr>
              <w:spacing w:after="0"/>
              <w:rPr>
                <w:sz w:val="16"/>
                <w:szCs w:val="16"/>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285,917</w:t>
            </w:r>
          </w:p>
        </w:tc>
        <w:tc>
          <w:tcPr>
            <w:tcW w:w="80" w:type="dxa"/>
            <w:vAlign w:val="bottom"/>
          </w:tcPr>
          <w:p>
            <w:pPr>
              <w:spacing w:after="0"/>
              <w:rPr>
                <w:sz w:val="16"/>
                <w:szCs w:val="16"/>
                <w:color w:val="auto"/>
              </w:rPr>
            </w:pPr>
          </w:p>
        </w:tc>
        <w:tc>
          <w:tcPr>
            <w:tcW w:w="220" w:type="dxa"/>
            <w:vAlign w:val="bottom"/>
            <w:tcBorders>
              <w:bottom w:val="single" w:sz="8" w:color="98A3B8"/>
            </w:tcBorders>
          </w:tcPr>
          <w:p>
            <w:pPr>
              <w:spacing w:after="0"/>
              <w:rPr>
                <w:sz w:val="16"/>
                <w:szCs w:val="16"/>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86,268</w:t>
            </w:r>
          </w:p>
        </w:tc>
        <w:tc>
          <w:tcPr>
            <w:tcW w:w="80" w:type="dxa"/>
            <w:vAlign w:val="bottom"/>
          </w:tcPr>
          <w:p>
            <w:pPr>
              <w:spacing w:after="0"/>
              <w:rPr>
                <w:sz w:val="16"/>
                <w:szCs w:val="16"/>
                <w:color w:val="auto"/>
              </w:rPr>
            </w:pPr>
          </w:p>
        </w:tc>
        <w:tc>
          <w:tcPr>
            <w:tcW w:w="200" w:type="dxa"/>
            <w:vAlign w:val="bottom"/>
            <w:tcBorders>
              <w:bottom w:val="single" w:sz="8" w:color="98A3B8"/>
            </w:tcBorders>
          </w:tcPr>
          <w:p>
            <w:pPr>
              <w:spacing w:after="0"/>
              <w:rPr>
                <w:sz w:val="16"/>
                <w:szCs w:val="16"/>
                <w:color w:val="auto"/>
              </w:rPr>
            </w:pPr>
          </w:p>
        </w:tc>
        <w:tc>
          <w:tcPr>
            <w:tcW w:w="74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88,546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3"/>
        </w:trPr>
        <w:tc>
          <w:tcPr>
            <w:tcW w:w="5740" w:type="dxa"/>
            <w:vAlign w:val="bottom"/>
          </w:tcPr>
          <w:p>
            <w:pPr>
              <w:spacing w:after="0"/>
              <w:rPr>
                <w:sz w:val="20"/>
                <w:szCs w:val="20"/>
                <w:color w:val="auto"/>
              </w:rPr>
            </w:pPr>
            <w:r>
              <w:rPr>
                <w:rFonts w:ascii="Arial" w:cs="Arial" w:eastAsia="Arial" w:hAnsi="Arial"/>
                <w:sz w:val="15"/>
                <w:szCs w:val="15"/>
                <w:color w:val="auto"/>
              </w:rPr>
              <w:t>Amortization of deferred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2"/>
        </w:trPr>
        <w:tc>
          <w:tcPr>
            <w:tcW w:w="574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financing costs</w:t>
            </w:r>
          </w:p>
        </w:tc>
        <w:tc>
          <w:tcPr>
            <w:tcW w:w="100" w:type="dxa"/>
            <w:vAlign w:val="bottom"/>
          </w:tcPr>
          <w:p>
            <w:pPr>
              <w:spacing w:after="0"/>
              <w:rPr>
                <w:sz w:val="16"/>
                <w:szCs w:val="16"/>
                <w:color w:val="auto"/>
              </w:rPr>
            </w:pPr>
          </w:p>
        </w:tc>
        <w:tc>
          <w:tcPr>
            <w:tcW w:w="120" w:type="dxa"/>
            <w:vAlign w:val="bottom"/>
            <w:tcBorders>
              <w:bottom w:val="single" w:sz="8" w:color="98A3B8"/>
            </w:tcBorders>
          </w:tcPr>
          <w:p>
            <w:pPr>
              <w:spacing w:after="0"/>
              <w:rPr>
                <w:sz w:val="16"/>
                <w:szCs w:val="16"/>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19,450</w:t>
            </w:r>
          </w:p>
        </w:tc>
        <w:tc>
          <w:tcPr>
            <w:tcW w:w="80" w:type="dxa"/>
            <w:vAlign w:val="bottom"/>
          </w:tcPr>
          <w:p>
            <w:pPr>
              <w:spacing w:after="0"/>
              <w:rPr>
                <w:sz w:val="16"/>
                <w:szCs w:val="16"/>
                <w:color w:val="auto"/>
              </w:rPr>
            </w:pPr>
          </w:p>
        </w:tc>
        <w:tc>
          <w:tcPr>
            <w:tcW w:w="140" w:type="dxa"/>
            <w:vAlign w:val="bottom"/>
            <w:tcBorders>
              <w:bottom w:val="single" w:sz="8" w:color="98A3B8"/>
            </w:tcBorders>
          </w:tcPr>
          <w:p>
            <w:pPr>
              <w:spacing w:after="0"/>
              <w:rPr>
                <w:sz w:val="16"/>
                <w:szCs w:val="16"/>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14,118</w:t>
            </w:r>
          </w:p>
        </w:tc>
        <w:tc>
          <w:tcPr>
            <w:tcW w:w="80" w:type="dxa"/>
            <w:vAlign w:val="bottom"/>
          </w:tcPr>
          <w:p>
            <w:pPr>
              <w:spacing w:after="0"/>
              <w:rPr>
                <w:sz w:val="16"/>
                <w:szCs w:val="16"/>
                <w:color w:val="auto"/>
              </w:rPr>
            </w:pPr>
          </w:p>
        </w:tc>
        <w:tc>
          <w:tcPr>
            <w:tcW w:w="220" w:type="dxa"/>
            <w:vAlign w:val="bottom"/>
            <w:tcBorders>
              <w:bottom w:val="single" w:sz="8" w:color="98A3B8"/>
            </w:tcBorders>
          </w:tcPr>
          <w:p>
            <w:pPr>
              <w:spacing w:after="0"/>
              <w:rPr>
                <w:sz w:val="16"/>
                <w:szCs w:val="16"/>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3,859</w:t>
            </w:r>
          </w:p>
        </w:tc>
        <w:tc>
          <w:tcPr>
            <w:tcW w:w="80" w:type="dxa"/>
            <w:vAlign w:val="bottom"/>
          </w:tcPr>
          <w:p>
            <w:pPr>
              <w:spacing w:after="0"/>
              <w:rPr>
                <w:sz w:val="16"/>
                <w:szCs w:val="16"/>
                <w:color w:val="auto"/>
              </w:rPr>
            </w:pPr>
          </w:p>
        </w:tc>
        <w:tc>
          <w:tcPr>
            <w:tcW w:w="200" w:type="dxa"/>
            <w:vAlign w:val="bottom"/>
            <w:tcBorders>
              <w:bottom w:val="single" w:sz="8" w:color="98A3B8"/>
            </w:tcBorders>
          </w:tcPr>
          <w:p>
            <w:pPr>
              <w:spacing w:after="0"/>
              <w:rPr>
                <w:sz w:val="16"/>
                <w:szCs w:val="16"/>
                <w:color w:val="auto"/>
              </w:rPr>
            </w:pPr>
          </w:p>
        </w:tc>
        <w:tc>
          <w:tcPr>
            <w:tcW w:w="74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4,996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3"/>
        </w:trPr>
        <w:tc>
          <w:tcPr>
            <w:tcW w:w="5740" w:type="dxa"/>
            <w:vAlign w:val="bottom"/>
          </w:tcPr>
          <w:p>
            <w:pPr>
              <w:spacing w:after="0"/>
              <w:rPr>
                <w:sz w:val="20"/>
                <w:szCs w:val="20"/>
                <w:color w:val="auto"/>
              </w:rPr>
            </w:pPr>
            <w:r>
              <w:rPr>
                <w:rFonts w:ascii="Arial" w:cs="Arial" w:eastAsia="Arial" w:hAnsi="Arial"/>
                <w:sz w:val="15"/>
                <w:szCs w:val="15"/>
                <w:color w:val="auto"/>
              </w:rPr>
              <w:t>Gain (loss) on early</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2"/>
        </w:trPr>
        <w:tc>
          <w:tcPr>
            <w:tcW w:w="574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extinguishment of debt</w:t>
            </w:r>
          </w:p>
        </w:tc>
        <w:tc>
          <w:tcPr>
            <w:tcW w:w="100" w:type="dxa"/>
            <w:vAlign w:val="bottom"/>
          </w:tcPr>
          <w:p>
            <w:pPr>
              <w:spacing w:after="0"/>
              <w:rPr>
                <w:sz w:val="16"/>
                <w:szCs w:val="16"/>
                <w:color w:val="auto"/>
              </w:rPr>
            </w:pPr>
          </w:p>
        </w:tc>
        <w:tc>
          <w:tcPr>
            <w:tcW w:w="120" w:type="dxa"/>
            <w:vAlign w:val="bottom"/>
            <w:tcBorders>
              <w:bottom w:val="single" w:sz="8" w:color="98A3B8"/>
            </w:tcBorders>
          </w:tcPr>
          <w:p>
            <w:pPr>
              <w:spacing w:after="0"/>
              <w:rPr>
                <w:sz w:val="16"/>
                <w:szCs w:val="16"/>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(6,978)</w:t>
            </w:r>
          </w:p>
        </w:tc>
        <w:tc>
          <w:tcPr>
            <w:tcW w:w="80" w:type="dxa"/>
            <w:vAlign w:val="bottom"/>
          </w:tcPr>
          <w:p>
            <w:pPr>
              <w:spacing w:after="0"/>
              <w:rPr>
                <w:sz w:val="16"/>
                <w:szCs w:val="16"/>
                <w:color w:val="auto"/>
              </w:rPr>
            </w:pPr>
          </w:p>
        </w:tc>
        <w:tc>
          <w:tcPr>
            <w:tcW w:w="140" w:type="dxa"/>
            <w:vAlign w:val="bottom"/>
            <w:tcBorders>
              <w:bottom w:val="single" w:sz="8" w:color="98A3B8"/>
            </w:tcBorders>
          </w:tcPr>
          <w:p>
            <w:pPr>
              <w:spacing w:after="0"/>
              <w:rPr>
                <w:sz w:val="16"/>
                <w:szCs w:val="16"/>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904</w:t>
            </w:r>
          </w:p>
        </w:tc>
        <w:tc>
          <w:tcPr>
            <w:tcW w:w="80" w:type="dxa"/>
            <w:vAlign w:val="bottom"/>
          </w:tcPr>
          <w:p>
            <w:pPr>
              <w:spacing w:after="0"/>
              <w:rPr>
                <w:sz w:val="16"/>
                <w:szCs w:val="16"/>
                <w:color w:val="auto"/>
              </w:rPr>
            </w:pPr>
          </w:p>
        </w:tc>
        <w:tc>
          <w:tcPr>
            <w:tcW w:w="220" w:type="dxa"/>
            <w:vAlign w:val="bottom"/>
            <w:tcBorders>
              <w:bottom w:val="single" w:sz="8" w:color="98A3B8"/>
            </w:tcBorders>
          </w:tcPr>
          <w:p>
            <w:pPr>
              <w:spacing w:after="0"/>
              <w:rPr>
                <w:sz w:val="16"/>
                <w:szCs w:val="16"/>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200" w:type="dxa"/>
            <w:vAlign w:val="bottom"/>
            <w:tcBorders>
              <w:bottom w:val="single" w:sz="8" w:color="98A3B8"/>
            </w:tcBorders>
          </w:tcPr>
          <w:p>
            <w:pPr>
              <w:spacing w:after="0"/>
              <w:rPr>
                <w:sz w:val="16"/>
                <w:szCs w:val="16"/>
                <w:color w:val="auto"/>
              </w:rPr>
            </w:pPr>
          </w:p>
        </w:tc>
        <w:tc>
          <w:tcPr>
            <w:tcW w:w="74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7"/>
        </w:trPr>
        <w:tc>
          <w:tcPr>
            <w:tcW w:w="5740" w:type="dxa"/>
            <w:vAlign w:val="bottom"/>
          </w:tcPr>
          <w:p>
            <w:pPr>
              <w:spacing w:after="0"/>
              <w:rPr>
                <w:sz w:val="20"/>
                <w:szCs w:val="20"/>
                <w:color w:val="auto"/>
              </w:rPr>
            </w:pPr>
            <w:r>
              <w:rPr>
                <w:rFonts w:ascii="Arial" w:cs="Arial" w:eastAsia="Arial" w:hAnsi="Arial"/>
                <w:sz w:val="15"/>
                <w:szCs w:val="15"/>
                <w:b w:val="1"/>
                <w:bCs w:val="1"/>
                <w:color w:val="auto"/>
              </w:rPr>
              <w:t>Operating income</w:t>
            </w:r>
          </w:p>
        </w:tc>
        <w:tc>
          <w:tcPr>
            <w:tcW w:w="2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834,011</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702,447</w:t>
            </w:r>
          </w:p>
        </w:tc>
        <w:tc>
          <w:tcPr>
            <w:tcW w:w="80" w:type="dxa"/>
            <w:vAlign w:val="bottom"/>
          </w:tcPr>
          <w:p>
            <w:pPr>
              <w:spacing w:after="0"/>
              <w:rPr>
                <w:sz w:val="18"/>
                <w:szCs w:val="18"/>
                <w:color w:val="auto"/>
              </w:rPr>
            </w:pPr>
          </w:p>
        </w:tc>
        <w:tc>
          <w:tcPr>
            <w:tcW w:w="220" w:type="dxa"/>
            <w:vAlign w:val="bottom"/>
          </w:tcPr>
          <w:p>
            <w:pPr>
              <w:jc w:val="right"/>
              <w:ind w:right="46"/>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235,661</w:t>
            </w:r>
          </w:p>
        </w:tc>
        <w:tc>
          <w:tcPr>
            <w:tcW w:w="8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153,723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03"/>
        </w:trPr>
        <w:tc>
          <w:tcPr>
            <w:tcW w:w="5740" w:type="dxa"/>
            <w:vAlign w:val="bottom"/>
            <w:tcBorders>
              <w:top w:val="single" w:sz="8" w:color="98A3B8"/>
            </w:tcBorders>
          </w:tcPr>
          <w:p>
            <w:pPr>
              <w:spacing w:after="0"/>
              <w:rPr>
                <w:sz w:val="20"/>
                <w:szCs w:val="20"/>
                <w:color w:val="auto"/>
              </w:rPr>
            </w:pPr>
            <w:r>
              <w:rPr>
                <w:rFonts w:ascii="Arial" w:cs="Arial" w:eastAsia="Arial" w:hAnsi="Arial"/>
                <w:sz w:val="15"/>
                <w:szCs w:val="15"/>
                <w:color w:val="auto"/>
              </w:rPr>
              <w:t>Marketing, general &amp;</w:t>
            </w:r>
          </w:p>
        </w:tc>
        <w:tc>
          <w:tcPr>
            <w:tcW w:w="100" w:type="dxa"/>
            <w:vAlign w:val="bottom"/>
          </w:tcPr>
          <w:p>
            <w:pPr>
              <w:spacing w:after="0"/>
              <w:rPr>
                <w:sz w:val="17"/>
                <w:szCs w:val="17"/>
                <w:color w:val="auto"/>
              </w:rPr>
            </w:pPr>
          </w:p>
        </w:tc>
        <w:tc>
          <w:tcPr>
            <w:tcW w:w="120" w:type="dxa"/>
            <w:vAlign w:val="bottom"/>
            <w:tcBorders>
              <w:top w:val="single" w:sz="8" w:color="98A3B8"/>
            </w:tcBorders>
          </w:tcPr>
          <w:p>
            <w:pPr>
              <w:spacing w:after="0"/>
              <w:rPr>
                <w:sz w:val="17"/>
                <w:szCs w:val="17"/>
                <w:color w:val="auto"/>
              </w:rPr>
            </w:pPr>
          </w:p>
        </w:tc>
        <w:tc>
          <w:tcPr>
            <w:tcW w:w="720" w:type="dxa"/>
            <w:vAlign w:val="bottom"/>
            <w:tcBorders>
              <w:top w:val="single" w:sz="8" w:color="98A3B8"/>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98A3B8"/>
            </w:tcBorders>
          </w:tcPr>
          <w:p>
            <w:pPr>
              <w:spacing w:after="0"/>
              <w:rPr>
                <w:sz w:val="17"/>
                <w:szCs w:val="17"/>
                <w:color w:val="auto"/>
              </w:rPr>
            </w:pPr>
          </w:p>
        </w:tc>
        <w:tc>
          <w:tcPr>
            <w:tcW w:w="720" w:type="dxa"/>
            <w:vAlign w:val="bottom"/>
            <w:tcBorders>
              <w:top w:val="single" w:sz="8" w:color="98A3B8"/>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98A3B8"/>
            </w:tcBorders>
          </w:tcPr>
          <w:p>
            <w:pPr>
              <w:spacing w:after="0"/>
              <w:rPr>
                <w:sz w:val="17"/>
                <w:szCs w:val="17"/>
                <w:color w:val="auto"/>
              </w:rPr>
            </w:pPr>
          </w:p>
        </w:tc>
        <w:tc>
          <w:tcPr>
            <w:tcW w:w="720" w:type="dxa"/>
            <w:vAlign w:val="bottom"/>
            <w:tcBorders>
              <w:top w:val="single" w:sz="8" w:color="98A3B8"/>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98A3B8"/>
            </w:tcBorders>
          </w:tcPr>
          <w:p>
            <w:pPr>
              <w:spacing w:after="0"/>
              <w:rPr>
                <w:sz w:val="17"/>
                <w:szCs w:val="17"/>
                <w:color w:val="auto"/>
              </w:rPr>
            </w:pPr>
          </w:p>
        </w:tc>
        <w:tc>
          <w:tcPr>
            <w:tcW w:w="740" w:type="dxa"/>
            <w:vAlign w:val="bottom"/>
            <w:tcBorders>
              <w:top w:val="single" w:sz="8" w:color="98A3B8"/>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2"/>
        </w:trPr>
        <w:tc>
          <w:tcPr>
            <w:tcW w:w="5740" w:type="dxa"/>
            <w:vAlign w:val="bottom"/>
          </w:tcPr>
          <w:p>
            <w:pPr>
              <w:spacing w:after="0"/>
              <w:rPr>
                <w:sz w:val="20"/>
                <w:szCs w:val="20"/>
                <w:color w:val="auto"/>
              </w:rPr>
            </w:pPr>
            <w:r>
              <w:rPr>
                <w:rFonts w:ascii="Arial" w:cs="Arial" w:eastAsia="Arial" w:hAnsi="Arial"/>
                <w:sz w:val="15"/>
                <w:szCs w:val="15"/>
                <w:color w:val="auto"/>
              </w:rPr>
              <w:t>administrative expense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82,840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80,103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3"/>
        </w:trPr>
        <w:tc>
          <w:tcPr>
            <w:tcW w:w="5740" w:type="dxa"/>
            <w:vAlign w:val="bottom"/>
            <w:tcBorders>
              <w:top w:val="single" w:sz="8" w:color="98A3B8"/>
            </w:tcBorders>
          </w:tcPr>
          <w:p>
            <w:pPr>
              <w:spacing w:after="0"/>
              <w:rPr>
                <w:sz w:val="20"/>
                <w:szCs w:val="20"/>
                <w:color w:val="auto"/>
              </w:rPr>
            </w:pPr>
            <w:r>
              <w:rPr>
                <w:rFonts w:ascii="Arial" w:cs="Arial" w:eastAsia="Arial" w:hAnsi="Arial"/>
                <w:sz w:val="15"/>
                <w:szCs w:val="15"/>
                <w:color w:val="auto"/>
              </w:rPr>
              <w:t>Net operating income from</w:t>
            </w:r>
          </w:p>
        </w:tc>
        <w:tc>
          <w:tcPr>
            <w:tcW w:w="100" w:type="dxa"/>
            <w:vAlign w:val="bottom"/>
          </w:tcPr>
          <w:p>
            <w:pPr>
              <w:spacing w:after="0"/>
              <w:rPr>
                <w:sz w:val="17"/>
                <w:szCs w:val="17"/>
                <w:color w:val="auto"/>
              </w:rPr>
            </w:pPr>
          </w:p>
        </w:tc>
        <w:tc>
          <w:tcPr>
            <w:tcW w:w="120" w:type="dxa"/>
            <w:vAlign w:val="bottom"/>
            <w:tcBorders>
              <w:top w:val="single" w:sz="8" w:color="98A3B8"/>
            </w:tcBorders>
          </w:tcPr>
          <w:p>
            <w:pPr>
              <w:spacing w:after="0"/>
              <w:rPr>
                <w:sz w:val="17"/>
                <w:szCs w:val="17"/>
                <w:color w:val="auto"/>
              </w:rPr>
            </w:pPr>
          </w:p>
        </w:tc>
        <w:tc>
          <w:tcPr>
            <w:tcW w:w="720" w:type="dxa"/>
            <w:vAlign w:val="bottom"/>
            <w:tcBorders>
              <w:top w:val="single" w:sz="8" w:color="98A3B8"/>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98A3B8"/>
            </w:tcBorders>
          </w:tcPr>
          <w:p>
            <w:pPr>
              <w:spacing w:after="0"/>
              <w:rPr>
                <w:sz w:val="17"/>
                <w:szCs w:val="17"/>
                <w:color w:val="auto"/>
              </w:rPr>
            </w:pPr>
          </w:p>
        </w:tc>
        <w:tc>
          <w:tcPr>
            <w:tcW w:w="720" w:type="dxa"/>
            <w:vAlign w:val="bottom"/>
            <w:tcBorders>
              <w:top w:val="single" w:sz="8" w:color="98A3B8"/>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98A3B8"/>
            </w:tcBorders>
          </w:tcPr>
          <w:p>
            <w:pPr>
              <w:spacing w:after="0"/>
              <w:rPr>
                <w:sz w:val="17"/>
                <w:szCs w:val="17"/>
                <w:color w:val="auto"/>
              </w:rPr>
            </w:pPr>
          </w:p>
        </w:tc>
        <w:tc>
          <w:tcPr>
            <w:tcW w:w="720" w:type="dxa"/>
            <w:vAlign w:val="bottom"/>
            <w:tcBorders>
              <w:top w:val="single" w:sz="8" w:color="98A3B8"/>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98A3B8"/>
            </w:tcBorders>
          </w:tcPr>
          <w:p>
            <w:pPr>
              <w:spacing w:after="0"/>
              <w:rPr>
                <w:sz w:val="17"/>
                <w:szCs w:val="17"/>
                <w:color w:val="auto"/>
              </w:rPr>
            </w:pPr>
          </w:p>
        </w:tc>
        <w:tc>
          <w:tcPr>
            <w:tcW w:w="740" w:type="dxa"/>
            <w:vAlign w:val="bottom"/>
            <w:tcBorders>
              <w:top w:val="single" w:sz="8" w:color="98A3B8"/>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2"/>
        </w:trPr>
        <w:tc>
          <w:tcPr>
            <w:tcW w:w="5740" w:type="dxa"/>
            <w:vAlign w:val="bottom"/>
          </w:tcPr>
          <w:p>
            <w:pPr>
              <w:spacing w:after="0"/>
              <w:rPr>
                <w:sz w:val="20"/>
                <w:szCs w:val="20"/>
                <w:color w:val="auto"/>
              </w:rPr>
            </w:pPr>
            <w:r>
              <w:rPr>
                <w:rFonts w:ascii="Arial" w:cs="Arial" w:eastAsia="Arial" w:hAnsi="Arial"/>
                <w:sz w:val="15"/>
                <w:szCs w:val="15"/>
                <w:color w:val="auto"/>
              </w:rPr>
              <w:t>discontinued operations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1,385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10,878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3"/>
        </w:trPr>
        <w:tc>
          <w:tcPr>
            <w:tcW w:w="5740" w:type="dxa"/>
            <w:vAlign w:val="bottom"/>
            <w:tcBorders>
              <w:top w:val="single" w:sz="8" w:color="98A3B8"/>
            </w:tcBorders>
          </w:tcPr>
          <w:p>
            <w:pPr>
              <w:spacing w:after="0"/>
              <w:rPr>
                <w:sz w:val="20"/>
                <w:szCs w:val="20"/>
                <w:color w:val="auto"/>
              </w:rPr>
            </w:pPr>
            <w:r>
              <w:rPr>
                <w:rFonts w:ascii="Arial" w:cs="Arial" w:eastAsia="Arial" w:hAnsi="Arial"/>
                <w:sz w:val="15"/>
                <w:szCs w:val="15"/>
                <w:color w:val="auto"/>
              </w:rPr>
              <w:t>Loan loss and other investment</w:t>
            </w:r>
          </w:p>
        </w:tc>
        <w:tc>
          <w:tcPr>
            <w:tcW w:w="100" w:type="dxa"/>
            <w:vAlign w:val="bottom"/>
          </w:tcPr>
          <w:p>
            <w:pPr>
              <w:spacing w:after="0"/>
              <w:rPr>
                <w:sz w:val="17"/>
                <w:szCs w:val="17"/>
                <w:color w:val="auto"/>
              </w:rPr>
            </w:pPr>
          </w:p>
        </w:tc>
        <w:tc>
          <w:tcPr>
            <w:tcW w:w="120" w:type="dxa"/>
            <w:vAlign w:val="bottom"/>
            <w:tcBorders>
              <w:top w:val="single" w:sz="8" w:color="98A3B8"/>
            </w:tcBorders>
          </w:tcPr>
          <w:p>
            <w:pPr>
              <w:spacing w:after="0"/>
              <w:rPr>
                <w:sz w:val="17"/>
                <w:szCs w:val="17"/>
                <w:color w:val="auto"/>
              </w:rPr>
            </w:pPr>
          </w:p>
        </w:tc>
        <w:tc>
          <w:tcPr>
            <w:tcW w:w="720" w:type="dxa"/>
            <w:vAlign w:val="bottom"/>
            <w:tcBorders>
              <w:top w:val="single" w:sz="8" w:color="98A3B8"/>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98A3B8"/>
            </w:tcBorders>
          </w:tcPr>
          <w:p>
            <w:pPr>
              <w:spacing w:after="0"/>
              <w:rPr>
                <w:sz w:val="17"/>
                <w:szCs w:val="17"/>
                <w:color w:val="auto"/>
              </w:rPr>
            </w:pPr>
          </w:p>
        </w:tc>
        <w:tc>
          <w:tcPr>
            <w:tcW w:w="720" w:type="dxa"/>
            <w:vAlign w:val="bottom"/>
            <w:tcBorders>
              <w:top w:val="single" w:sz="8" w:color="98A3B8"/>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98A3B8"/>
            </w:tcBorders>
          </w:tcPr>
          <w:p>
            <w:pPr>
              <w:spacing w:after="0"/>
              <w:rPr>
                <w:sz w:val="17"/>
                <w:szCs w:val="17"/>
                <w:color w:val="auto"/>
              </w:rPr>
            </w:pPr>
          </w:p>
        </w:tc>
        <w:tc>
          <w:tcPr>
            <w:tcW w:w="720" w:type="dxa"/>
            <w:vAlign w:val="bottom"/>
            <w:tcBorders>
              <w:top w:val="single" w:sz="8" w:color="98A3B8"/>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98A3B8"/>
            </w:tcBorders>
          </w:tcPr>
          <w:p>
            <w:pPr>
              <w:spacing w:after="0"/>
              <w:rPr>
                <w:sz w:val="17"/>
                <w:szCs w:val="17"/>
                <w:color w:val="auto"/>
              </w:rPr>
            </w:pPr>
          </w:p>
        </w:tc>
        <w:tc>
          <w:tcPr>
            <w:tcW w:w="740" w:type="dxa"/>
            <w:vAlign w:val="bottom"/>
            <w:tcBorders>
              <w:top w:val="single" w:sz="8" w:color="98A3B8"/>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2"/>
        </w:trPr>
        <w:tc>
          <w:tcPr>
            <w:tcW w:w="5740" w:type="dxa"/>
            <w:vAlign w:val="bottom"/>
          </w:tcPr>
          <w:p>
            <w:pPr>
              <w:spacing w:after="0"/>
              <w:rPr>
                <w:sz w:val="20"/>
                <w:szCs w:val="20"/>
                <w:color w:val="auto"/>
              </w:rPr>
            </w:pPr>
            <w:r>
              <w:rPr>
                <w:rFonts w:ascii="Arial" w:cs="Arial" w:eastAsia="Arial" w:hAnsi="Arial"/>
                <w:sz w:val="15"/>
                <w:szCs w:val="15"/>
                <w:color w:val="auto"/>
              </w:rPr>
              <w:t>reserves, net of recoveries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564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6,722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7"/>
        </w:trPr>
        <w:tc>
          <w:tcPr>
            <w:tcW w:w="5740" w:type="dxa"/>
            <w:vAlign w:val="bottom"/>
            <w:tcBorders>
              <w:top w:val="single" w:sz="8" w:color="98A3B8"/>
              <w:bottom w:val="single" w:sz="8" w:color="98A3B8"/>
            </w:tcBorders>
          </w:tcPr>
          <w:p>
            <w:pPr>
              <w:spacing w:after="0"/>
              <w:rPr>
                <w:sz w:val="20"/>
                <w:szCs w:val="20"/>
                <w:color w:val="auto"/>
              </w:rPr>
            </w:pPr>
            <w:r>
              <w:rPr>
                <w:rFonts w:ascii="Arial" w:cs="Arial" w:eastAsia="Arial" w:hAnsi="Arial"/>
                <w:sz w:val="15"/>
                <w:szCs w:val="15"/>
                <w:color w:val="auto"/>
              </w:rPr>
              <w:t>Transaction related costs</w:t>
            </w:r>
          </w:p>
        </w:tc>
        <w:tc>
          <w:tcPr>
            <w:tcW w:w="100" w:type="dxa"/>
            <w:vAlign w:val="bottom"/>
          </w:tcPr>
          <w:p>
            <w:pPr>
              <w:spacing w:after="0"/>
              <w:rPr>
                <w:sz w:val="18"/>
                <w:szCs w:val="18"/>
                <w:color w:val="auto"/>
              </w:rPr>
            </w:pPr>
          </w:p>
        </w:tc>
        <w:tc>
          <w:tcPr>
            <w:tcW w:w="120" w:type="dxa"/>
            <w:vAlign w:val="bottom"/>
            <w:tcBorders>
              <w:top w:val="single" w:sz="8" w:color="98A3B8"/>
              <w:bottom w:val="single" w:sz="8" w:color="98A3B8"/>
            </w:tcBorders>
          </w:tcPr>
          <w:p>
            <w:pPr>
              <w:spacing w:after="0"/>
              <w:rPr>
                <w:sz w:val="18"/>
                <w:szCs w:val="18"/>
                <w:color w:val="auto"/>
              </w:rPr>
            </w:pPr>
          </w:p>
        </w:tc>
        <w:tc>
          <w:tcPr>
            <w:tcW w:w="720" w:type="dxa"/>
            <w:vAlign w:val="bottom"/>
            <w:tcBorders>
              <w:top w:val="single" w:sz="8" w:color="98A3B8"/>
              <w:bottom w:val="single" w:sz="8" w:color="98A3B8"/>
            </w:tcBorders>
          </w:tcPr>
          <w:p>
            <w:pPr>
              <w:jc w:val="right"/>
              <w:spacing w:after="0"/>
              <w:rPr>
                <w:sz w:val="20"/>
                <w:szCs w:val="20"/>
                <w:color w:val="auto"/>
              </w:rPr>
            </w:pPr>
            <w:r>
              <w:rPr>
                <w:rFonts w:ascii="Arial" w:cs="Arial" w:eastAsia="Arial" w:hAnsi="Arial"/>
                <w:sz w:val="15"/>
                <w:szCs w:val="15"/>
                <w:color w:val="auto"/>
              </w:rPr>
              <w:t>5,625</w:t>
            </w:r>
          </w:p>
        </w:tc>
        <w:tc>
          <w:tcPr>
            <w:tcW w:w="80" w:type="dxa"/>
            <w:vAlign w:val="bottom"/>
          </w:tcPr>
          <w:p>
            <w:pPr>
              <w:spacing w:after="0"/>
              <w:rPr>
                <w:sz w:val="18"/>
                <w:szCs w:val="18"/>
                <w:color w:val="auto"/>
              </w:rPr>
            </w:pPr>
          </w:p>
        </w:tc>
        <w:tc>
          <w:tcPr>
            <w:tcW w:w="140" w:type="dxa"/>
            <w:vAlign w:val="bottom"/>
            <w:tcBorders>
              <w:top w:val="single" w:sz="8" w:color="98A3B8"/>
              <w:bottom w:val="single" w:sz="8" w:color="98A3B8"/>
            </w:tcBorders>
          </w:tcPr>
          <w:p>
            <w:pPr>
              <w:spacing w:after="0"/>
              <w:rPr>
                <w:sz w:val="18"/>
                <w:szCs w:val="18"/>
                <w:color w:val="auto"/>
              </w:rPr>
            </w:pPr>
          </w:p>
        </w:tc>
        <w:tc>
          <w:tcPr>
            <w:tcW w:w="720" w:type="dxa"/>
            <w:vAlign w:val="bottom"/>
            <w:tcBorders>
              <w:top w:val="single" w:sz="8" w:color="98A3B8"/>
              <w:bottom w:val="single" w:sz="8" w:color="98A3B8"/>
            </w:tcBorders>
          </w:tcPr>
          <w:p>
            <w:pPr>
              <w:jc w:val="right"/>
              <w:spacing w:after="0"/>
              <w:rPr>
                <w:sz w:val="20"/>
                <w:szCs w:val="20"/>
                <w:color w:val="auto"/>
              </w:rPr>
            </w:pPr>
            <w:r>
              <w:rPr>
                <w:rFonts w:ascii="Arial" w:cs="Arial" w:eastAsia="Arial" w:hAnsi="Arial"/>
                <w:sz w:val="15"/>
                <w:szCs w:val="15"/>
                <w:color w:val="auto"/>
              </w:rPr>
              <w:t>5,561</w:t>
            </w:r>
          </w:p>
        </w:tc>
        <w:tc>
          <w:tcPr>
            <w:tcW w:w="80" w:type="dxa"/>
            <w:vAlign w:val="bottom"/>
          </w:tcPr>
          <w:p>
            <w:pPr>
              <w:spacing w:after="0"/>
              <w:rPr>
                <w:sz w:val="18"/>
                <w:szCs w:val="18"/>
                <w:color w:val="auto"/>
              </w:rPr>
            </w:pPr>
          </w:p>
        </w:tc>
        <w:tc>
          <w:tcPr>
            <w:tcW w:w="220" w:type="dxa"/>
            <w:vAlign w:val="bottom"/>
            <w:tcBorders>
              <w:top w:val="single" w:sz="8" w:color="98A3B8"/>
              <w:bottom w:val="single" w:sz="8" w:color="98A3B8"/>
            </w:tcBorders>
          </w:tcPr>
          <w:p>
            <w:pPr>
              <w:spacing w:after="0"/>
              <w:rPr>
                <w:sz w:val="18"/>
                <w:szCs w:val="18"/>
                <w:color w:val="auto"/>
              </w:rPr>
            </w:pPr>
          </w:p>
        </w:tc>
        <w:tc>
          <w:tcPr>
            <w:tcW w:w="720" w:type="dxa"/>
            <w:vAlign w:val="bottom"/>
            <w:tcBorders>
              <w:top w:val="single" w:sz="8" w:color="98A3B8"/>
              <w:bottom w:val="single" w:sz="8" w:color="98A3B8"/>
            </w:tcBorders>
          </w:tcPr>
          <w:p>
            <w:pPr>
              <w:jc w:val="right"/>
              <w:spacing w:after="0"/>
              <w:rPr>
                <w:sz w:val="20"/>
                <w:szCs w:val="20"/>
                <w:color w:val="auto"/>
              </w:rPr>
            </w:pPr>
            <w:r>
              <w:rPr>
                <w:rFonts w:ascii="Arial" w:cs="Arial" w:eastAsia="Arial" w:hAnsi="Arial"/>
                <w:sz w:val="15"/>
                <w:szCs w:val="15"/>
                <w:color w:val="auto"/>
              </w:rPr>
              <w:t>960</w:t>
            </w:r>
          </w:p>
        </w:tc>
        <w:tc>
          <w:tcPr>
            <w:tcW w:w="80" w:type="dxa"/>
            <w:vAlign w:val="bottom"/>
          </w:tcPr>
          <w:p>
            <w:pPr>
              <w:spacing w:after="0"/>
              <w:rPr>
                <w:sz w:val="18"/>
                <w:szCs w:val="18"/>
                <w:color w:val="auto"/>
              </w:rPr>
            </w:pPr>
          </w:p>
        </w:tc>
        <w:tc>
          <w:tcPr>
            <w:tcW w:w="200" w:type="dxa"/>
            <w:vAlign w:val="bottom"/>
            <w:tcBorders>
              <w:top w:val="single" w:sz="8" w:color="98A3B8"/>
              <w:bottom w:val="single" w:sz="8" w:color="98A3B8"/>
            </w:tcBorders>
          </w:tcPr>
          <w:p>
            <w:pPr>
              <w:spacing w:after="0"/>
              <w:rPr>
                <w:sz w:val="18"/>
                <w:szCs w:val="18"/>
                <w:color w:val="auto"/>
              </w:rPr>
            </w:pPr>
          </w:p>
        </w:tc>
        <w:tc>
          <w:tcPr>
            <w:tcW w:w="740" w:type="dxa"/>
            <w:vAlign w:val="bottom"/>
            <w:tcBorders>
              <w:top w:val="single" w:sz="8" w:color="98A3B8"/>
              <w:bottom w:val="single" w:sz="8" w:color="98A3B8"/>
            </w:tcBorders>
          </w:tcPr>
          <w:p>
            <w:pPr>
              <w:jc w:val="right"/>
              <w:spacing w:after="0"/>
              <w:rPr>
                <w:sz w:val="20"/>
                <w:szCs w:val="20"/>
                <w:color w:val="auto"/>
              </w:rPr>
            </w:pPr>
            <w:r>
              <w:rPr>
                <w:rFonts w:ascii="Arial" w:cs="Arial" w:eastAsia="Arial" w:hAnsi="Arial"/>
                <w:sz w:val="15"/>
                <w:szCs w:val="15"/>
                <w:color w:val="auto"/>
              </w:rPr>
              <w:t>1,173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7"/>
        </w:trPr>
        <w:tc>
          <w:tcPr>
            <w:tcW w:w="574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Non-building revenue</w:t>
            </w:r>
          </w:p>
        </w:tc>
        <w:tc>
          <w:tcPr>
            <w:tcW w:w="100" w:type="dxa"/>
            <w:vAlign w:val="bottom"/>
          </w:tcPr>
          <w:p>
            <w:pPr>
              <w:spacing w:after="0"/>
              <w:rPr>
                <w:sz w:val="18"/>
                <w:szCs w:val="18"/>
                <w:color w:val="auto"/>
              </w:rPr>
            </w:pPr>
          </w:p>
        </w:tc>
        <w:tc>
          <w:tcPr>
            <w:tcW w:w="120" w:type="dxa"/>
            <w:vAlign w:val="bottom"/>
            <w:tcBorders>
              <w:bottom w:val="single" w:sz="8" w:color="98A3B8"/>
            </w:tcBorders>
          </w:tcPr>
          <w:p>
            <w:pPr>
              <w:spacing w:after="0"/>
              <w:rPr>
                <w:sz w:val="18"/>
                <w:szCs w:val="18"/>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(134,392)</w:t>
            </w:r>
          </w:p>
        </w:tc>
        <w:tc>
          <w:tcPr>
            <w:tcW w:w="8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(135,987)</w:t>
            </w:r>
          </w:p>
        </w:tc>
        <w:tc>
          <w:tcPr>
            <w:tcW w:w="80" w:type="dxa"/>
            <w:vAlign w:val="bottom"/>
          </w:tcPr>
          <w:p>
            <w:pPr>
              <w:spacing w:after="0"/>
              <w:rPr>
                <w:sz w:val="18"/>
                <w:szCs w:val="18"/>
                <w:color w:val="auto"/>
              </w:rPr>
            </w:pPr>
          </w:p>
        </w:tc>
        <w:tc>
          <w:tcPr>
            <w:tcW w:w="220" w:type="dxa"/>
            <w:vAlign w:val="bottom"/>
            <w:tcBorders>
              <w:bottom w:val="single" w:sz="8" w:color="98A3B8"/>
            </w:tcBorders>
          </w:tcPr>
          <w:p>
            <w:pPr>
              <w:spacing w:after="0"/>
              <w:rPr>
                <w:sz w:val="18"/>
                <w:szCs w:val="18"/>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(93,144)</w:t>
            </w:r>
          </w:p>
        </w:tc>
        <w:tc>
          <w:tcPr>
            <w:tcW w:w="80" w:type="dxa"/>
            <w:vAlign w:val="bottom"/>
          </w:tcPr>
          <w:p>
            <w:pPr>
              <w:spacing w:after="0"/>
              <w:rPr>
                <w:sz w:val="18"/>
                <w:szCs w:val="18"/>
                <w:color w:val="auto"/>
              </w:rPr>
            </w:pPr>
          </w:p>
        </w:tc>
        <w:tc>
          <w:tcPr>
            <w:tcW w:w="200" w:type="dxa"/>
            <w:vAlign w:val="bottom"/>
            <w:tcBorders>
              <w:bottom w:val="single" w:sz="8" w:color="98A3B8"/>
            </w:tcBorders>
          </w:tcPr>
          <w:p>
            <w:pPr>
              <w:spacing w:after="0"/>
              <w:rPr>
                <w:sz w:val="18"/>
                <w:szCs w:val="18"/>
                <w:color w:val="auto"/>
              </w:rPr>
            </w:pPr>
          </w:p>
        </w:tc>
        <w:tc>
          <w:tcPr>
            <w:tcW w:w="74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(12,346)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03"/>
        </w:trPr>
        <w:tc>
          <w:tcPr>
            <w:tcW w:w="5740" w:type="dxa"/>
            <w:vAlign w:val="bottom"/>
          </w:tcPr>
          <w:p>
            <w:pPr>
              <w:spacing w:after="0"/>
              <w:rPr>
                <w:sz w:val="20"/>
                <w:szCs w:val="20"/>
                <w:color w:val="auto"/>
              </w:rPr>
            </w:pPr>
            <w:r>
              <w:rPr>
                <w:rFonts w:ascii="Arial" w:cs="Arial" w:eastAsia="Arial" w:hAnsi="Arial"/>
                <w:sz w:val="15"/>
                <w:szCs w:val="15"/>
                <w:color w:val="auto"/>
              </w:rPr>
              <w:t>Equity in net income from</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2"/>
        </w:trPr>
        <w:tc>
          <w:tcPr>
            <w:tcW w:w="5740" w:type="dxa"/>
            <w:vAlign w:val="bottom"/>
          </w:tcPr>
          <w:p>
            <w:pPr>
              <w:spacing w:after="0"/>
              <w:rPr>
                <w:sz w:val="20"/>
                <w:szCs w:val="20"/>
                <w:color w:val="auto"/>
              </w:rPr>
            </w:pPr>
            <w:r>
              <w:rPr>
                <w:rFonts w:ascii="Arial" w:cs="Arial" w:eastAsia="Arial" w:hAnsi="Arial"/>
                <w:sz w:val="15"/>
                <w:szCs w:val="15"/>
                <w:color w:val="auto"/>
              </w:rPr>
              <w:t>joint ventures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(76,418)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(1,583)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3"/>
        </w:trPr>
        <w:tc>
          <w:tcPr>
            <w:tcW w:w="5740" w:type="dxa"/>
            <w:vAlign w:val="bottom"/>
            <w:tcBorders>
              <w:top w:val="single" w:sz="8" w:color="98A3B8"/>
            </w:tcBorders>
          </w:tcPr>
          <w:p>
            <w:pPr>
              <w:spacing w:after="0"/>
              <w:rPr>
                <w:sz w:val="20"/>
                <w:szCs w:val="20"/>
                <w:color w:val="auto"/>
              </w:rPr>
            </w:pPr>
            <w:r>
              <w:rPr>
                <w:rFonts w:ascii="Arial" w:cs="Arial" w:eastAsia="Arial" w:hAnsi="Arial"/>
                <w:sz w:val="15"/>
                <w:szCs w:val="15"/>
                <w:color w:val="auto"/>
              </w:rPr>
              <w:t>(Gain) loss on early</w:t>
            </w:r>
          </w:p>
        </w:tc>
        <w:tc>
          <w:tcPr>
            <w:tcW w:w="100" w:type="dxa"/>
            <w:vAlign w:val="bottom"/>
          </w:tcPr>
          <w:p>
            <w:pPr>
              <w:spacing w:after="0"/>
              <w:rPr>
                <w:sz w:val="17"/>
                <w:szCs w:val="17"/>
                <w:color w:val="auto"/>
              </w:rPr>
            </w:pPr>
          </w:p>
        </w:tc>
        <w:tc>
          <w:tcPr>
            <w:tcW w:w="120" w:type="dxa"/>
            <w:vAlign w:val="bottom"/>
            <w:tcBorders>
              <w:top w:val="single" w:sz="8" w:color="98A3B8"/>
            </w:tcBorders>
          </w:tcPr>
          <w:p>
            <w:pPr>
              <w:spacing w:after="0"/>
              <w:rPr>
                <w:sz w:val="17"/>
                <w:szCs w:val="17"/>
                <w:color w:val="auto"/>
              </w:rPr>
            </w:pPr>
          </w:p>
        </w:tc>
        <w:tc>
          <w:tcPr>
            <w:tcW w:w="720" w:type="dxa"/>
            <w:vAlign w:val="bottom"/>
            <w:tcBorders>
              <w:top w:val="single" w:sz="8" w:color="98A3B8"/>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98A3B8"/>
            </w:tcBorders>
          </w:tcPr>
          <w:p>
            <w:pPr>
              <w:spacing w:after="0"/>
              <w:rPr>
                <w:sz w:val="17"/>
                <w:szCs w:val="17"/>
                <w:color w:val="auto"/>
              </w:rPr>
            </w:pPr>
          </w:p>
        </w:tc>
        <w:tc>
          <w:tcPr>
            <w:tcW w:w="720" w:type="dxa"/>
            <w:vAlign w:val="bottom"/>
            <w:tcBorders>
              <w:top w:val="single" w:sz="8" w:color="98A3B8"/>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98A3B8"/>
            </w:tcBorders>
          </w:tcPr>
          <w:p>
            <w:pPr>
              <w:spacing w:after="0"/>
              <w:rPr>
                <w:sz w:val="17"/>
                <w:szCs w:val="17"/>
                <w:color w:val="auto"/>
              </w:rPr>
            </w:pPr>
          </w:p>
        </w:tc>
        <w:tc>
          <w:tcPr>
            <w:tcW w:w="720" w:type="dxa"/>
            <w:vAlign w:val="bottom"/>
            <w:tcBorders>
              <w:top w:val="single" w:sz="8" w:color="98A3B8"/>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98A3B8"/>
            </w:tcBorders>
          </w:tcPr>
          <w:p>
            <w:pPr>
              <w:spacing w:after="0"/>
              <w:rPr>
                <w:sz w:val="17"/>
                <w:szCs w:val="17"/>
                <w:color w:val="auto"/>
              </w:rPr>
            </w:pPr>
          </w:p>
        </w:tc>
        <w:tc>
          <w:tcPr>
            <w:tcW w:w="740" w:type="dxa"/>
            <w:vAlign w:val="bottom"/>
            <w:tcBorders>
              <w:top w:val="single" w:sz="8" w:color="98A3B8"/>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2"/>
        </w:trPr>
        <w:tc>
          <w:tcPr>
            <w:tcW w:w="574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extinguishment of debt</w:t>
            </w:r>
          </w:p>
        </w:tc>
        <w:tc>
          <w:tcPr>
            <w:tcW w:w="100" w:type="dxa"/>
            <w:vAlign w:val="bottom"/>
          </w:tcPr>
          <w:p>
            <w:pPr>
              <w:spacing w:after="0"/>
              <w:rPr>
                <w:sz w:val="16"/>
                <w:szCs w:val="16"/>
                <w:color w:val="auto"/>
              </w:rPr>
            </w:pPr>
          </w:p>
        </w:tc>
        <w:tc>
          <w:tcPr>
            <w:tcW w:w="120" w:type="dxa"/>
            <w:vAlign w:val="bottom"/>
            <w:tcBorders>
              <w:bottom w:val="single" w:sz="8" w:color="98A3B8"/>
            </w:tcBorders>
          </w:tcPr>
          <w:p>
            <w:pPr>
              <w:spacing w:after="0"/>
              <w:rPr>
                <w:sz w:val="16"/>
                <w:szCs w:val="16"/>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6,978</w:t>
            </w:r>
          </w:p>
        </w:tc>
        <w:tc>
          <w:tcPr>
            <w:tcW w:w="80" w:type="dxa"/>
            <w:vAlign w:val="bottom"/>
          </w:tcPr>
          <w:p>
            <w:pPr>
              <w:spacing w:after="0"/>
              <w:rPr>
                <w:sz w:val="16"/>
                <w:szCs w:val="16"/>
                <w:color w:val="auto"/>
              </w:rPr>
            </w:pPr>
          </w:p>
        </w:tc>
        <w:tc>
          <w:tcPr>
            <w:tcW w:w="140" w:type="dxa"/>
            <w:vAlign w:val="bottom"/>
            <w:tcBorders>
              <w:bottom w:val="single" w:sz="8" w:color="98A3B8"/>
            </w:tcBorders>
          </w:tcPr>
          <w:p>
            <w:pPr>
              <w:spacing w:after="0"/>
              <w:rPr>
                <w:sz w:val="16"/>
                <w:szCs w:val="16"/>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(904)</w:t>
            </w:r>
          </w:p>
        </w:tc>
        <w:tc>
          <w:tcPr>
            <w:tcW w:w="80" w:type="dxa"/>
            <w:vAlign w:val="bottom"/>
          </w:tcPr>
          <w:p>
            <w:pPr>
              <w:spacing w:after="0"/>
              <w:rPr>
                <w:sz w:val="16"/>
                <w:szCs w:val="16"/>
                <w:color w:val="auto"/>
              </w:rPr>
            </w:pPr>
          </w:p>
        </w:tc>
        <w:tc>
          <w:tcPr>
            <w:tcW w:w="220" w:type="dxa"/>
            <w:vAlign w:val="bottom"/>
            <w:tcBorders>
              <w:bottom w:val="single" w:sz="8" w:color="98A3B8"/>
            </w:tcBorders>
          </w:tcPr>
          <w:p>
            <w:pPr>
              <w:spacing w:after="0"/>
              <w:rPr>
                <w:sz w:val="16"/>
                <w:szCs w:val="16"/>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(10,711)</w:t>
            </w:r>
          </w:p>
        </w:tc>
        <w:tc>
          <w:tcPr>
            <w:tcW w:w="80" w:type="dxa"/>
            <w:vAlign w:val="bottom"/>
          </w:tcPr>
          <w:p>
            <w:pPr>
              <w:spacing w:after="0"/>
              <w:rPr>
                <w:sz w:val="16"/>
                <w:szCs w:val="16"/>
                <w:color w:val="auto"/>
              </w:rPr>
            </w:pPr>
          </w:p>
        </w:tc>
        <w:tc>
          <w:tcPr>
            <w:tcW w:w="200" w:type="dxa"/>
            <w:vAlign w:val="bottom"/>
            <w:tcBorders>
              <w:bottom w:val="single" w:sz="8" w:color="98A3B8"/>
            </w:tcBorders>
          </w:tcPr>
          <w:p>
            <w:pPr>
              <w:spacing w:after="0"/>
              <w:rPr>
                <w:sz w:val="16"/>
                <w:szCs w:val="16"/>
                <w:color w:val="auto"/>
              </w:rPr>
            </w:pPr>
          </w:p>
        </w:tc>
        <w:tc>
          <w:tcPr>
            <w:tcW w:w="74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98A3B8"/>
            </w:tcBorders>
          </w:tcPr>
          <w:p>
            <w:pPr>
              <w:spacing w:after="0"/>
              <w:rPr>
                <w:sz w:val="16"/>
                <w:szCs w:val="16"/>
                <w:color w:val="auto"/>
              </w:rPr>
            </w:pPr>
          </w:p>
        </w:tc>
        <w:tc>
          <w:tcPr>
            <w:tcW w:w="680" w:type="dxa"/>
            <w:vAlign w:val="bottom"/>
            <w:tcBorders>
              <w:bottom w:val="single" w:sz="8" w:color="98A3B8"/>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98A3B8"/>
            </w:tcBorders>
          </w:tcPr>
          <w:p>
            <w:pPr>
              <w:spacing w:after="0"/>
              <w:rPr>
                <w:sz w:val="16"/>
                <w:szCs w:val="16"/>
                <w:color w:val="auto"/>
              </w:rPr>
            </w:pPr>
          </w:p>
        </w:tc>
        <w:tc>
          <w:tcPr>
            <w:tcW w:w="680" w:type="dxa"/>
            <w:vAlign w:val="bottom"/>
            <w:tcBorders>
              <w:bottom w:val="single" w:sz="8" w:color="98A3B8"/>
            </w:tcBorders>
          </w:tcPr>
          <w:p>
            <w:pPr>
              <w:spacing w:after="0"/>
              <w:rPr>
                <w:sz w:val="16"/>
                <w:szCs w:val="16"/>
                <w:color w:val="auto"/>
              </w:rPr>
            </w:pPr>
          </w:p>
        </w:tc>
      </w:tr>
      <w:tr>
        <w:trPr>
          <w:trHeight w:val="217"/>
        </w:trPr>
        <w:tc>
          <w:tcPr>
            <w:tcW w:w="5740" w:type="dxa"/>
            <w:vAlign w:val="bottom"/>
          </w:tcPr>
          <w:p>
            <w:pPr>
              <w:spacing w:after="0"/>
              <w:rPr>
                <w:sz w:val="20"/>
                <w:szCs w:val="20"/>
                <w:color w:val="auto"/>
              </w:rPr>
            </w:pPr>
            <w:r>
              <w:rPr>
                <w:rFonts w:ascii="Arial" w:cs="Arial" w:eastAsia="Arial" w:hAnsi="Arial"/>
                <w:sz w:val="15"/>
                <w:szCs w:val="15"/>
                <w:b w:val="1"/>
                <w:bCs w:val="1"/>
                <w:color w:val="auto"/>
              </w:rPr>
              <w:t>Net operating income (NOI)</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720,593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667,237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132,766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142,550</w:t>
            </w:r>
          </w:p>
        </w:tc>
        <w:tc>
          <w:tcPr>
            <w:tcW w:w="4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853,359</w:t>
            </w:r>
          </w:p>
        </w:tc>
        <w:tc>
          <w:tcPr>
            <w:tcW w:w="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809,787</w:t>
            </w:r>
          </w:p>
        </w:tc>
      </w:tr>
      <w:tr>
        <w:trPr>
          <w:trHeight w:val="203"/>
        </w:trPr>
        <w:tc>
          <w:tcPr>
            <w:tcW w:w="5740" w:type="dxa"/>
            <w:vAlign w:val="bottom"/>
            <w:tcBorders>
              <w:top w:val="single" w:sz="8" w:color="98A3B8"/>
            </w:tcBorders>
          </w:tcPr>
          <w:p>
            <w:pPr>
              <w:spacing w:after="0"/>
              <w:rPr>
                <w:sz w:val="20"/>
                <w:szCs w:val="20"/>
                <w:color w:val="auto"/>
              </w:rPr>
            </w:pPr>
            <w:r>
              <w:rPr>
                <w:rFonts w:ascii="Arial" w:cs="Arial" w:eastAsia="Arial" w:hAnsi="Arial"/>
                <w:sz w:val="15"/>
                <w:szCs w:val="15"/>
                <w:color w:val="auto"/>
              </w:rPr>
              <w:t>Net operating income from</w:t>
            </w:r>
          </w:p>
        </w:tc>
        <w:tc>
          <w:tcPr>
            <w:tcW w:w="100" w:type="dxa"/>
            <w:vAlign w:val="bottom"/>
          </w:tcPr>
          <w:p>
            <w:pPr>
              <w:spacing w:after="0"/>
              <w:rPr>
                <w:sz w:val="17"/>
                <w:szCs w:val="17"/>
                <w:color w:val="auto"/>
              </w:rPr>
            </w:pPr>
          </w:p>
        </w:tc>
        <w:tc>
          <w:tcPr>
            <w:tcW w:w="120" w:type="dxa"/>
            <w:vAlign w:val="bottom"/>
            <w:tcBorders>
              <w:top w:val="single" w:sz="8" w:color="98A3B8"/>
            </w:tcBorders>
          </w:tcPr>
          <w:p>
            <w:pPr>
              <w:spacing w:after="0"/>
              <w:rPr>
                <w:sz w:val="17"/>
                <w:szCs w:val="17"/>
                <w:color w:val="auto"/>
              </w:rPr>
            </w:pPr>
          </w:p>
        </w:tc>
        <w:tc>
          <w:tcPr>
            <w:tcW w:w="720" w:type="dxa"/>
            <w:vAlign w:val="bottom"/>
            <w:tcBorders>
              <w:top w:val="single" w:sz="8" w:color="98A3B8"/>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98A3B8"/>
            </w:tcBorders>
          </w:tcPr>
          <w:p>
            <w:pPr>
              <w:spacing w:after="0"/>
              <w:rPr>
                <w:sz w:val="17"/>
                <w:szCs w:val="17"/>
                <w:color w:val="auto"/>
              </w:rPr>
            </w:pPr>
          </w:p>
        </w:tc>
        <w:tc>
          <w:tcPr>
            <w:tcW w:w="720" w:type="dxa"/>
            <w:vAlign w:val="bottom"/>
            <w:tcBorders>
              <w:top w:val="single" w:sz="8" w:color="98A3B8"/>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98A3B8"/>
            </w:tcBorders>
          </w:tcPr>
          <w:p>
            <w:pPr>
              <w:spacing w:after="0"/>
              <w:rPr>
                <w:sz w:val="17"/>
                <w:szCs w:val="17"/>
                <w:color w:val="auto"/>
              </w:rPr>
            </w:pPr>
          </w:p>
        </w:tc>
        <w:tc>
          <w:tcPr>
            <w:tcW w:w="720" w:type="dxa"/>
            <w:vAlign w:val="bottom"/>
            <w:tcBorders>
              <w:top w:val="single" w:sz="8" w:color="98A3B8"/>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98A3B8"/>
            </w:tcBorders>
          </w:tcPr>
          <w:p>
            <w:pPr>
              <w:spacing w:after="0"/>
              <w:rPr>
                <w:sz w:val="17"/>
                <w:szCs w:val="17"/>
                <w:color w:val="auto"/>
              </w:rPr>
            </w:pPr>
          </w:p>
        </w:tc>
        <w:tc>
          <w:tcPr>
            <w:tcW w:w="740" w:type="dxa"/>
            <w:vAlign w:val="bottom"/>
            <w:tcBorders>
              <w:top w:val="single" w:sz="8" w:color="98A3B8"/>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98A3B8"/>
            </w:tcBorders>
          </w:tcPr>
          <w:p>
            <w:pPr>
              <w:spacing w:after="0"/>
              <w:rPr>
                <w:sz w:val="17"/>
                <w:szCs w:val="17"/>
                <w:color w:val="auto"/>
              </w:rPr>
            </w:pPr>
          </w:p>
        </w:tc>
        <w:tc>
          <w:tcPr>
            <w:tcW w:w="680" w:type="dxa"/>
            <w:vAlign w:val="bottom"/>
            <w:tcBorders>
              <w:top w:val="single" w:sz="8" w:color="98A3B8"/>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98A3B8"/>
            </w:tcBorders>
          </w:tcPr>
          <w:p>
            <w:pPr>
              <w:spacing w:after="0"/>
              <w:rPr>
                <w:sz w:val="17"/>
                <w:szCs w:val="17"/>
                <w:color w:val="auto"/>
              </w:rPr>
            </w:pPr>
          </w:p>
        </w:tc>
        <w:tc>
          <w:tcPr>
            <w:tcW w:w="680" w:type="dxa"/>
            <w:vAlign w:val="bottom"/>
            <w:tcBorders>
              <w:top w:val="single" w:sz="8" w:color="98A3B8"/>
            </w:tcBorders>
          </w:tcPr>
          <w:p>
            <w:pPr>
              <w:spacing w:after="0"/>
              <w:rPr>
                <w:sz w:val="17"/>
                <w:szCs w:val="17"/>
                <w:color w:val="auto"/>
              </w:rPr>
            </w:pPr>
          </w:p>
        </w:tc>
      </w:tr>
      <w:tr>
        <w:trPr>
          <w:trHeight w:val="192"/>
        </w:trPr>
        <w:tc>
          <w:tcPr>
            <w:tcW w:w="5740" w:type="dxa"/>
            <w:vAlign w:val="bottom"/>
          </w:tcPr>
          <w:p>
            <w:pPr>
              <w:spacing w:after="0"/>
              <w:rPr>
                <w:sz w:val="20"/>
                <w:szCs w:val="20"/>
                <w:color w:val="auto"/>
              </w:rPr>
            </w:pPr>
            <w:r>
              <w:rPr>
                <w:rFonts w:ascii="Arial" w:cs="Arial" w:eastAsia="Arial" w:hAnsi="Arial"/>
                <w:sz w:val="15"/>
                <w:szCs w:val="15"/>
                <w:color w:val="auto"/>
              </w:rPr>
              <w:t>discontinued operations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(1,385)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(10,878)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(1,385)</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(10,878)</w:t>
            </w:r>
          </w:p>
        </w:tc>
      </w:tr>
      <w:tr>
        <w:trPr>
          <w:trHeight w:val="217"/>
        </w:trPr>
        <w:tc>
          <w:tcPr>
            <w:tcW w:w="5740" w:type="dxa"/>
            <w:vAlign w:val="bottom"/>
            <w:tcBorders>
              <w:top w:val="single" w:sz="8" w:color="98A3B8"/>
              <w:bottom w:val="single" w:sz="8" w:color="98A3B8"/>
            </w:tcBorders>
          </w:tcPr>
          <w:p>
            <w:pPr>
              <w:spacing w:after="0"/>
              <w:rPr>
                <w:sz w:val="20"/>
                <w:szCs w:val="20"/>
                <w:color w:val="auto"/>
              </w:rPr>
            </w:pPr>
            <w:r>
              <w:rPr>
                <w:rFonts w:ascii="Arial" w:cs="Arial" w:eastAsia="Arial" w:hAnsi="Arial"/>
                <w:sz w:val="15"/>
                <w:szCs w:val="15"/>
                <w:color w:val="auto"/>
              </w:rPr>
              <w:t>NOI from other properties/affiliates</w:t>
            </w:r>
          </w:p>
        </w:tc>
        <w:tc>
          <w:tcPr>
            <w:tcW w:w="100" w:type="dxa"/>
            <w:vAlign w:val="bottom"/>
          </w:tcPr>
          <w:p>
            <w:pPr>
              <w:spacing w:after="0"/>
              <w:rPr>
                <w:sz w:val="18"/>
                <w:szCs w:val="18"/>
                <w:color w:val="auto"/>
              </w:rPr>
            </w:pPr>
          </w:p>
        </w:tc>
        <w:tc>
          <w:tcPr>
            <w:tcW w:w="120" w:type="dxa"/>
            <w:vAlign w:val="bottom"/>
            <w:tcBorders>
              <w:top w:val="single" w:sz="8" w:color="98A3B8"/>
              <w:bottom w:val="single" w:sz="8" w:color="98A3B8"/>
            </w:tcBorders>
          </w:tcPr>
          <w:p>
            <w:pPr>
              <w:spacing w:after="0"/>
              <w:rPr>
                <w:sz w:val="18"/>
                <w:szCs w:val="18"/>
                <w:color w:val="auto"/>
              </w:rPr>
            </w:pPr>
          </w:p>
        </w:tc>
        <w:tc>
          <w:tcPr>
            <w:tcW w:w="720" w:type="dxa"/>
            <w:vAlign w:val="bottom"/>
            <w:tcBorders>
              <w:top w:val="single" w:sz="8" w:color="98A3B8"/>
              <w:bottom w:val="single" w:sz="8" w:color="98A3B8"/>
            </w:tcBorders>
          </w:tcPr>
          <w:p>
            <w:pPr>
              <w:jc w:val="right"/>
              <w:spacing w:after="0"/>
              <w:rPr>
                <w:sz w:val="20"/>
                <w:szCs w:val="20"/>
                <w:color w:val="auto"/>
              </w:rPr>
            </w:pPr>
            <w:r>
              <w:rPr>
                <w:rFonts w:ascii="Arial" w:cs="Arial" w:eastAsia="Arial" w:hAnsi="Arial"/>
                <w:sz w:val="15"/>
                <w:szCs w:val="15"/>
                <w:color w:val="auto"/>
              </w:rPr>
              <w:t>(69,006)</w:t>
            </w:r>
          </w:p>
        </w:tc>
        <w:tc>
          <w:tcPr>
            <w:tcW w:w="80" w:type="dxa"/>
            <w:vAlign w:val="bottom"/>
          </w:tcPr>
          <w:p>
            <w:pPr>
              <w:spacing w:after="0"/>
              <w:rPr>
                <w:sz w:val="18"/>
                <w:szCs w:val="18"/>
                <w:color w:val="auto"/>
              </w:rPr>
            </w:pPr>
          </w:p>
        </w:tc>
        <w:tc>
          <w:tcPr>
            <w:tcW w:w="140" w:type="dxa"/>
            <w:vAlign w:val="bottom"/>
            <w:tcBorders>
              <w:top w:val="single" w:sz="8" w:color="98A3B8"/>
              <w:bottom w:val="single" w:sz="8" w:color="98A3B8"/>
            </w:tcBorders>
          </w:tcPr>
          <w:p>
            <w:pPr>
              <w:spacing w:after="0"/>
              <w:rPr>
                <w:sz w:val="18"/>
                <w:szCs w:val="18"/>
                <w:color w:val="auto"/>
              </w:rPr>
            </w:pPr>
          </w:p>
        </w:tc>
        <w:tc>
          <w:tcPr>
            <w:tcW w:w="720" w:type="dxa"/>
            <w:vAlign w:val="bottom"/>
            <w:tcBorders>
              <w:top w:val="single" w:sz="8" w:color="98A3B8"/>
              <w:bottom w:val="single" w:sz="8" w:color="98A3B8"/>
            </w:tcBorders>
          </w:tcPr>
          <w:p>
            <w:pPr>
              <w:jc w:val="right"/>
              <w:spacing w:after="0"/>
              <w:rPr>
                <w:sz w:val="20"/>
                <w:szCs w:val="20"/>
                <w:color w:val="auto"/>
              </w:rPr>
            </w:pPr>
            <w:r>
              <w:rPr>
                <w:rFonts w:ascii="Arial" w:cs="Arial" w:eastAsia="Arial" w:hAnsi="Arial"/>
                <w:sz w:val="15"/>
                <w:szCs w:val="15"/>
                <w:color w:val="auto"/>
              </w:rPr>
              <w:t>(1,514)</w:t>
            </w:r>
          </w:p>
        </w:tc>
        <w:tc>
          <w:tcPr>
            <w:tcW w:w="80" w:type="dxa"/>
            <w:vAlign w:val="bottom"/>
          </w:tcPr>
          <w:p>
            <w:pPr>
              <w:spacing w:after="0"/>
              <w:rPr>
                <w:sz w:val="18"/>
                <w:szCs w:val="18"/>
                <w:color w:val="auto"/>
              </w:rPr>
            </w:pPr>
          </w:p>
        </w:tc>
        <w:tc>
          <w:tcPr>
            <w:tcW w:w="220" w:type="dxa"/>
            <w:vAlign w:val="bottom"/>
            <w:tcBorders>
              <w:top w:val="single" w:sz="8" w:color="98A3B8"/>
              <w:bottom w:val="single" w:sz="8" w:color="98A3B8"/>
            </w:tcBorders>
          </w:tcPr>
          <w:p>
            <w:pPr>
              <w:spacing w:after="0"/>
              <w:rPr>
                <w:sz w:val="18"/>
                <w:szCs w:val="18"/>
                <w:color w:val="auto"/>
              </w:rPr>
            </w:pPr>
          </w:p>
        </w:tc>
        <w:tc>
          <w:tcPr>
            <w:tcW w:w="720" w:type="dxa"/>
            <w:vAlign w:val="bottom"/>
            <w:tcBorders>
              <w:top w:val="single" w:sz="8" w:color="98A3B8"/>
              <w:bottom w:val="single" w:sz="8" w:color="98A3B8"/>
            </w:tcBorders>
          </w:tcPr>
          <w:p>
            <w:pPr>
              <w:jc w:val="right"/>
              <w:spacing w:after="0"/>
              <w:rPr>
                <w:sz w:val="20"/>
                <w:szCs w:val="20"/>
                <w:color w:val="auto"/>
              </w:rPr>
            </w:pPr>
            <w:r>
              <w:rPr>
                <w:rFonts w:ascii="Arial" w:cs="Arial" w:eastAsia="Arial" w:hAnsi="Arial"/>
                <w:sz w:val="15"/>
                <w:szCs w:val="15"/>
                <w:color w:val="auto"/>
              </w:rPr>
              <w:t>(23,150)</w:t>
            </w:r>
          </w:p>
        </w:tc>
        <w:tc>
          <w:tcPr>
            <w:tcW w:w="80" w:type="dxa"/>
            <w:vAlign w:val="bottom"/>
          </w:tcPr>
          <w:p>
            <w:pPr>
              <w:spacing w:after="0"/>
              <w:rPr>
                <w:sz w:val="18"/>
                <w:szCs w:val="18"/>
                <w:color w:val="auto"/>
              </w:rPr>
            </w:pPr>
          </w:p>
        </w:tc>
        <w:tc>
          <w:tcPr>
            <w:tcW w:w="200" w:type="dxa"/>
            <w:vAlign w:val="bottom"/>
            <w:tcBorders>
              <w:top w:val="single" w:sz="8" w:color="98A3B8"/>
              <w:bottom w:val="single" w:sz="8" w:color="98A3B8"/>
            </w:tcBorders>
          </w:tcPr>
          <w:p>
            <w:pPr>
              <w:spacing w:after="0"/>
              <w:rPr>
                <w:sz w:val="18"/>
                <w:szCs w:val="18"/>
                <w:color w:val="auto"/>
              </w:rPr>
            </w:pPr>
          </w:p>
        </w:tc>
        <w:tc>
          <w:tcPr>
            <w:tcW w:w="740" w:type="dxa"/>
            <w:vAlign w:val="bottom"/>
            <w:tcBorders>
              <w:top w:val="single" w:sz="8" w:color="98A3B8"/>
              <w:bottom w:val="single" w:sz="8" w:color="98A3B8"/>
            </w:tcBorders>
          </w:tcPr>
          <w:p>
            <w:pPr>
              <w:jc w:val="right"/>
              <w:spacing w:after="0"/>
              <w:rPr>
                <w:sz w:val="20"/>
                <w:szCs w:val="20"/>
                <w:color w:val="auto"/>
              </w:rPr>
            </w:pPr>
            <w:r>
              <w:rPr>
                <w:rFonts w:ascii="Arial" w:cs="Arial" w:eastAsia="Arial" w:hAnsi="Arial"/>
                <w:sz w:val="15"/>
                <w:szCs w:val="15"/>
                <w:color w:val="auto"/>
              </w:rPr>
              <w:t>(36,641)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98A3B8"/>
              <w:bottom w:val="single" w:sz="8" w:color="98A3B8"/>
            </w:tcBorders>
          </w:tcPr>
          <w:p>
            <w:pPr>
              <w:spacing w:after="0"/>
              <w:rPr>
                <w:sz w:val="18"/>
                <w:szCs w:val="18"/>
                <w:color w:val="auto"/>
              </w:rPr>
            </w:pPr>
          </w:p>
        </w:tc>
        <w:tc>
          <w:tcPr>
            <w:tcW w:w="680" w:type="dxa"/>
            <w:vAlign w:val="bottom"/>
            <w:tcBorders>
              <w:top w:val="single" w:sz="8" w:color="98A3B8"/>
              <w:bottom w:val="single" w:sz="8" w:color="98A3B8"/>
            </w:tcBorders>
          </w:tcPr>
          <w:p>
            <w:pPr>
              <w:jc w:val="right"/>
              <w:spacing w:after="0"/>
              <w:rPr>
                <w:sz w:val="20"/>
                <w:szCs w:val="20"/>
                <w:color w:val="auto"/>
              </w:rPr>
            </w:pPr>
            <w:r>
              <w:rPr>
                <w:rFonts w:ascii="Arial" w:cs="Arial" w:eastAsia="Arial" w:hAnsi="Arial"/>
                <w:sz w:val="15"/>
                <w:szCs w:val="15"/>
                <w:color w:val="auto"/>
              </w:rPr>
              <w:t>(92,156)</w:t>
            </w:r>
          </w:p>
        </w:tc>
        <w:tc>
          <w:tcPr>
            <w:tcW w:w="60" w:type="dxa"/>
            <w:vAlign w:val="bottom"/>
          </w:tcPr>
          <w:p>
            <w:pPr>
              <w:spacing w:after="0"/>
              <w:rPr>
                <w:sz w:val="18"/>
                <w:szCs w:val="18"/>
                <w:color w:val="auto"/>
              </w:rPr>
            </w:pPr>
          </w:p>
        </w:tc>
        <w:tc>
          <w:tcPr>
            <w:tcW w:w="140" w:type="dxa"/>
            <w:vAlign w:val="bottom"/>
            <w:tcBorders>
              <w:top w:val="single" w:sz="8" w:color="98A3B8"/>
              <w:bottom w:val="single" w:sz="8" w:color="98A3B8"/>
            </w:tcBorders>
          </w:tcPr>
          <w:p>
            <w:pPr>
              <w:spacing w:after="0"/>
              <w:rPr>
                <w:sz w:val="18"/>
                <w:szCs w:val="18"/>
                <w:color w:val="auto"/>
              </w:rPr>
            </w:pPr>
          </w:p>
        </w:tc>
        <w:tc>
          <w:tcPr>
            <w:tcW w:w="680" w:type="dxa"/>
            <w:vAlign w:val="bottom"/>
            <w:tcBorders>
              <w:top w:val="single" w:sz="8" w:color="98A3B8"/>
              <w:bottom w:val="single" w:sz="8" w:color="98A3B8"/>
            </w:tcBorders>
          </w:tcPr>
          <w:p>
            <w:pPr>
              <w:jc w:val="right"/>
              <w:spacing w:after="0"/>
              <w:rPr>
                <w:sz w:val="20"/>
                <w:szCs w:val="20"/>
                <w:color w:val="auto"/>
              </w:rPr>
            </w:pPr>
            <w:r>
              <w:rPr>
                <w:rFonts w:ascii="Arial" w:cs="Arial" w:eastAsia="Arial" w:hAnsi="Arial"/>
                <w:sz w:val="15"/>
                <w:szCs w:val="15"/>
                <w:color w:val="auto"/>
              </w:rPr>
              <w:t>(38,155)</w:t>
            </w:r>
          </w:p>
        </w:tc>
      </w:tr>
      <w:tr>
        <w:trPr>
          <w:trHeight w:val="217"/>
        </w:trPr>
        <w:tc>
          <w:tcPr>
            <w:tcW w:w="5740" w:type="dxa"/>
            <w:vAlign w:val="bottom"/>
          </w:tcPr>
          <w:p>
            <w:pPr>
              <w:spacing w:after="0"/>
              <w:rPr>
                <w:sz w:val="20"/>
                <w:szCs w:val="20"/>
                <w:color w:val="auto"/>
              </w:rPr>
            </w:pPr>
            <w:r>
              <w:rPr>
                <w:rFonts w:ascii="Arial" w:cs="Arial" w:eastAsia="Arial" w:hAnsi="Arial"/>
                <w:sz w:val="15"/>
                <w:szCs w:val="15"/>
                <w:b w:val="1"/>
                <w:bCs w:val="1"/>
                <w:color w:val="auto"/>
              </w:rPr>
              <w:t>Same-Store NOI</w:t>
            </w:r>
          </w:p>
        </w:tc>
        <w:tc>
          <w:tcPr>
            <w:tcW w:w="2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650,202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654,845</w:t>
            </w:r>
          </w:p>
        </w:tc>
        <w:tc>
          <w:tcPr>
            <w:tcW w:w="80" w:type="dxa"/>
            <w:vAlign w:val="bottom"/>
          </w:tcPr>
          <w:p>
            <w:pPr>
              <w:spacing w:after="0"/>
              <w:rPr>
                <w:sz w:val="18"/>
                <w:szCs w:val="18"/>
                <w:color w:val="auto"/>
              </w:rPr>
            </w:pPr>
          </w:p>
        </w:tc>
        <w:tc>
          <w:tcPr>
            <w:tcW w:w="220" w:type="dxa"/>
            <w:vAlign w:val="bottom"/>
          </w:tcPr>
          <w:p>
            <w:pPr>
              <w:jc w:val="right"/>
              <w:ind w:right="46"/>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109,616</w:t>
            </w:r>
          </w:p>
        </w:tc>
        <w:tc>
          <w:tcPr>
            <w:tcW w:w="8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105,909</w:t>
            </w:r>
          </w:p>
        </w:tc>
        <w:tc>
          <w:tcPr>
            <w:tcW w:w="4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759,818</w:t>
            </w:r>
          </w:p>
        </w:tc>
        <w:tc>
          <w:tcPr>
            <w:tcW w:w="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760,754</w:t>
            </w:r>
          </w:p>
        </w:tc>
      </w:tr>
      <w:tr>
        <w:trPr>
          <w:trHeight w:val="217"/>
        </w:trPr>
        <w:tc>
          <w:tcPr>
            <w:tcW w:w="5740" w:type="dxa"/>
            <w:vAlign w:val="bottom"/>
            <w:tcBorders>
              <w:top w:val="single" w:sz="8" w:color="98A3B8"/>
              <w:bottom w:val="single" w:sz="8" w:color="98A3B8"/>
            </w:tcBorders>
          </w:tcPr>
          <w:p>
            <w:pPr>
              <w:spacing w:after="0"/>
              <w:rPr>
                <w:sz w:val="20"/>
                <w:szCs w:val="20"/>
                <w:color w:val="auto"/>
              </w:rPr>
            </w:pPr>
            <w:r>
              <w:rPr>
                <w:rFonts w:ascii="Arial" w:cs="Arial" w:eastAsia="Arial" w:hAnsi="Arial"/>
                <w:sz w:val="15"/>
                <w:szCs w:val="15"/>
                <w:color w:val="auto"/>
              </w:rPr>
              <w:t>Ground lease straight-line adjustment</w:t>
            </w:r>
          </w:p>
        </w:tc>
        <w:tc>
          <w:tcPr>
            <w:tcW w:w="100" w:type="dxa"/>
            <w:vAlign w:val="bottom"/>
          </w:tcPr>
          <w:p>
            <w:pPr>
              <w:spacing w:after="0"/>
              <w:rPr>
                <w:sz w:val="18"/>
                <w:szCs w:val="18"/>
                <w:color w:val="auto"/>
              </w:rPr>
            </w:pPr>
          </w:p>
        </w:tc>
        <w:tc>
          <w:tcPr>
            <w:tcW w:w="120" w:type="dxa"/>
            <w:vAlign w:val="bottom"/>
            <w:tcBorders>
              <w:top w:val="single" w:sz="8" w:color="98A3B8"/>
              <w:bottom w:val="single" w:sz="8" w:color="98A3B8"/>
            </w:tcBorders>
          </w:tcPr>
          <w:p>
            <w:pPr>
              <w:spacing w:after="0"/>
              <w:rPr>
                <w:sz w:val="18"/>
                <w:szCs w:val="18"/>
                <w:color w:val="auto"/>
              </w:rPr>
            </w:pPr>
          </w:p>
        </w:tc>
        <w:tc>
          <w:tcPr>
            <w:tcW w:w="720" w:type="dxa"/>
            <w:vAlign w:val="bottom"/>
            <w:tcBorders>
              <w:top w:val="single" w:sz="8" w:color="98A3B8"/>
              <w:bottom w:val="single" w:sz="8" w:color="98A3B8"/>
            </w:tcBorders>
          </w:tcPr>
          <w:p>
            <w:pPr>
              <w:jc w:val="right"/>
              <w:spacing w:after="0"/>
              <w:rPr>
                <w:sz w:val="20"/>
                <w:szCs w:val="20"/>
                <w:color w:val="auto"/>
              </w:rPr>
            </w:pPr>
            <w:r>
              <w:rPr>
                <w:rFonts w:ascii="Arial" w:cs="Arial" w:eastAsia="Arial" w:hAnsi="Arial"/>
                <w:sz w:val="15"/>
                <w:szCs w:val="15"/>
                <w:color w:val="auto"/>
              </w:rPr>
              <w:t>2,702</w:t>
            </w:r>
          </w:p>
        </w:tc>
        <w:tc>
          <w:tcPr>
            <w:tcW w:w="80" w:type="dxa"/>
            <w:vAlign w:val="bottom"/>
          </w:tcPr>
          <w:p>
            <w:pPr>
              <w:spacing w:after="0"/>
              <w:rPr>
                <w:sz w:val="18"/>
                <w:szCs w:val="18"/>
                <w:color w:val="auto"/>
              </w:rPr>
            </w:pPr>
          </w:p>
        </w:tc>
        <w:tc>
          <w:tcPr>
            <w:tcW w:w="140" w:type="dxa"/>
            <w:vAlign w:val="bottom"/>
            <w:tcBorders>
              <w:top w:val="single" w:sz="8" w:color="98A3B8"/>
              <w:bottom w:val="single" w:sz="8" w:color="98A3B8"/>
            </w:tcBorders>
          </w:tcPr>
          <w:p>
            <w:pPr>
              <w:spacing w:after="0"/>
              <w:rPr>
                <w:sz w:val="18"/>
                <w:szCs w:val="18"/>
                <w:color w:val="auto"/>
              </w:rPr>
            </w:pPr>
          </w:p>
        </w:tc>
        <w:tc>
          <w:tcPr>
            <w:tcW w:w="720" w:type="dxa"/>
            <w:vAlign w:val="bottom"/>
            <w:tcBorders>
              <w:top w:val="single" w:sz="8" w:color="98A3B8"/>
              <w:bottom w:val="single" w:sz="8" w:color="98A3B8"/>
            </w:tcBorders>
          </w:tcPr>
          <w:p>
            <w:pPr>
              <w:jc w:val="right"/>
              <w:spacing w:after="0"/>
              <w:rPr>
                <w:sz w:val="20"/>
                <w:szCs w:val="20"/>
                <w:color w:val="auto"/>
              </w:rPr>
            </w:pPr>
            <w:r>
              <w:rPr>
                <w:rFonts w:ascii="Arial" w:cs="Arial" w:eastAsia="Arial" w:hAnsi="Arial"/>
                <w:sz w:val="15"/>
                <w:szCs w:val="15"/>
                <w:color w:val="auto"/>
              </w:rPr>
              <w:t>440</w:t>
            </w:r>
          </w:p>
        </w:tc>
        <w:tc>
          <w:tcPr>
            <w:tcW w:w="80" w:type="dxa"/>
            <w:vAlign w:val="bottom"/>
          </w:tcPr>
          <w:p>
            <w:pPr>
              <w:spacing w:after="0"/>
              <w:rPr>
                <w:sz w:val="18"/>
                <w:szCs w:val="18"/>
                <w:color w:val="auto"/>
              </w:rPr>
            </w:pPr>
          </w:p>
        </w:tc>
        <w:tc>
          <w:tcPr>
            <w:tcW w:w="220" w:type="dxa"/>
            <w:vAlign w:val="bottom"/>
            <w:tcBorders>
              <w:top w:val="single" w:sz="8" w:color="98A3B8"/>
              <w:bottom w:val="single" w:sz="8" w:color="98A3B8"/>
            </w:tcBorders>
          </w:tcPr>
          <w:p>
            <w:pPr>
              <w:spacing w:after="0"/>
              <w:rPr>
                <w:sz w:val="18"/>
                <w:szCs w:val="18"/>
                <w:color w:val="auto"/>
              </w:rPr>
            </w:pPr>
          </w:p>
        </w:tc>
        <w:tc>
          <w:tcPr>
            <w:tcW w:w="720" w:type="dxa"/>
            <w:vAlign w:val="bottom"/>
            <w:tcBorders>
              <w:top w:val="single" w:sz="8" w:color="98A3B8"/>
              <w:bottom w:val="single" w:sz="8" w:color="98A3B8"/>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200" w:type="dxa"/>
            <w:vAlign w:val="bottom"/>
            <w:tcBorders>
              <w:top w:val="single" w:sz="8" w:color="98A3B8"/>
              <w:bottom w:val="single" w:sz="8" w:color="98A3B8"/>
            </w:tcBorders>
          </w:tcPr>
          <w:p>
            <w:pPr>
              <w:spacing w:after="0"/>
              <w:rPr>
                <w:sz w:val="18"/>
                <w:szCs w:val="18"/>
                <w:color w:val="auto"/>
              </w:rPr>
            </w:pPr>
          </w:p>
        </w:tc>
        <w:tc>
          <w:tcPr>
            <w:tcW w:w="740" w:type="dxa"/>
            <w:vAlign w:val="bottom"/>
            <w:tcBorders>
              <w:top w:val="single" w:sz="8" w:color="98A3B8"/>
              <w:bottom w:val="single" w:sz="8" w:color="98A3B8"/>
            </w:tcBorders>
          </w:tcPr>
          <w:p>
            <w:pPr>
              <w:jc w:val="right"/>
              <w:spacing w:after="0"/>
              <w:rPr>
                <w:sz w:val="20"/>
                <w:szCs w:val="20"/>
                <w:color w:val="auto"/>
              </w:rPr>
            </w:pPr>
            <w:r>
              <w:rPr>
                <w:rFonts w:ascii="Arial" w:cs="Arial" w:eastAsia="Arial" w:hAnsi="Arial"/>
                <w:sz w:val="15"/>
                <w:szCs w:val="15"/>
                <w:color w:val="auto"/>
              </w:rPr>
              <w:t>(9)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98A3B8"/>
              <w:bottom w:val="single" w:sz="8" w:color="98A3B8"/>
            </w:tcBorders>
          </w:tcPr>
          <w:p>
            <w:pPr>
              <w:spacing w:after="0"/>
              <w:rPr>
                <w:sz w:val="18"/>
                <w:szCs w:val="18"/>
                <w:color w:val="auto"/>
              </w:rPr>
            </w:pPr>
          </w:p>
        </w:tc>
        <w:tc>
          <w:tcPr>
            <w:tcW w:w="680" w:type="dxa"/>
            <w:vAlign w:val="bottom"/>
            <w:tcBorders>
              <w:top w:val="single" w:sz="8" w:color="98A3B8"/>
              <w:bottom w:val="single" w:sz="8" w:color="98A3B8"/>
            </w:tcBorders>
          </w:tcPr>
          <w:p>
            <w:pPr>
              <w:jc w:val="right"/>
              <w:spacing w:after="0"/>
              <w:rPr>
                <w:sz w:val="20"/>
                <w:szCs w:val="20"/>
                <w:color w:val="auto"/>
              </w:rPr>
            </w:pPr>
            <w:r>
              <w:rPr>
                <w:rFonts w:ascii="Arial" w:cs="Arial" w:eastAsia="Arial" w:hAnsi="Arial"/>
                <w:sz w:val="15"/>
                <w:szCs w:val="15"/>
                <w:color w:val="auto"/>
              </w:rPr>
              <w:t>2,702</w:t>
            </w:r>
          </w:p>
        </w:tc>
        <w:tc>
          <w:tcPr>
            <w:tcW w:w="60" w:type="dxa"/>
            <w:vAlign w:val="bottom"/>
          </w:tcPr>
          <w:p>
            <w:pPr>
              <w:spacing w:after="0"/>
              <w:rPr>
                <w:sz w:val="18"/>
                <w:szCs w:val="18"/>
                <w:color w:val="auto"/>
              </w:rPr>
            </w:pPr>
          </w:p>
        </w:tc>
        <w:tc>
          <w:tcPr>
            <w:tcW w:w="140" w:type="dxa"/>
            <w:vAlign w:val="bottom"/>
            <w:tcBorders>
              <w:top w:val="single" w:sz="8" w:color="98A3B8"/>
              <w:bottom w:val="single" w:sz="8" w:color="98A3B8"/>
            </w:tcBorders>
          </w:tcPr>
          <w:p>
            <w:pPr>
              <w:spacing w:after="0"/>
              <w:rPr>
                <w:sz w:val="18"/>
                <w:szCs w:val="18"/>
                <w:color w:val="auto"/>
              </w:rPr>
            </w:pPr>
          </w:p>
        </w:tc>
        <w:tc>
          <w:tcPr>
            <w:tcW w:w="680" w:type="dxa"/>
            <w:vAlign w:val="bottom"/>
            <w:tcBorders>
              <w:top w:val="single" w:sz="8" w:color="98A3B8"/>
              <w:bottom w:val="single" w:sz="8" w:color="98A3B8"/>
            </w:tcBorders>
          </w:tcPr>
          <w:p>
            <w:pPr>
              <w:jc w:val="right"/>
              <w:spacing w:after="0"/>
              <w:rPr>
                <w:sz w:val="20"/>
                <w:szCs w:val="20"/>
                <w:color w:val="auto"/>
              </w:rPr>
            </w:pPr>
            <w:r>
              <w:rPr>
                <w:rFonts w:ascii="Arial" w:cs="Arial" w:eastAsia="Arial" w:hAnsi="Arial"/>
                <w:sz w:val="15"/>
                <w:szCs w:val="15"/>
                <w:color w:val="auto"/>
              </w:rPr>
              <w:t>431</w:t>
            </w:r>
          </w:p>
        </w:tc>
      </w:tr>
      <w:tr>
        <w:trPr>
          <w:trHeight w:val="217"/>
        </w:trPr>
        <w:tc>
          <w:tcPr>
            <w:tcW w:w="574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Straight-line and free rent</w:t>
            </w:r>
          </w:p>
        </w:tc>
        <w:tc>
          <w:tcPr>
            <w:tcW w:w="100" w:type="dxa"/>
            <w:vAlign w:val="bottom"/>
          </w:tcPr>
          <w:p>
            <w:pPr>
              <w:spacing w:after="0"/>
              <w:rPr>
                <w:sz w:val="18"/>
                <w:szCs w:val="18"/>
                <w:color w:val="auto"/>
              </w:rPr>
            </w:pPr>
          </w:p>
        </w:tc>
        <w:tc>
          <w:tcPr>
            <w:tcW w:w="120" w:type="dxa"/>
            <w:vAlign w:val="bottom"/>
            <w:tcBorders>
              <w:bottom w:val="single" w:sz="8" w:color="98A3B8"/>
            </w:tcBorders>
          </w:tcPr>
          <w:p>
            <w:pPr>
              <w:spacing w:after="0"/>
              <w:rPr>
                <w:sz w:val="18"/>
                <w:szCs w:val="18"/>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(54,686)</w:t>
            </w:r>
          </w:p>
        </w:tc>
        <w:tc>
          <w:tcPr>
            <w:tcW w:w="8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(79,496)</w:t>
            </w:r>
          </w:p>
        </w:tc>
        <w:tc>
          <w:tcPr>
            <w:tcW w:w="80" w:type="dxa"/>
            <w:vAlign w:val="bottom"/>
          </w:tcPr>
          <w:p>
            <w:pPr>
              <w:spacing w:after="0"/>
              <w:rPr>
                <w:sz w:val="18"/>
                <w:szCs w:val="18"/>
                <w:color w:val="auto"/>
              </w:rPr>
            </w:pPr>
          </w:p>
        </w:tc>
        <w:tc>
          <w:tcPr>
            <w:tcW w:w="220" w:type="dxa"/>
            <w:vAlign w:val="bottom"/>
            <w:tcBorders>
              <w:bottom w:val="single" w:sz="8" w:color="98A3B8"/>
            </w:tcBorders>
          </w:tcPr>
          <w:p>
            <w:pPr>
              <w:spacing w:after="0"/>
              <w:rPr>
                <w:sz w:val="18"/>
                <w:szCs w:val="18"/>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(4,217)</w:t>
            </w:r>
          </w:p>
        </w:tc>
        <w:tc>
          <w:tcPr>
            <w:tcW w:w="80" w:type="dxa"/>
            <w:vAlign w:val="bottom"/>
          </w:tcPr>
          <w:p>
            <w:pPr>
              <w:spacing w:after="0"/>
              <w:rPr>
                <w:sz w:val="18"/>
                <w:szCs w:val="18"/>
                <w:color w:val="auto"/>
              </w:rPr>
            </w:pPr>
          </w:p>
        </w:tc>
        <w:tc>
          <w:tcPr>
            <w:tcW w:w="200" w:type="dxa"/>
            <w:vAlign w:val="bottom"/>
            <w:tcBorders>
              <w:bottom w:val="single" w:sz="8" w:color="98A3B8"/>
            </w:tcBorders>
          </w:tcPr>
          <w:p>
            <w:pPr>
              <w:spacing w:after="0"/>
              <w:rPr>
                <w:sz w:val="18"/>
                <w:szCs w:val="18"/>
                <w:color w:val="auto"/>
              </w:rPr>
            </w:pPr>
          </w:p>
        </w:tc>
        <w:tc>
          <w:tcPr>
            <w:tcW w:w="74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(6,219)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68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(58,903)</w:t>
            </w:r>
          </w:p>
        </w:tc>
        <w:tc>
          <w:tcPr>
            <w:tcW w:w="6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68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(85,715)</w:t>
            </w:r>
          </w:p>
        </w:tc>
      </w:tr>
      <w:tr>
        <w:trPr>
          <w:trHeight w:val="217"/>
        </w:trPr>
        <w:tc>
          <w:tcPr>
            <w:tcW w:w="5740" w:type="dxa"/>
            <w:vAlign w:val="bottom"/>
            <w:tcBorders>
              <w:bottom w:val="single" w:sz="8" w:color="98A3B8"/>
            </w:tcBorders>
          </w:tcPr>
          <w:p>
            <w:pPr>
              <w:spacing w:after="0"/>
              <w:rPr>
                <w:sz w:val="20"/>
                <w:szCs w:val="20"/>
                <w:color w:val="auto"/>
              </w:rPr>
            </w:pPr>
            <w:r>
              <w:rPr>
                <w:rFonts w:ascii="Arial" w:cs="Arial" w:eastAsia="Arial" w:hAnsi="Arial"/>
                <w:sz w:val="15"/>
                <w:szCs w:val="15"/>
                <w:color w:val="auto"/>
              </w:rPr>
              <w:t>Rental income - FAS 141</w:t>
            </w:r>
          </w:p>
        </w:tc>
        <w:tc>
          <w:tcPr>
            <w:tcW w:w="100" w:type="dxa"/>
            <w:vAlign w:val="bottom"/>
          </w:tcPr>
          <w:p>
            <w:pPr>
              <w:spacing w:after="0"/>
              <w:rPr>
                <w:sz w:val="18"/>
                <w:szCs w:val="18"/>
                <w:color w:val="auto"/>
              </w:rPr>
            </w:pPr>
          </w:p>
        </w:tc>
        <w:tc>
          <w:tcPr>
            <w:tcW w:w="120" w:type="dxa"/>
            <w:vAlign w:val="bottom"/>
            <w:tcBorders>
              <w:bottom w:val="single" w:sz="8" w:color="98A3B8"/>
            </w:tcBorders>
          </w:tcPr>
          <w:p>
            <w:pPr>
              <w:spacing w:after="0"/>
              <w:rPr>
                <w:sz w:val="18"/>
                <w:szCs w:val="18"/>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(17,365)</w:t>
            </w:r>
          </w:p>
        </w:tc>
        <w:tc>
          <w:tcPr>
            <w:tcW w:w="8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(21,201)</w:t>
            </w:r>
          </w:p>
        </w:tc>
        <w:tc>
          <w:tcPr>
            <w:tcW w:w="80" w:type="dxa"/>
            <w:vAlign w:val="bottom"/>
          </w:tcPr>
          <w:p>
            <w:pPr>
              <w:spacing w:after="0"/>
              <w:rPr>
                <w:sz w:val="18"/>
                <w:szCs w:val="18"/>
                <w:color w:val="auto"/>
              </w:rPr>
            </w:pPr>
          </w:p>
        </w:tc>
        <w:tc>
          <w:tcPr>
            <w:tcW w:w="220" w:type="dxa"/>
            <w:vAlign w:val="bottom"/>
            <w:tcBorders>
              <w:bottom w:val="single" w:sz="8" w:color="98A3B8"/>
            </w:tcBorders>
          </w:tcPr>
          <w:p>
            <w:pPr>
              <w:spacing w:after="0"/>
              <w:rPr>
                <w:sz w:val="18"/>
                <w:szCs w:val="18"/>
                <w:color w:val="auto"/>
              </w:rPr>
            </w:pPr>
          </w:p>
        </w:tc>
        <w:tc>
          <w:tcPr>
            <w:tcW w:w="72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(2,030)</w:t>
            </w:r>
          </w:p>
        </w:tc>
        <w:tc>
          <w:tcPr>
            <w:tcW w:w="80" w:type="dxa"/>
            <w:vAlign w:val="bottom"/>
          </w:tcPr>
          <w:p>
            <w:pPr>
              <w:spacing w:after="0"/>
              <w:rPr>
                <w:sz w:val="18"/>
                <w:szCs w:val="18"/>
                <w:color w:val="auto"/>
              </w:rPr>
            </w:pPr>
          </w:p>
        </w:tc>
        <w:tc>
          <w:tcPr>
            <w:tcW w:w="200" w:type="dxa"/>
            <w:vAlign w:val="bottom"/>
            <w:tcBorders>
              <w:bottom w:val="single" w:sz="8" w:color="98A3B8"/>
            </w:tcBorders>
          </w:tcPr>
          <w:p>
            <w:pPr>
              <w:spacing w:after="0"/>
              <w:rPr>
                <w:sz w:val="18"/>
                <w:szCs w:val="18"/>
                <w:color w:val="auto"/>
              </w:rPr>
            </w:pPr>
          </w:p>
        </w:tc>
        <w:tc>
          <w:tcPr>
            <w:tcW w:w="74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(1,172)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68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(19,395)</w:t>
            </w:r>
          </w:p>
        </w:tc>
        <w:tc>
          <w:tcPr>
            <w:tcW w:w="60" w:type="dxa"/>
            <w:vAlign w:val="bottom"/>
          </w:tcPr>
          <w:p>
            <w:pPr>
              <w:spacing w:after="0"/>
              <w:rPr>
                <w:sz w:val="18"/>
                <w:szCs w:val="18"/>
                <w:color w:val="auto"/>
              </w:rPr>
            </w:pPr>
          </w:p>
        </w:tc>
        <w:tc>
          <w:tcPr>
            <w:tcW w:w="140" w:type="dxa"/>
            <w:vAlign w:val="bottom"/>
            <w:tcBorders>
              <w:bottom w:val="single" w:sz="8" w:color="98A3B8"/>
            </w:tcBorders>
          </w:tcPr>
          <w:p>
            <w:pPr>
              <w:spacing w:after="0"/>
              <w:rPr>
                <w:sz w:val="18"/>
                <w:szCs w:val="18"/>
                <w:color w:val="auto"/>
              </w:rPr>
            </w:pPr>
          </w:p>
        </w:tc>
        <w:tc>
          <w:tcPr>
            <w:tcW w:w="680" w:type="dxa"/>
            <w:vAlign w:val="bottom"/>
            <w:tcBorders>
              <w:bottom w:val="single" w:sz="8" w:color="98A3B8"/>
            </w:tcBorders>
          </w:tcPr>
          <w:p>
            <w:pPr>
              <w:jc w:val="right"/>
              <w:spacing w:after="0"/>
              <w:rPr>
                <w:sz w:val="20"/>
                <w:szCs w:val="20"/>
                <w:color w:val="auto"/>
              </w:rPr>
            </w:pPr>
            <w:r>
              <w:rPr>
                <w:rFonts w:ascii="Arial" w:cs="Arial" w:eastAsia="Arial" w:hAnsi="Arial"/>
                <w:sz w:val="15"/>
                <w:szCs w:val="15"/>
                <w:color w:val="auto"/>
              </w:rPr>
              <w:t>(22,373)</w:t>
            </w:r>
          </w:p>
        </w:tc>
      </w:tr>
      <w:tr>
        <w:trPr>
          <w:trHeight w:val="217"/>
        </w:trPr>
        <w:tc>
          <w:tcPr>
            <w:tcW w:w="5740" w:type="dxa"/>
            <w:vAlign w:val="bottom"/>
          </w:tcPr>
          <w:p>
            <w:pPr>
              <w:spacing w:after="0"/>
              <w:rPr>
                <w:sz w:val="20"/>
                <w:szCs w:val="20"/>
                <w:color w:val="auto"/>
              </w:rPr>
            </w:pPr>
            <w:r>
              <w:rPr>
                <w:rFonts w:ascii="Arial" w:cs="Arial" w:eastAsia="Arial" w:hAnsi="Arial"/>
                <w:sz w:val="15"/>
                <w:szCs w:val="15"/>
                <w:b w:val="1"/>
                <w:bCs w:val="1"/>
                <w:color w:val="auto"/>
              </w:rPr>
              <w:t>Same-store cash NOI</w:t>
            </w:r>
          </w:p>
        </w:tc>
        <w:tc>
          <w:tcPr>
            <w:tcW w:w="2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580,853</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554,588</w:t>
            </w:r>
          </w:p>
        </w:tc>
        <w:tc>
          <w:tcPr>
            <w:tcW w:w="80" w:type="dxa"/>
            <w:vAlign w:val="bottom"/>
          </w:tcPr>
          <w:p>
            <w:pPr>
              <w:spacing w:after="0"/>
              <w:rPr>
                <w:sz w:val="18"/>
                <w:szCs w:val="18"/>
                <w:color w:val="auto"/>
              </w:rPr>
            </w:pPr>
          </w:p>
        </w:tc>
        <w:tc>
          <w:tcPr>
            <w:tcW w:w="220" w:type="dxa"/>
            <w:vAlign w:val="bottom"/>
          </w:tcPr>
          <w:p>
            <w:pPr>
              <w:jc w:val="right"/>
              <w:ind w:right="46"/>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103,369</w:t>
            </w:r>
          </w:p>
        </w:tc>
        <w:tc>
          <w:tcPr>
            <w:tcW w:w="8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98,509</w:t>
            </w:r>
          </w:p>
        </w:tc>
        <w:tc>
          <w:tcPr>
            <w:tcW w:w="4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684,222</w:t>
            </w:r>
          </w:p>
        </w:tc>
        <w:tc>
          <w:tcPr>
            <w:tcW w:w="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653,097</w:t>
            </w:r>
          </w:p>
        </w:tc>
      </w:tr>
      <w:tr>
        <w:trPr>
          <w:trHeight w:val="20"/>
        </w:trPr>
        <w:tc>
          <w:tcPr>
            <w:tcW w:w="5740" w:type="dxa"/>
            <w:vAlign w:val="bottom"/>
            <w:shd w:val="clear" w:color="auto" w:fill="98A3B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98A3B8"/>
          </w:tcPr>
          <w:p>
            <w:pPr>
              <w:spacing w:after="0" w:line="20" w:lineRule="exact"/>
              <w:rPr>
                <w:sz w:val="1"/>
                <w:szCs w:val="1"/>
                <w:color w:val="auto"/>
              </w:rPr>
            </w:pPr>
          </w:p>
        </w:tc>
        <w:tc>
          <w:tcPr>
            <w:tcW w:w="72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72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98A3B8"/>
          </w:tcPr>
          <w:p>
            <w:pPr>
              <w:spacing w:after="0" w:line="20" w:lineRule="exact"/>
              <w:rPr>
                <w:sz w:val="1"/>
                <w:szCs w:val="1"/>
                <w:color w:val="auto"/>
              </w:rPr>
            </w:pPr>
          </w:p>
        </w:tc>
        <w:tc>
          <w:tcPr>
            <w:tcW w:w="720" w:type="dxa"/>
            <w:vAlign w:val="bottom"/>
            <w:shd w:val="clear" w:color="auto" w:fill="98A3B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98A3B8"/>
          </w:tcPr>
          <w:p>
            <w:pPr>
              <w:spacing w:after="0" w:line="20" w:lineRule="exact"/>
              <w:rPr>
                <w:sz w:val="1"/>
                <w:szCs w:val="1"/>
                <w:color w:val="auto"/>
              </w:rPr>
            </w:pPr>
          </w:p>
        </w:tc>
        <w:tc>
          <w:tcPr>
            <w:tcW w:w="740" w:type="dxa"/>
            <w:vAlign w:val="bottom"/>
            <w:shd w:val="clear" w:color="auto" w:fill="98A3B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680" w:type="dxa"/>
            <w:vAlign w:val="bottom"/>
            <w:shd w:val="clear" w:color="auto" w:fill="98A3B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98A3B8"/>
          </w:tcPr>
          <w:p>
            <w:pPr>
              <w:spacing w:after="0" w:line="20" w:lineRule="exact"/>
              <w:rPr>
                <w:sz w:val="1"/>
                <w:szCs w:val="1"/>
                <w:color w:val="auto"/>
              </w:rPr>
            </w:pPr>
          </w:p>
        </w:tc>
        <w:tc>
          <w:tcPr>
            <w:tcW w:w="680" w:type="dxa"/>
            <w:vAlign w:val="bottom"/>
            <w:shd w:val="clear" w:color="auto" w:fill="98A3B8"/>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325889"/>
        </w:rPr>
        <w:t xml:space="preserve">A-6 </w:t>
      </w:r>
      <w:r>
        <w:rPr>
          <w:rFonts w:ascii="Arial" w:cs="Arial" w:eastAsia="Arial" w:hAnsi="Arial"/>
          <w:sz w:val="15"/>
          <w:szCs w:val="15"/>
          <w:color w:val="000000"/>
        </w:rPr>
        <w:t>SL Green Realty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83450" cy="203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0"/>
          </w:cols>
          <w:pgMar w:left="240" w:top="528" w:right="219" w:bottom="1440" w:gutter="0" w:footer="0" w:header="0"/>
        </w:sectPr>
      </w:pPr>
    </w:p>
    <w:bookmarkStart w:id="72" w:name="page73"/>
    <w:bookmarkEnd w:id="72"/>
    <w:p>
      <w:pPr>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13"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325889"/>
        </w:rPr>
        <w:t>APPENDIX A: INFORMATION REGARDING CERTAIN FINANCIAL MEASURES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Notes:</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Funds from Operations and Normalized Funds from Operations</w:t>
      </w:r>
    </w:p>
    <w:p>
      <w:pPr>
        <w:spacing w:after="0" w:line="195" w:lineRule="exact"/>
        <w:rPr>
          <w:sz w:val="20"/>
          <w:szCs w:val="20"/>
          <w:color w:val="auto"/>
        </w:rPr>
      </w:pPr>
    </w:p>
    <w:p>
      <w:pPr>
        <w:ind w:right="140"/>
        <w:spacing w:after="0" w:line="250" w:lineRule="auto"/>
        <w:rPr>
          <w:sz w:val="20"/>
          <w:szCs w:val="20"/>
          <w:color w:val="auto"/>
        </w:rPr>
      </w:pPr>
      <w:r>
        <w:rPr>
          <w:rFonts w:ascii="Arial" w:cs="Arial" w:eastAsia="Arial" w:hAnsi="Arial"/>
          <w:sz w:val="15"/>
          <w:szCs w:val="15"/>
          <w:color w:val="auto"/>
        </w:rPr>
        <w:t>Funds from Operations, or FFO, is a widely recognized measure of REIT performance. We compute FFO in accordance with standards established by the National Association of Real Estate Investment Trusts, or NAREIT, which may not be comparable to FFO reported by other REITs that do not compute FFO in accordance with the NAREIT definition, or that interpret the NAREIT definition differently than we do. The revised White Paper on FFO approved by the Board of Governors of NAREIT in April 2002, and as subsequently amended, defines FFO as net income (loss) (computed in accordance with Generally Accepted Accounting Principles, or GAAP), excluding gains (or losses) from sales of properties and real estate related impairment charges, plus real estate related depreciation and amortization and after adjustments for unconsolidated partnerships and joint ventures. We present FFO because we consider it an important supplemental measure of our operating performance and believe that it is frequently used by securities analysts, investors and other interested parties in the evaluation of REITs, particularly those that own and operate commercial office properties.</w:t>
      </w:r>
    </w:p>
    <w:p>
      <w:pPr>
        <w:spacing w:after="0" w:line="176" w:lineRule="exact"/>
        <w:rPr>
          <w:sz w:val="20"/>
          <w:szCs w:val="20"/>
          <w:color w:val="auto"/>
        </w:rPr>
      </w:pPr>
    </w:p>
    <w:p>
      <w:pPr>
        <w:ind w:right="100"/>
        <w:spacing w:after="0" w:line="250" w:lineRule="auto"/>
        <w:rPr>
          <w:sz w:val="20"/>
          <w:szCs w:val="20"/>
          <w:color w:val="auto"/>
        </w:rPr>
      </w:pPr>
      <w:r>
        <w:rPr>
          <w:rFonts w:ascii="Arial" w:cs="Arial" w:eastAsia="Arial" w:hAnsi="Arial"/>
          <w:sz w:val="15"/>
          <w:szCs w:val="15"/>
          <w:color w:val="auto"/>
        </w:rPr>
        <w:t>We also use FFO as one of several criteria to determine performance-based bonuses for members of our senior management. FFO is intended to exclude GAAP historical cost depreciation and amortization of real estate and related assets, which assumes that the value of real estate assets diminishes ratably over time. Historically, however, real estate values have risen or fallen with market conditions. Because FFO excludes depreciation and amortization unique to real estate, gains and losses from property dispositions and extraordinary items, it provides a performance measure that, when compared year over year, reflects the impact to operations from trends in occupancy rates, rental rates, operating costs, interest costs, providing perspective not immediately apparent from net income. FFO does not represent cash generated from operating activities in accordance with GAAP and should not be considered as an alternative to net income (determined in accordance with GAAP), as an indication of our financial performance or to cash flow from operating activities (determined in accordance with GAAP) as a measure of our liquidity, nor is it indicative of funds available to fund our cash needs, including our ability to make cash distributions.</w:t>
      </w:r>
    </w:p>
    <w:p>
      <w:pPr>
        <w:spacing w:after="0" w:line="176" w:lineRule="exact"/>
        <w:rPr>
          <w:sz w:val="20"/>
          <w:szCs w:val="20"/>
          <w:color w:val="auto"/>
        </w:rPr>
      </w:pPr>
    </w:p>
    <w:p>
      <w:pPr>
        <w:ind w:right="340"/>
        <w:spacing w:after="0" w:line="265" w:lineRule="auto"/>
        <w:rPr>
          <w:sz w:val="20"/>
          <w:szCs w:val="20"/>
          <w:color w:val="auto"/>
        </w:rPr>
      </w:pPr>
      <w:r>
        <w:rPr>
          <w:rFonts w:ascii="Arial" w:cs="Arial" w:eastAsia="Arial" w:hAnsi="Arial"/>
          <w:sz w:val="15"/>
          <w:szCs w:val="15"/>
          <w:color w:val="auto"/>
        </w:rPr>
        <w:t>For certain periods, we also present Normalized FFO, defined as FFO excluding the impact of two discrete transactions (set forth in the table above) that increased FFO in 2016 and 2012, which we present to enhance the comparability of our FFO across periods.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Combined Same-Store Cash Net Operating Income</w:t>
      </w:r>
    </w:p>
    <w:p>
      <w:pPr>
        <w:spacing w:after="0" w:line="195" w:lineRule="exact"/>
        <w:rPr>
          <w:sz w:val="20"/>
          <w:szCs w:val="20"/>
          <w:color w:val="auto"/>
        </w:rPr>
      </w:pPr>
    </w:p>
    <w:p>
      <w:pPr>
        <w:ind w:right="40"/>
        <w:spacing w:after="0" w:line="249" w:lineRule="auto"/>
        <w:rPr>
          <w:sz w:val="20"/>
          <w:szCs w:val="20"/>
          <w:color w:val="auto"/>
        </w:rPr>
      </w:pPr>
      <w:r>
        <w:rPr>
          <w:rFonts w:ascii="Arial" w:cs="Arial" w:eastAsia="Arial" w:hAnsi="Arial"/>
          <w:sz w:val="15"/>
          <w:szCs w:val="15"/>
          <w:color w:val="auto"/>
        </w:rPr>
        <w:t>The Company presents operating income, net operating income, same-store net operating income and same-store cash net operating income because the Company believes that these measures provide investors with useful information regarding the operating performance of properties that are comparable for the periods presented. For properties owned in the same manner during both the applicable year and the year immediately preceding such applicable year, excluding development properties prior to being stabilized for both the applicable year and the preceding year, the Company determines same-store net operating income by subtracting same-store property operating expenses and ground rent from same-store rental and tenant reimbursement revenues. Same-store cash net operating income is derived by deducting same-store straight line, free rent, and lease intangibles (FAS 141 Adjustments) from, and adding same-store tenant credit loss allowance to, same-store net operating income. The Company’s share of unconsolidated joint venture net operating income, same-store net operating income and same-store cash net operating income is calculated in the same manner as noted above, but includes just the Company’s pro-rata share of the total amounts. Combined net operating income, same-store net operating income and same-store cash net operating income are calculated by combining the Company’s consolidated amount with the Company’s share of unconsolidated joint venture amounts for each measure. None of these measures is an alternative to net income (determined in accordance with GAAP) and same-store performance should not be considered an alternative to GAAP net income performance.</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2017 Proxy Statement </w:t>
      </w:r>
      <w:r>
        <w:rPr>
          <w:rFonts w:ascii="Arial" w:cs="Arial" w:eastAsia="Arial" w:hAnsi="Arial"/>
          <w:sz w:val="15"/>
          <w:szCs w:val="15"/>
          <w:color w:val="325889"/>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83450" cy="203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0"/>
          </w:cols>
          <w:pgMar w:left="240" w:top="528" w:right="219" w:bottom="1440" w:gutter="0" w:footer="0" w:header="0"/>
        </w:sectPr>
      </w:pPr>
    </w:p>
    <w:bookmarkStart w:id="73" w:name="page74"/>
    <w:bookmarkEnd w:id="73"/>
    <w:p>
      <w:pPr>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178" w:lineRule="exact"/>
        <w:rPr>
          <w:sz w:val="20"/>
          <w:szCs w:val="20"/>
          <w:color w:val="auto"/>
        </w:rPr>
      </w:pPr>
    </w:p>
    <w:p>
      <w:pPr>
        <w:spacing w:after="0"/>
        <w:rPr>
          <w:sz w:val="20"/>
          <w:szCs w:val="20"/>
          <w:color w:val="auto"/>
        </w:rPr>
      </w:pPr>
      <w:r>
        <w:rPr>
          <w:rFonts w:ascii="Arial" w:cs="Arial" w:eastAsia="Arial" w:hAnsi="Arial"/>
          <w:sz w:val="28"/>
          <w:szCs w:val="28"/>
          <w:b w:val="1"/>
          <w:bCs w:val="1"/>
          <w:color w:val="325889"/>
        </w:rPr>
        <w:t>APPENDIX B:</w:t>
      </w:r>
    </w:p>
    <w:p>
      <w:pPr>
        <w:spacing w:after="0" w:line="46" w:lineRule="exact"/>
        <w:rPr>
          <w:sz w:val="20"/>
          <w:szCs w:val="20"/>
          <w:color w:val="auto"/>
        </w:rPr>
      </w:pPr>
    </w:p>
    <w:p>
      <w:pPr>
        <w:spacing w:after="0"/>
        <w:rPr>
          <w:sz w:val="20"/>
          <w:szCs w:val="20"/>
          <w:color w:val="auto"/>
        </w:rPr>
      </w:pPr>
      <w:r>
        <w:rPr>
          <w:rFonts w:ascii="Arial" w:cs="Arial" w:eastAsia="Arial" w:hAnsi="Arial"/>
          <w:sz w:val="28"/>
          <w:szCs w:val="28"/>
          <w:b w:val="1"/>
          <w:bCs w:val="1"/>
          <w:color w:val="325889"/>
        </w:rPr>
        <w:t>CHARTER AMENDMENT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SL GREEN REALTY CORP.</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ARTICLES OF AMENDMENT</w:t>
      </w:r>
    </w:p>
    <w:p>
      <w:pPr>
        <w:spacing w:after="0" w:line="213" w:lineRule="exact"/>
        <w:rPr>
          <w:sz w:val="20"/>
          <w:szCs w:val="20"/>
          <w:color w:val="auto"/>
        </w:rPr>
      </w:pPr>
    </w:p>
    <w:p>
      <w:pPr>
        <w:jc w:val="both"/>
        <w:ind w:right="20" w:firstLine="237"/>
        <w:spacing w:after="0" w:line="265" w:lineRule="auto"/>
        <w:rPr>
          <w:sz w:val="20"/>
          <w:szCs w:val="20"/>
          <w:color w:val="auto"/>
        </w:rPr>
      </w:pPr>
      <w:r>
        <w:rPr>
          <w:rFonts w:ascii="Arial" w:cs="Arial" w:eastAsia="Arial" w:hAnsi="Arial"/>
          <w:sz w:val="15"/>
          <w:szCs w:val="15"/>
          <w:color w:val="auto"/>
        </w:rPr>
        <w:t>SL GREEN REALTY CORP., a Maryland corporation (the “Corporation”), hereby certifies to the State Department of Assessments and Taxation of Maryland (the “Department”) that:</w:t>
      </w:r>
    </w:p>
    <w:p>
      <w:pPr>
        <w:spacing w:after="0" w:line="147" w:lineRule="exact"/>
        <w:rPr>
          <w:sz w:val="20"/>
          <w:szCs w:val="20"/>
          <w:color w:val="auto"/>
        </w:rPr>
      </w:pPr>
    </w:p>
    <w:p>
      <w:pPr>
        <w:jc w:val="both"/>
        <w:ind w:right="20" w:firstLine="237"/>
        <w:spacing w:after="0" w:line="290" w:lineRule="auto"/>
        <w:rPr>
          <w:sz w:val="20"/>
          <w:szCs w:val="20"/>
          <w:color w:val="auto"/>
        </w:rPr>
      </w:pPr>
      <w:r>
        <w:rPr>
          <w:rFonts w:ascii="Arial" w:cs="Arial" w:eastAsia="Arial" w:hAnsi="Arial"/>
          <w:sz w:val="15"/>
          <w:szCs w:val="15"/>
          <w:b w:val="1"/>
          <w:bCs w:val="1"/>
          <w:u w:val="single" w:color="auto"/>
          <w:color w:val="auto"/>
        </w:rPr>
        <w:t>FIRST</w:t>
      </w:r>
      <w:r>
        <w:rPr>
          <w:rFonts w:ascii="Arial" w:cs="Arial" w:eastAsia="Arial" w:hAnsi="Arial"/>
          <w:sz w:val="15"/>
          <w:szCs w:val="15"/>
          <w:color w:val="auto"/>
        </w:rPr>
        <w:t>: The Corporation desires to, and does hereby, amend the charter of the Corporation as currently in effect, consisting of Articles of Restatement filed with the</w:t>
      </w:r>
      <w:r>
        <w:rPr>
          <w:rFonts w:ascii="Arial" w:cs="Arial" w:eastAsia="Arial" w:hAnsi="Arial"/>
          <w:sz w:val="15"/>
          <w:szCs w:val="15"/>
          <w:b w:val="1"/>
          <w:bCs w:val="1"/>
          <w:color w:val="auto"/>
        </w:rPr>
        <w:t xml:space="preserve"> </w:t>
      </w:r>
      <w:r>
        <w:rPr>
          <w:rFonts w:ascii="Arial" w:cs="Arial" w:eastAsia="Arial" w:hAnsi="Arial"/>
          <w:sz w:val="15"/>
          <w:szCs w:val="15"/>
          <w:color w:val="auto"/>
        </w:rPr>
        <w:t>Department on July 11, 2014 (the “Charter”), pursuant to Sections 2-601 et seq. of the Maryland General Corporation Law (the “MGCL”).</w:t>
      </w:r>
    </w:p>
    <w:p>
      <w:pPr>
        <w:spacing w:after="0" w:line="129" w:lineRule="exact"/>
        <w:rPr>
          <w:sz w:val="20"/>
          <w:szCs w:val="20"/>
          <w:color w:val="auto"/>
        </w:rPr>
      </w:pPr>
    </w:p>
    <w:p>
      <w:pPr>
        <w:jc w:val="both"/>
        <w:ind w:right="20" w:firstLine="237"/>
        <w:spacing w:after="0" w:line="290" w:lineRule="auto"/>
        <w:rPr>
          <w:sz w:val="20"/>
          <w:szCs w:val="20"/>
          <w:color w:val="auto"/>
        </w:rPr>
      </w:pPr>
      <w:r>
        <w:rPr>
          <w:rFonts w:ascii="Arial" w:cs="Arial" w:eastAsia="Arial" w:hAnsi="Arial"/>
          <w:sz w:val="15"/>
          <w:szCs w:val="15"/>
          <w:b w:val="1"/>
          <w:bCs w:val="1"/>
          <w:u w:val="single" w:color="auto"/>
          <w:color w:val="auto"/>
        </w:rPr>
        <w:t>SECOND</w:t>
      </w:r>
      <w:r>
        <w:rPr>
          <w:rFonts w:ascii="Arial" w:cs="Arial" w:eastAsia="Arial" w:hAnsi="Arial"/>
          <w:sz w:val="15"/>
          <w:szCs w:val="15"/>
          <w:color w:val="auto"/>
        </w:rPr>
        <w:t>: The Charter of the Corporation is hereby amended by deleting therefrom in its entirety the existing Section 1 of Article IV, and inserting in lieu thereof the</w:t>
      </w:r>
      <w:r>
        <w:rPr>
          <w:rFonts w:ascii="Arial" w:cs="Arial" w:eastAsia="Arial" w:hAnsi="Arial"/>
          <w:sz w:val="15"/>
          <w:szCs w:val="15"/>
          <w:b w:val="1"/>
          <w:bCs w:val="1"/>
          <w:color w:val="auto"/>
        </w:rPr>
        <w:t xml:space="preserve"> </w:t>
      </w:r>
      <w:r>
        <w:rPr>
          <w:rFonts w:ascii="Arial" w:cs="Arial" w:eastAsia="Arial" w:hAnsi="Arial"/>
          <w:sz w:val="15"/>
          <w:szCs w:val="15"/>
          <w:color w:val="auto"/>
        </w:rPr>
        <w:t>following new Section 1 of Article IV:</w:t>
      </w:r>
    </w:p>
    <w:p>
      <w:pPr>
        <w:spacing w:after="0" w:line="147" w:lineRule="exact"/>
        <w:rPr>
          <w:sz w:val="20"/>
          <w:szCs w:val="20"/>
          <w:color w:val="auto"/>
        </w:rPr>
      </w:pPr>
    </w:p>
    <w:p>
      <w:pPr>
        <w:jc w:val="both"/>
        <w:ind w:firstLine="237"/>
        <w:spacing w:after="0" w:line="252" w:lineRule="auto"/>
        <w:rPr>
          <w:sz w:val="20"/>
          <w:szCs w:val="20"/>
          <w:color w:val="auto"/>
        </w:rPr>
      </w:pPr>
      <w:r>
        <w:rPr>
          <w:rFonts w:ascii="Arial" w:cs="Arial" w:eastAsia="Arial" w:hAnsi="Arial"/>
          <w:sz w:val="15"/>
          <w:szCs w:val="15"/>
          <w:color w:val="auto"/>
        </w:rPr>
        <w:t xml:space="preserve">Section 1. </w:t>
      </w:r>
      <w:r>
        <w:rPr>
          <w:rFonts w:ascii="Arial" w:cs="Arial" w:eastAsia="Arial" w:hAnsi="Arial"/>
          <w:sz w:val="15"/>
          <w:szCs w:val="15"/>
          <w:u w:val="single" w:color="auto"/>
          <w:color w:val="auto"/>
        </w:rPr>
        <w:t>Number of Directors</w:t>
      </w:r>
      <w:r>
        <w:rPr>
          <w:rFonts w:ascii="Arial" w:cs="Arial" w:eastAsia="Arial" w:hAnsi="Arial"/>
          <w:sz w:val="15"/>
          <w:szCs w:val="15"/>
          <w:color w:val="auto"/>
        </w:rPr>
        <w:t>. The business and affairs of the Corporation shall be managed under the direction of the Board of Directors of the Corporation (the “Board of Directors”). The number of directors of the Corporation shall be nine (9), which number may be increased or decreased pursuant to the Bylaws of the Corporation but shall never be less than the minimum number required by the Maryland General Corporation Law. The names of the nine (9) current directors who shall serve until the expiration of the respective terms for which they were elected, and until their successors are duly elected and qualified, and the year in which the current term of each such director shall expire are:</w:t>
      </w:r>
    </w:p>
    <w:p>
      <w:pPr>
        <w:spacing w:after="0" w:line="186" w:lineRule="exact"/>
        <w:rPr>
          <w:sz w:val="20"/>
          <w:szCs w:val="20"/>
          <w:color w:val="auto"/>
        </w:rPr>
      </w:pPr>
    </w:p>
    <w:tbl>
      <w:tblPr>
        <w:tblLayout w:type="fixed"/>
        <w:tblInd w:w="1720" w:type="dxa"/>
        <w:tblCellMar>
          <w:top w:w="0" w:type="dxa"/>
          <w:left w:w="0" w:type="dxa"/>
          <w:bottom w:w="0" w:type="dxa"/>
          <w:right w:w="0" w:type="dxa"/>
        </w:tblCellMar>
      </w:tblPr>
      <w:tr>
        <w:trPr>
          <w:trHeight w:val="192"/>
        </w:trPr>
        <w:tc>
          <w:tcPr>
            <w:tcW w:w="4220" w:type="dxa"/>
            <w:vAlign w:val="bottom"/>
            <w:tcBorders>
              <w:bottom w:val="single" w:sz="8" w:color="auto"/>
            </w:tcBorders>
          </w:tcPr>
          <w:p>
            <w:pPr>
              <w:ind w:left="640"/>
              <w:spacing w:after="0"/>
              <w:rPr>
                <w:sz w:val="20"/>
                <w:szCs w:val="20"/>
                <w:color w:val="auto"/>
              </w:rPr>
            </w:pPr>
            <w:r>
              <w:rPr>
                <w:rFonts w:ascii="Arial" w:cs="Arial" w:eastAsia="Arial" w:hAnsi="Arial"/>
                <w:sz w:val="15"/>
                <w:szCs w:val="15"/>
                <w:color w:val="auto"/>
              </w:rPr>
              <w:t>Name</w:t>
            </w:r>
          </w:p>
        </w:tc>
        <w:tc>
          <w:tcPr>
            <w:tcW w:w="3780" w:type="dxa"/>
            <w:vAlign w:val="bottom"/>
            <w:tcBorders>
              <w:bottom w:val="single" w:sz="8" w:color="auto"/>
            </w:tcBorders>
          </w:tcPr>
          <w:p>
            <w:pPr>
              <w:jc w:val="center"/>
              <w:ind w:left="2463"/>
              <w:spacing w:after="0"/>
              <w:rPr>
                <w:sz w:val="20"/>
                <w:szCs w:val="20"/>
                <w:color w:val="auto"/>
              </w:rPr>
            </w:pPr>
            <w:r>
              <w:rPr>
                <w:rFonts w:ascii="Arial" w:cs="Arial" w:eastAsia="Arial" w:hAnsi="Arial"/>
                <w:sz w:val="15"/>
                <w:szCs w:val="15"/>
                <w:color w:val="auto"/>
              </w:rPr>
              <w:t>Year of Expiration</w:t>
            </w:r>
          </w:p>
        </w:tc>
      </w:tr>
      <w:tr>
        <w:trPr>
          <w:trHeight w:val="199"/>
        </w:trPr>
        <w:tc>
          <w:tcPr>
            <w:tcW w:w="4220" w:type="dxa"/>
            <w:vAlign w:val="bottom"/>
          </w:tcPr>
          <w:p>
            <w:pPr>
              <w:spacing w:after="0"/>
              <w:rPr>
                <w:sz w:val="20"/>
                <w:szCs w:val="20"/>
                <w:color w:val="auto"/>
              </w:rPr>
            </w:pPr>
            <w:r>
              <w:rPr>
                <w:rFonts w:ascii="Arial" w:cs="Arial" w:eastAsia="Arial" w:hAnsi="Arial"/>
                <w:sz w:val="15"/>
                <w:szCs w:val="15"/>
                <w:color w:val="auto"/>
              </w:rPr>
              <w:t>John H. Alschuler</w:t>
            </w:r>
          </w:p>
        </w:tc>
        <w:tc>
          <w:tcPr>
            <w:tcW w:w="3780" w:type="dxa"/>
            <w:vAlign w:val="bottom"/>
          </w:tcPr>
          <w:p>
            <w:pPr>
              <w:jc w:val="center"/>
              <w:ind w:left="2483"/>
              <w:spacing w:after="0"/>
              <w:rPr>
                <w:sz w:val="20"/>
                <w:szCs w:val="20"/>
                <w:color w:val="auto"/>
              </w:rPr>
            </w:pPr>
            <w:r>
              <w:rPr>
                <w:rFonts w:ascii="Arial" w:cs="Arial" w:eastAsia="Arial" w:hAnsi="Arial"/>
                <w:sz w:val="15"/>
                <w:szCs w:val="15"/>
                <w:color w:val="auto"/>
              </w:rPr>
              <w:t>2018</w:t>
            </w:r>
          </w:p>
        </w:tc>
      </w:tr>
      <w:tr>
        <w:trPr>
          <w:trHeight w:val="214"/>
        </w:trPr>
        <w:tc>
          <w:tcPr>
            <w:tcW w:w="4220" w:type="dxa"/>
            <w:vAlign w:val="bottom"/>
          </w:tcPr>
          <w:p>
            <w:pPr>
              <w:spacing w:after="0"/>
              <w:rPr>
                <w:sz w:val="20"/>
                <w:szCs w:val="20"/>
                <w:color w:val="auto"/>
              </w:rPr>
            </w:pPr>
            <w:r>
              <w:rPr>
                <w:rFonts w:ascii="Arial" w:cs="Arial" w:eastAsia="Arial" w:hAnsi="Arial"/>
                <w:sz w:val="15"/>
                <w:szCs w:val="15"/>
                <w:color w:val="auto"/>
              </w:rPr>
              <w:t>Stephen L. Green</w:t>
            </w:r>
          </w:p>
        </w:tc>
        <w:tc>
          <w:tcPr>
            <w:tcW w:w="3780" w:type="dxa"/>
            <w:vAlign w:val="bottom"/>
          </w:tcPr>
          <w:p>
            <w:pPr>
              <w:jc w:val="center"/>
              <w:ind w:left="2483"/>
              <w:spacing w:after="0"/>
              <w:rPr>
                <w:sz w:val="20"/>
                <w:szCs w:val="20"/>
                <w:color w:val="auto"/>
              </w:rPr>
            </w:pPr>
            <w:r>
              <w:rPr>
                <w:rFonts w:ascii="Arial" w:cs="Arial" w:eastAsia="Arial" w:hAnsi="Arial"/>
                <w:sz w:val="15"/>
                <w:szCs w:val="15"/>
                <w:color w:val="auto"/>
              </w:rPr>
              <w:t>2018</w:t>
            </w:r>
          </w:p>
        </w:tc>
      </w:tr>
      <w:tr>
        <w:trPr>
          <w:trHeight w:val="214"/>
        </w:trPr>
        <w:tc>
          <w:tcPr>
            <w:tcW w:w="4220" w:type="dxa"/>
            <w:vAlign w:val="bottom"/>
          </w:tcPr>
          <w:p>
            <w:pPr>
              <w:spacing w:after="0"/>
              <w:rPr>
                <w:sz w:val="20"/>
                <w:szCs w:val="20"/>
                <w:color w:val="auto"/>
              </w:rPr>
            </w:pPr>
            <w:r>
              <w:rPr>
                <w:rFonts w:ascii="Arial" w:cs="Arial" w:eastAsia="Arial" w:hAnsi="Arial"/>
                <w:sz w:val="15"/>
                <w:szCs w:val="15"/>
                <w:color w:val="auto"/>
              </w:rPr>
              <w:t>Lauren B. Dillard</w:t>
            </w:r>
          </w:p>
        </w:tc>
        <w:tc>
          <w:tcPr>
            <w:tcW w:w="3780" w:type="dxa"/>
            <w:vAlign w:val="bottom"/>
          </w:tcPr>
          <w:p>
            <w:pPr>
              <w:jc w:val="center"/>
              <w:ind w:left="2483"/>
              <w:spacing w:after="0"/>
              <w:rPr>
                <w:sz w:val="20"/>
                <w:szCs w:val="20"/>
                <w:color w:val="auto"/>
              </w:rPr>
            </w:pPr>
            <w:r>
              <w:rPr>
                <w:rFonts w:ascii="Arial" w:cs="Arial" w:eastAsia="Arial" w:hAnsi="Arial"/>
                <w:sz w:val="15"/>
                <w:szCs w:val="15"/>
                <w:color w:val="auto"/>
              </w:rPr>
              <w:t>2018</w:t>
            </w:r>
          </w:p>
        </w:tc>
      </w:tr>
      <w:tr>
        <w:trPr>
          <w:trHeight w:val="214"/>
        </w:trPr>
        <w:tc>
          <w:tcPr>
            <w:tcW w:w="4220" w:type="dxa"/>
            <w:vAlign w:val="bottom"/>
          </w:tcPr>
          <w:p>
            <w:pPr>
              <w:spacing w:after="0"/>
              <w:rPr>
                <w:sz w:val="20"/>
                <w:szCs w:val="20"/>
                <w:color w:val="auto"/>
              </w:rPr>
            </w:pPr>
            <w:r>
              <w:rPr>
                <w:rFonts w:ascii="Arial" w:cs="Arial" w:eastAsia="Arial" w:hAnsi="Arial"/>
                <w:sz w:val="15"/>
                <w:szCs w:val="15"/>
                <w:color w:val="auto"/>
              </w:rPr>
              <w:t>Edwin Thomas Burton III</w:t>
            </w:r>
          </w:p>
        </w:tc>
        <w:tc>
          <w:tcPr>
            <w:tcW w:w="3780" w:type="dxa"/>
            <w:vAlign w:val="bottom"/>
          </w:tcPr>
          <w:p>
            <w:pPr>
              <w:jc w:val="center"/>
              <w:ind w:left="2483"/>
              <w:spacing w:after="0"/>
              <w:rPr>
                <w:sz w:val="20"/>
                <w:szCs w:val="20"/>
                <w:color w:val="auto"/>
              </w:rPr>
            </w:pPr>
            <w:r>
              <w:rPr>
                <w:rFonts w:ascii="Arial" w:cs="Arial" w:eastAsia="Arial" w:hAnsi="Arial"/>
                <w:sz w:val="15"/>
                <w:szCs w:val="15"/>
                <w:color w:val="auto"/>
              </w:rPr>
              <w:t>2019</w:t>
            </w:r>
          </w:p>
        </w:tc>
      </w:tr>
      <w:tr>
        <w:trPr>
          <w:trHeight w:val="214"/>
        </w:trPr>
        <w:tc>
          <w:tcPr>
            <w:tcW w:w="4220" w:type="dxa"/>
            <w:vAlign w:val="bottom"/>
          </w:tcPr>
          <w:p>
            <w:pPr>
              <w:spacing w:after="0"/>
              <w:rPr>
                <w:sz w:val="20"/>
                <w:szCs w:val="20"/>
                <w:color w:val="auto"/>
              </w:rPr>
            </w:pPr>
            <w:r>
              <w:rPr>
                <w:rFonts w:ascii="Arial" w:cs="Arial" w:eastAsia="Arial" w:hAnsi="Arial"/>
                <w:sz w:val="15"/>
                <w:szCs w:val="15"/>
                <w:color w:val="auto"/>
              </w:rPr>
              <w:t>Craig M. Hatkoff</w:t>
            </w:r>
          </w:p>
        </w:tc>
        <w:tc>
          <w:tcPr>
            <w:tcW w:w="3780" w:type="dxa"/>
            <w:vAlign w:val="bottom"/>
          </w:tcPr>
          <w:p>
            <w:pPr>
              <w:jc w:val="center"/>
              <w:ind w:left="2483"/>
              <w:spacing w:after="0"/>
              <w:rPr>
                <w:sz w:val="20"/>
                <w:szCs w:val="20"/>
                <w:color w:val="auto"/>
              </w:rPr>
            </w:pPr>
            <w:r>
              <w:rPr>
                <w:rFonts w:ascii="Arial" w:cs="Arial" w:eastAsia="Arial" w:hAnsi="Arial"/>
                <w:sz w:val="15"/>
                <w:szCs w:val="15"/>
                <w:color w:val="auto"/>
              </w:rPr>
              <w:t>2019</w:t>
            </w:r>
          </w:p>
        </w:tc>
      </w:tr>
      <w:tr>
        <w:trPr>
          <w:trHeight w:val="214"/>
        </w:trPr>
        <w:tc>
          <w:tcPr>
            <w:tcW w:w="4220" w:type="dxa"/>
            <w:vAlign w:val="bottom"/>
          </w:tcPr>
          <w:p>
            <w:pPr>
              <w:spacing w:after="0"/>
              <w:rPr>
                <w:sz w:val="20"/>
                <w:szCs w:val="20"/>
                <w:color w:val="auto"/>
              </w:rPr>
            </w:pPr>
            <w:r>
              <w:rPr>
                <w:rFonts w:ascii="Arial" w:cs="Arial" w:eastAsia="Arial" w:hAnsi="Arial"/>
                <w:sz w:val="15"/>
                <w:szCs w:val="15"/>
                <w:color w:val="auto"/>
              </w:rPr>
              <w:t>Andrew W. Mathias</w:t>
            </w:r>
          </w:p>
        </w:tc>
        <w:tc>
          <w:tcPr>
            <w:tcW w:w="3780" w:type="dxa"/>
            <w:vAlign w:val="bottom"/>
          </w:tcPr>
          <w:p>
            <w:pPr>
              <w:jc w:val="center"/>
              <w:ind w:left="2483"/>
              <w:spacing w:after="0"/>
              <w:rPr>
                <w:sz w:val="20"/>
                <w:szCs w:val="20"/>
                <w:color w:val="auto"/>
              </w:rPr>
            </w:pPr>
            <w:r>
              <w:rPr>
                <w:rFonts w:ascii="Arial" w:cs="Arial" w:eastAsia="Arial" w:hAnsi="Arial"/>
                <w:sz w:val="15"/>
                <w:szCs w:val="15"/>
                <w:color w:val="auto"/>
              </w:rPr>
              <w:t>2019</w:t>
            </w:r>
          </w:p>
        </w:tc>
      </w:tr>
      <w:tr>
        <w:trPr>
          <w:trHeight w:val="214"/>
        </w:trPr>
        <w:tc>
          <w:tcPr>
            <w:tcW w:w="4220" w:type="dxa"/>
            <w:vAlign w:val="bottom"/>
          </w:tcPr>
          <w:p>
            <w:pPr>
              <w:spacing w:after="0"/>
              <w:rPr>
                <w:sz w:val="20"/>
                <w:szCs w:val="20"/>
                <w:color w:val="auto"/>
              </w:rPr>
            </w:pPr>
            <w:r>
              <w:rPr>
                <w:rFonts w:ascii="Arial" w:cs="Arial" w:eastAsia="Arial" w:hAnsi="Arial"/>
                <w:sz w:val="15"/>
                <w:szCs w:val="15"/>
                <w:color w:val="auto"/>
              </w:rPr>
              <w:t>Marc Holliday</w:t>
            </w:r>
          </w:p>
        </w:tc>
        <w:tc>
          <w:tcPr>
            <w:tcW w:w="3780" w:type="dxa"/>
            <w:vAlign w:val="bottom"/>
          </w:tcPr>
          <w:p>
            <w:pPr>
              <w:jc w:val="center"/>
              <w:ind w:left="2483"/>
              <w:spacing w:after="0"/>
              <w:rPr>
                <w:sz w:val="20"/>
                <w:szCs w:val="20"/>
                <w:color w:val="auto"/>
              </w:rPr>
            </w:pPr>
            <w:r>
              <w:rPr>
                <w:rFonts w:ascii="Arial" w:cs="Arial" w:eastAsia="Arial" w:hAnsi="Arial"/>
                <w:sz w:val="15"/>
                <w:szCs w:val="15"/>
                <w:color w:val="auto"/>
              </w:rPr>
              <w:t>2020</w:t>
            </w:r>
          </w:p>
        </w:tc>
      </w:tr>
      <w:tr>
        <w:trPr>
          <w:trHeight w:val="214"/>
        </w:trPr>
        <w:tc>
          <w:tcPr>
            <w:tcW w:w="4220" w:type="dxa"/>
            <w:vAlign w:val="bottom"/>
          </w:tcPr>
          <w:p>
            <w:pPr>
              <w:spacing w:after="0"/>
              <w:rPr>
                <w:sz w:val="20"/>
                <w:szCs w:val="20"/>
                <w:color w:val="auto"/>
              </w:rPr>
            </w:pPr>
            <w:r>
              <w:rPr>
                <w:rFonts w:ascii="Arial" w:cs="Arial" w:eastAsia="Arial" w:hAnsi="Arial"/>
                <w:sz w:val="15"/>
                <w:szCs w:val="15"/>
                <w:color w:val="auto"/>
              </w:rPr>
              <w:t>John S. Levy</w:t>
            </w:r>
          </w:p>
        </w:tc>
        <w:tc>
          <w:tcPr>
            <w:tcW w:w="3780" w:type="dxa"/>
            <w:vAlign w:val="bottom"/>
          </w:tcPr>
          <w:p>
            <w:pPr>
              <w:jc w:val="center"/>
              <w:ind w:left="2483"/>
              <w:spacing w:after="0"/>
              <w:rPr>
                <w:sz w:val="20"/>
                <w:szCs w:val="20"/>
                <w:color w:val="auto"/>
              </w:rPr>
            </w:pPr>
            <w:r>
              <w:rPr>
                <w:rFonts w:ascii="Arial" w:cs="Arial" w:eastAsia="Arial" w:hAnsi="Arial"/>
                <w:sz w:val="15"/>
                <w:szCs w:val="15"/>
                <w:color w:val="auto"/>
              </w:rPr>
              <w:t>2020</w:t>
            </w:r>
          </w:p>
        </w:tc>
      </w:tr>
      <w:tr>
        <w:trPr>
          <w:trHeight w:val="214"/>
        </w:trPr>
        <w:tc>
          <w:tcPr>
            <w:tcW w:w="4220" w:type="dxa"/>
            <w:vAlign w:val="bottom"/>
          </w:tcPr>
          <w:p>
            <w:pPr>
              <w:spacing w:after="0"/>
              <w:rPr>
                <w:sz w:val="20"/>
                <w:szCs w:val="20"/>
                <w:color w:val="auto"/>
              </w:rPr>
            </w:pPr>
            <w:r>
              <w:rPr>
                <w:rFonts w:ascii="Arial" w:cs="Arial" w:eastAsia="Arial" w:hAnsi="Arial"/>
                <w:sz w:val="15"/>
                <w:szCs w:val="15"/>
                <w:color w:val="auto"/>
              </w:rPr>
              <w:t>Betsy Atkins</w:t>
            </w:r>
          </w:p>
        </w:tc>
        <w:tc>
          <w:tcPr>
            <w:tcW w:w="3780" w:type="dxa"/>
            <w:vAlign w:val="bottom"/>
          </w:tcPr>
          <w:p>
            <w:pPr>
              <w:jc w:val="center"/>
              <w:ind w:left="2483"/>
              <w:spacing w:after="0"/>
              <w:rPr>
                <w:sz w:val="20"/>
                <w:szCs w:val="20"/>
                <w:color w:val="auto"/>
              </w:rPr>
            </w:pPr>
            <w:r>
              <w:rPr>
                <w:rFonts w:ascii="Arial" w:cs="Arial" w:eastAsia="Arial" w:hAnsi="Arial"/>
                <w:sz w:val="15"/>
                <w:szCs w:val="15"/>
                <w:color w:val="auto"/>
              </w:rPr>
              <w:t>2020</w:t>
            </w:r>
          </w:p>
        </w:tc>
      </w:tr>
    </w:tbl>
    <w:p>
      <w:pPr>
        <w:spacing w:after="0" w:line="200" w:lineRule="exact"/>
        <w:rPr>
          <w:sz w:val="20"/>
          <w:szCs w:val="20"/>
          <w:color w:val="auto"/>
        </w:rPr>
      </w:pPr>
    </w:p>
    <w:p>
      <w:pPr>
        <w:spacing w:after="0" w:line="220" w:lineRule="exact"/>
        <w:rPr>
          <w:sz w:val="20"/>
          <w:szCs w:val="20"/>
          <w:color w:val="auto"/>
        </w:rPr>
      </w:pPr>
    </w:p>
    <w:p>
      <w:pPr>
        <w:jc w:val="both"/>
        <w:ind w:right="20" w:firstLine="237"/>
        <w:spacing w:after="0" w:line="256" w:lineRule="auto"/>
        <w:rPr>
          <w:sz w:val="20"/>
          <w:szCs w:val="20"/>
          <w:color w:val="auto"/>
        </w:rPr>
      </w:pPr>
      <w:r>
        <w:rPr>
          <w:rFonts w:ascii="Arial" w:cs="Arial" w:eastAsia="Arial" w:hAnsi="Arial"/>
          <w:sz w:val="15"/>
          <w:szCs w:val="15"/>
          <w:color w:val="auto"/>
        </w:rPr>
        <w:t>Each director shall serve for the term of office for which he or she is elected, and until his or her successor is duly elected and qualifies. At each annual meeting of stockholders commencing with the annual meeting of stockholders held in 2018, the successors to the directors whose term expires at such annual meeting of stockholders shall be elected to hold office until the next annual meeting of stockholders and until their successors are duly elected and qualified.</w:t>
      </w:r>
    </w:p>
    <w:p>
      <w:pPr>
        <w:spacing w:after="0" w:line="154" w:lineRule="exact"/>
        <w:rPr>
          <w:sz w:val="20"/>
          <w:szCs w:val="20"/>
          <w:color w:val="auto"/>
        </w:rPr>
      </w:pPr>
    </w:p>
    <w:p>
      <w:pPr>
        <w:jc w:val="both"/>
        <w:ind w:firstLine="237"/>
        <w:spacing w:after="0" w:line="290" w:lineRule="auto"/>
        <w:rPr>
          <w:sz w:val="20"/>
          <w:szCs w:val="20"/>
          <w:color w:val="auto"/>
        </w:rPr>
      </w:pPr>
      <w:r>
        <w:rPr>
          <w:rFonts w:ascii="Arial" w:cs="Arial" w:eastAsia="Arial" w:hAnsi="Arial"/>
          <w:sz w:val="15"/>
          <w:szCs w:val="15"/>
          <w:b w:val="1"/>
          <w:bCs w:val="1"/>
          <w:u w:val="single" w:color="auto"/>
          <w:color w:val="auto"/>
        </w:rPr>
        <w:t>THIRD</w:t>
      </w:r>
      <w:r>
        <w:rPr>
          <w:rFonts w:ascii="Arial" w:cs="Arial" w:eastAsia="Arial" w:hAnsi="Arial"/>
          <w:sz w:val="15"/>
          <w:szCs w:val="15"/>
          <w:color w:val="auto"/>
        </w:rPr>
        <w:t>: The foregoing amendment to the Charter as set forth in these Articles of Amendment has been duly advised by the Board of Directors of the Corporation</w:t>
      </w:r>
      <w:r>
        <w:rPr>
          <w:rFonts w:ascii="Arial" w:cs="Arial" w:eastAsia="Arial" w:hAnsi="Arial"/>
          <w:sz w:val="15"/>
          <w:szCs w:val="15"/>
          <w:b w:val="1"/>
          <w:bCs w:val="1"/>
          <w:color w:val="auto"/>
        </w:rPr>
        <w:t xml:space="preserve"> </w:t>
      </w:r>
      <w:r>
        <w:rPr>
          <w:rFonts w:ascii="Arial" w:cs="Arial" w:eastAsia="Arial" w:hAnsi="Arial"/>
          <w:sz w:val="15"/>
          <w:szCs w:val="15"/>
          <w:color w:val="auto"/>
        </w:rPr>
        <w:t>and approved by the stockholders of the Corporation as required by law.</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5"/>
          <w:szCs w:val="15"/>
          <w:b w:val="1"/>
          <w:bCs w:val="1"/>
          <w:u w:val="single" w:color="auto"/>
          <w:color w:val="auto"/>
        </w:rPr>
        <w:t>FOURTH</w:t>
      </w:r>
      <w:r>
        <w:rPr>
          <w:rFonts w:ascii="Arial" w:cs="Arial" w:eastAsia="Arial" w:hAnsi="Arial"/>
          <w:sz w:val="15"/>
          <w:szCs w:val="15"/>
          <w:color w:val="auto"/>
        </w:rPr>
        <w:t>: These Articles of Amendment shall be effective upon filing with the Department.</w:t>
      </w:r>
    </w:p>
    <w:p>
      <w:pPr>
        <w:spacing w:after="0" w:line="195" w:lineRule="exact"/>
        <w:rPr>
          <w:sz w:val="20"/>
          <w:szCs w:val="20"/>
          <w:color w:val="auto"/>
        </w:rPr>
      </w:pPr>
    </w:p>
    <w:p>
      <w:pPr>
        <w:jc w:val="both"/>
        <w:ind w:firstLine="237"/>
        <w:spacing w:after="0" w:line="269" w:lineRule="auto"/>
        <w:rPr>
          <w:sz w:val="20"/>
          <w:szCs w:val="20"/>
          <w:color w:val="auto"/>
        </w:rPr>
      </w:pPr>
      <w:r>
        <w:rPr>
          <w:rFonts w:ascii="Arial" w:cs="Arial" w:eastAsia="Arial" w:hAnsi="Arial"/>
          <w:sz w:val="15"/>
          <w:szCs w:val="15"/>
          <w:b w:val="1"/>
          <w:bCs w:val="1"/>
          <w:u w:val="single" w:color="auto"/>
          <w:color w:val="auto"/>
        </w:rPr>
        <w:t>FIFTH</w:t>
      </w:r>
      <w:r>
        <w:rPr>
          <w:rFonts w:ascii="Arial" w:cs="Arial" w:eastAsia="Arial" w:hAnsi="Arial"/>
          <w:sz w:val="15"/>
          <w:szCs w:val="15"/>
          <w:color w:val="auto"/>
        </w:rPr>
        <w:t>: The undersigned Chief Executive Officer of the Corporation acknowledges these Articles of Amendment to be the corporate act of the Corporation and, as to</w:t>
      </w:r>
      <w:r>
        <w:rPr>
          <w:rFonts w:ascii="Arial" w:cs="Arial" w:eastAsia="Arial" w:hAnsi="Arial"/>
          <w:sz w:val="15"/>
          <w:szCs w:val="15"/>
          <w:b w:val="1"/>
          <w:bCs w:val="1"/>
          <w:color w:val="auto"/>
        </w:rPr>
        <w:t xml:space="preserve"> </w:t>
      </w:r>
      <w:r>
        <w:rPr>
          <w:rFonts w:ascii="Arial" w:cs="Arial" w:eastAsia="Arial" w:hAnsi="Arial"/>
          <w:sz w:val="15"/>
          <w:szCs w:val="15"/>
          <w:color w:val="auto"/>
        </w:rPr>
        <w:t>all matters or facts required to be verified under oath, the undersigned Chief Executive Officer acknowledges that to the best of his knowledge, information and belief, these matters and facts are true in all material respects and that this statement is made under the penalties for perjury.</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2017 Proxy Statement </w:t>
      </w:r>
      <w:r>
        <w:rPr>
          <w:rFonts w:ascii="Arial" w:cs="Arial" w:eastAsia="Arial" w:hAnsi="Arial"/>
          <w:sz w:val="15"/>
          <w:szCs w:val="15"/>
          <w:color w:val="325889"/>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83450" cy="203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0"/>
          </w:cols>
          <w:pgMar w:left="240" w:top="528" w:right="219" w:bottom="1440" w:gutter="0" w:footer="0" w:header="0"/>
        </w:sectPr>
      </w:pPr>
    </w:p>
    <w:bookmarkStart w:id="74" w:name="page75"/>
    <w:bookmarkEnd w:id="74"/>
    <w:p>
      <w:pPr>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31" w:lineRule="exact"/>
        <w:rPr>
          <w:sz w:val="20"/>
          <w:szCs w:val="20"/>
          <w:color w:val="auto"/>
        </w:rPr>
      </w:pPr>
    </w:p>
    <w:p>
      <w:pPr>
        <w:ind w:left="160"/>
        <w:spacing w:after="0"/>
        <w:rPr>
          <w:sz w:val="20"/>
          <w:szCs w:val="20"/>
          <w:color w:val="auto"/>
        </w:rPr>
      </w:pPr>
      <w:r>
        <w:rPr>
          <w:rFonts w:ascii="Arial" w:cs="Arial" w:eastAsia="Arial" w:hAnsi="Arial"/>
          <w:sz w:val="15"/>
          <w:szCs w:val="15"/>
          <w:b w:val="1"/>
          <w:bCs w:val="1"/>
          <w:i w:val="1"/>
          <w:iCs w:val="1"/>
          <w:color w:val="auto"/>
        </w:rPr>
        <w:t>SL GREEN REALTY CORP.</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5"/>
          <w:szCs w:val="15"/>
          <w:b w:val="1"/>
          <w:bCs w:val="1"/>
          <w:i w:val="1"/>
          <w:iCs w:val="1"/>
          <w:color w:val="auto"/>
        </w:rPr>
        <w:t>420 LEXINGTON AVE.</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5"/>
          <w:szCs w:val="15"/>
          <w:b w:val="1"/>
          <w:bCs w:val="1"/>
          <w:i w:val="1"/>
          <w:iCs w:val="1"/>
          <w:color w:val="auto"/>
        </w:rPr>
        <w:t>NEW YORK, NY 10170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AUTHORIZE YOUR PROXY BY INTERNET - </w:t>
      </w:r>
      <w:r>
        <w:rPr>
          <w:rFonts w:ascii="Arial" w:cs="Arial" w:eastAsia="Arial" w:hAnsi="Arial"/>
          <w:sz w:val="12"/>
          <w:szCs w:val="12"/>
          <w:b w:val="1"/>
          <w:bCs w:val="1"/>
          <w:u w:val="single" w:color="auto"/>
          <w:color w:val="auto"/>
        </w:rPr>
        <w:t>www.proxyvote.com</w:t>
      </w:r>
    </w:p>
    <w:p>
      <w:pPr>
        <w:spacing w:after="0" w:line="7" w:lineRule="exact"/>
        <w:rPr>
          <w:sz w:val="20"/>
          <w:szCs w:val="20"/>
          <w:color w:val="auto"/>
        </w:rPr>
      </w:pPr>
    </w:p>
    <w:p>
      <w:pPr>
        <w:jc w:val="both"/>
        <w:ind w:right="160"/>
        <w:spacing w:after="0" w:line="231" w:lineRule="auto"/>
        <w:rPr>
          <w:sz w:val="20"/>
          <w:szCs w:val="20"/>
          <w:color w:val="auto"/>
        </w:rPr>
      </w:pPr>
      <w:r>
        <w:rPr>
          <w:rFonts w:ascii="Arial" w:cs="Arial" w:eastAsia="Arial" w:hAnsi="Arial"/>
          <w:sz w:val="12"/>
          <w:szCs w:val="12"/>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AUTHORIZE YOUR PROXY BY PHONE - 1-800-690-6903</w:t>
      </w:r>
    </w:p>
    <w:p>
      <w:pPr>
        <w:spacing w:after="0" w:line="7" w:lineRule="exact"/>
        <w:rPr>
          <w:sz w:val="20"/>
          <w:szCs w:val="20"/>
          <w:color w:val="auto"/>
        </w:rPr>
      </w:pPr>
    </w:p>
    <w:p>
      <w:pPr>
        <w:jc w:val="both"/>
        <w:ind w:right="160"/>
        <w:spacing w:after="0" w:line="233" w:lineRule="auto"/>
        <w:rPr>
          <w:sz w:val="20"/>
          <w:szCs w:val="20"/>
          <w:color w:val="auto"/>
        </w:rPr>
      </w:pPr>
      <w:r>
        <w:rPr>
          <w:rFonts w:ascii="Arial" w:cs="Arial" w:eastAsia="Arial" w:hAnsi="Arial"/>
          <w:sz w:val="12"/>
          <w:szCs w:val="12"/>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AUTHORIZE YOUR PROXY BY MAIL</w:t>
      </w:r>
    </w:p>
    <w:p>
      <w:pPr>
        <w:spacing w:after="0" w:line="7" w:lineRule="exact"/>
        <w:rPr>
          <w:sz w:val="20"/>
          <w:szCs w:val="20"/>
          <w:color w:val="auto"/>
        </w:rPr>
      </w:pPr>
    </w:p>
    <w:p>
      <w:pPr>
        <w:jc w:val="both"/>
        <w:ind w:right="160"/>
        <w:spacing w:after="0" w:line="236" w:lineRule="auto"/>
        <w:rPr>
          <w:sz w:val="20"/>
          <w:szCs w:val="20"/>
          <w:color w:val="auto"/>
        </w:rPr>
      </w:pPr>
      <w:r>
        <w:rPr>
          <w:rFonts w:ascii="Arial" w:cs="Arial" w:eastAsia="Arial" w:hAnsi="Arial"/>
          <w:sz w:val="12"/>
          <w:szCs w:val="12"/>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060" w:space="720"/>
            <w:col w:w="5660"/>
          </w:cols>
          <w:pgMar w:left="240" w:top="528"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2"/>
          <w:szCs w:val="12"/>
          <w:color w:val="auto"/>
        </w:rPr>
        <w:t>TO VOTE, MARK BLOCKS BELOW IN BLUE OR BLACK INK AS FOLLOWS:</w:t>
      </w:r>
    </w:p>
    <w:p>
      <w:pPr>
        <w:jc w:val="right"/>
        <w:spacing w:after="0"/>
        <w:tabs>
          <w:tab w:leader="none" w:pos="2460" w:val="left"/>
        </w:tabs>
        <w:rPr>
          <w:sz w:val="20"/>
          <w:szCs w:val="20"/>
          <w:color w:val="auto"/>
        </w:rPr>
      </w:pPr>
      <w:r>
        <w:rPr>
          <w:rFonts w:ascii="Arial" w:cs="Arial" w:eastAsia="Arial" w:hAnsi="Arial"/>
          <w:sz w:val="12"/>
          <w:szCs w:val="12"/>
          <w:color w:val="auto"/>
        </w:rPr>
        <w:t>E24792-P88412</w:t>
      </w:r>
      <w:r>
        <w:rPr>
          <w:sz w:val="20"/>
          <w:szCs w:val="20"/>
          <w:color w:val="auto"/>
        </w:rPr>
        <w:tab/>
      </w:r>
      <w:r>
        <w:rPr>
          <w:rFonts w:ascii="Arial" w:cs="Arial" w:eastAsia="Arial" w:hAnsi="Arial"/>
          <w:sz w:val="11"/>
          <w:szCs w:val="11"/>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5650230</wp:posOffset>
            </wp:positionH>
            <wp:positionV relativeFrom="paragraph">
              <wp:posOffset>-16510</wp:posOffset>
            </wp:positionV>
            <wp:extent cx="1622425" cy="330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622425" cy="33020"/>
                    </a:xfrm>
                    <a:prstGeom prst="rect">
                      <a:avLst/>
                    </a:prstGeom>
                    <a:noFill/>
                  </pic:spPr>
                </pic:pic>
              </a:graphicData>
            </a:graphic>
          </wp:anchor>
        </w:drawing>
      </w:r>
    </w:p>
    <w:p>
      <w:pPr>
        <w:jc w:val="right"/>
        <w:spacing w:after="0" w:line="234" w:lineRule="auto"/>
        <w:rPr>
          <w:sz w:val="20"/>
          <w:szCs w:val="20"/>
          <w:color w:val="auto"/>
        </w:rPr>
      </w:pPr>
      <w:r>
        <w:rPr>
          <w:rFonts w:ascii="Arial" w:cs="Arial" w:eastAsia="Arial" w:hAnsi="Arial"/>
          <w:sz w:val="12"/>
          <w:szCs w:val="12"/>
          <w:color w:val="auto"/>
        </w:rPr>
        <w:t>DETACH AND RETURN THIS PORTION ONLY</w:t>
      </w:r>
    </w:p>
    <w:p>
      <w:pPr>
        <w:jc w:val="center"/>
        <w:spacing w:after="0"/>
        <w:rPr>
          <w:sz w:val="20"/>
          <w:szCs w:val="20"/>
          <w:color w:val="auto"/>
        </w:rPr>
      </w:pPr>
      <w:r>
        <w:rPr>
          <w:rFonts w:ascii="Arial" w:cs="Arial" w:eastAsia="Arial" w:hAnsi="Arial"/>
          <w:sz w:val="12"/>
          <w:szCs w:val="12"/>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7253605" cy="3817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3605" cy="3817620"/>
                    </a:xfrm>
                    <a:prstGeom prst="rect">
                      <a:avLst/>
                    </a:prstGeom>
                    <a:noFill/>
                  </pic:spPr>
                </pic:pic>
              </a:graphicData>
            </a:graphic>
          </wp:anchor>
        </w:drawing>
      </w:r>
    </w:p>
    <w:p>
      <w:pPr>
        <w:spacing w:after="0" w:line="77"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SL GREEN REALTY CORP.</w:t>
      </w:r>
    </w:p>
    <w:p>
      <w:pPr>
        <w:sectPr>
          <w:pgSz w:w="11900" w:h="16838" w:orient="portrait"/>
          <w:cols w:equalWidth="0" w:num="1">
            <w:col w:w="11440"/>
          </w:cols>
          <w:pgMar w:left="240" w:top="528" w:right="219" w:bottom="1440" w:gutter="0" w:footer="0" w:header="0"/>
          <w:type w:val="continuous"/>
        </w:sectPr>
      </w:pPr>
    </w:p>
    <w:p>
      <w:pPr>
        <w:spacing w:after="0" w:line="123" w:lineRule="exact"/>
        <w:rPr>
          <w:sz w:val="20"/>
          <w:szCs w:val="20"/>
          <w:color w:val="auto"/>
        </w:rPr>
      </w:pPr>
    </w:p>
    <w:tbl>
      <w:tblPr>
        <w:tblLayout w:type="fixed"/>
        <w:tblInd w:w="240" w:type="dxa"/>
        <w:tblCellMar>
          <w:top w:w="0" w:type="dxa"/>
          <w:left w:w="0" w:type="dxa"/>
          <w:bottom w:w="0" w:type="dxa"/>
          <w:right w:w="0" w:type="dxa"/>
        </w:tblCellMar>
      </w:tblPr>
      <w:tr>
        <w:trPr>
          <w:trHeight w:val="155"/>
        </w:trPr>
        <w:tc>
          <w:tcPr>
            <w:tcW w:w="3820" w:type="dxa"/>
            <w:vAlign w:val="bottom"/>
            <w:gridSpan w:val="2"/>
          </w:tcPr>
          <w:p>
            <w:pPr>
              <w:spacing w:after="0"/>
              <w:rPr>
                <w:sz w:val="20"/>
                <w:szCs w:val="20"/>
                <w:color w:val="auto"/>
              </w:rPr>
            </w:pPr>
            <w:r>
              <w:rPr>
                <w:rFonts w:ascii="Arial" w:cs="Arial" w:eastAsia="Arial" w:hAnsi="Arial"/>
                <w:sz w:val="12"/>
                <w:szCs w:val="12"/>
                <w:b w:val="1"/>
                <w:bCs w:val="1"/>
                <w:color w:val="auto"/>
              </w:rPr>
              <w:t>The Board of Directors recommends you vote FOR the following:</w:t>
            </w: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261"/>
        </w:trPr>
        <w:tc>
          <w:tcPr>
            <w:tcW w:w="3820" w:type="dxa"/>
            <w:vAlign w:val="bottom"/>
            <w:gridSpan w:val="2"/>
          </w:tcPr>
          <w:p>
            <w:pPr>
              <w:spacing w:after="0"/>
              <w:rPr>
                <w:sz w:val="20"/>
                <w:szCs w:val="20"/>
                <w:color w:val="auto"/>
              </w:rPr>
            </w:pPr>
            <w:r>
              <w:rPr>
                <w:rFonts w:ascii="Arial" w:cs="Arial" w:eastAsia="Arial" w:hAnsi="Arial"/>
                <w:sz w:val="12"/>
                <w:szCs w:val="12"/>
                <w:color w:val="auto"/>
              </w:rPr>
              <w:t>1.  Election of Directors</w:t>
            </w:r>
          </w:p>
        </w:tc>
        <w:tc>
          <w:tcPr>
            <w:tcW w:w="3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61"/>
        </w:trPr>
        <w:tc>
          <w:tcPr>
            <w:tcW w:w="3820" w:type="dxa"/>
            <w:vAlign w:val="bottom"/>
            <w:gridSpan w:val="2"/>
          </w:tcPr>
          <w:p>
            <w:pPr>
              <w:ind w:left="200"/>
              <w:spacing w:after="0"/>
              <w:rPr>
                <w:sz w:val="20"/>
                <w:szCs w:val="20"/>
                <w:color w:val="auto"/>
              </w:rPr>
            </w:pPr>
            <w:r>
              <w:rPr>
                <w:rFonts w:ascii="Arial" w:cs="Arial" w:eastAsia="Arial" w:hAnsi="Arial"/>
                <w:sz w:val="12"/>
                <w:szCs w:val="12"/>
                <w:b w:val="1"/>
                <w:bCs w:val="1"/>
                <w:color w:val="auto"/>
              </w:rPr>
              <w:t>Nominees:</w:t>
            </w:r>
          </w:p>
        </w:tc>
        <w:tc>
          <w:tcPr>
            <w:tcW w:w="380" w:type="dxa"/>
            <w:vAlign w:val="bottom"/>
          </w:tcPr>
          <w:p>
            <w:pPr>
              <w:jc w:val="center"/>
              <w:ind w:left="38"/>
              <w:spacing w:after="0"/>
              <w:rPr>
                <w:sz w:val="20"/>
                <w:szCs w:val="20"/>
                <w:color w:val="auto"/>
              </w:rPr>
            </w:pPr>
            <w:r>
              <w:rPr>
                <w:rFonts w:ascii="Arial" w:cs="Arial" w:eastAsia="Arial" w:hAnsi="Arial"/>
                <w:sz w:val="12"/>
                <w:szCs w:val="12"/>
                <w:b w:val="1"/>
                <w:bCs w:val="1"/>
                <w:color w:val="auto"/>
              </w:rPr>
              <w:t>For</w:t>
            </w: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99"/>
              </w:rPr>
              <w:t>Against</w:t>
            </w: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w w:val="95"/>
              </w:rPr>
              <w:t>Abstain</w:t>
            </w:r>
          </w:p>
        </w:tc>
      </w:tr>
      <w:tr>
        <w:trPr>
          <w:trHeight w:val="350"/>
        </w:trPr>
        <w:tc>
          <w:tcPr>
            <w:tcW w:w="420" w:type="dxa"/>
            <w:vAlign w:val="bottom"/>
          </w:tcPr>
          <w:p>
            <w:pPr>
              <w:ind w:left="200"/>
              <w:spacing w:after="0"/>
              <w:rPr>
                <w:sz w:val="20"/>
                <w:szCs w:val="20"/>
                <w:color w:val="auto"/>
              </w:rPr>
            </w:pPr>
            <w:r>
              <w:rPr>
                <w:rFonts w:ascii="Arial" w:cs="Arial" w:eastAsia="Arial" w:hAnsi="Arial"/>
                <w:sz w:val="12"/>
                <w:szCs w:val="12"/>
                <w:color w:val="auto"/>
              </w:rPr>
              <w:t>1a.</w:t>
            </w:r>
          </w:p>
        </w:tc>
        <w:tc>
          <w:tcPr>
            <w:tcW w:w="3400" w:type="dxa"/>
            <w:vAlign w:val="bottom"/>
          </w:tcPr>
          <w:p>
            <w:pPr>
              <w:ind w:left="60"/>
              <w:spacing w:after="0"/>
              <w:rPr>
                <w:sz w:val="20"/>
                <w:szCs w:val="20"/>
                <w:color w:val="auto"/>
              </w:rPr>
            </w:pPr>
            <w:r>
              <w:rPr>
                <w:rFonts w:ascii="Arial" w:cs="Arial" w:eastAsia="Arial" w:hAnsi="Arial"/>
                <w:sz w:val="12"/>
                <w:szCs w:val="12"/>
                <w:color w:val="auto"/>
              </w:rPr>
              <w:t>Betsy Atkins</w:t>
            </w:r>
          </w:p>
        </w:tc>
        <w:tc>
          <w:tcPr>
            <w:tcW w:w="380" w:type="dxa"/>
            <w:vAlign w:val="bottom"/>
          </w:tcPr>
          <w:p>
            <w:pPr>
              <w:jc w:val="center"/>
              <w:ind w:left="38"/>
              <w:spacing w:after="0" w:line="131" w:lineRule="exact"/>
              <w:rPr>
                <w:sz w:val="20"/>
                <w:szCs w:val="20"/>
                <w:color w:val="auto"/>
              </w:rPr>
            </w:pPr>
            <w:r>
              <w:rPr>
                <w:rFonts w:ascii="MS PGothic" w:cs="MS PGothic" w:eastAsia="MS PGothic" w:hAnsi="MS PGothic"/>
                <w:sz w:val="13"/>
                <w:szCs w:val="13"/>
                <w:color w:val="auto"/>
                <w:w w:val="91"/>
              </w:rPr>
              <w:t>☐</w:t>
            </w:r>
          </w:p>
        </w:tc>
        <w:tc>
          <w:tcPr>
            <w:tcW w:w="5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4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r>
      <w:tr>
        <w:trPr>
          <w:trHeight w:val="285"/>
        </w:trPr>
        <w:tc>
          <w:tcPr>
            <w:tcW w:w="420" w:type="dxa"/>
            <w:vAlign w:val="bottom"/>
          </w:tcPr>
          <w:p>
            <w:pPr>
              <w:ind w:left="200"/>
              <w:spacing w:after="0"/>
              <w:rPr>
                <w:sz w:val="20"/>
                <w:szCs w:val="20"/>
                <w:color w:val="auto"/>
              </w:rPr>
            </w:pPr>
            <w:r>
              <w:rPr>
                <w:rFonts w:ascii="Arial" w:cs="Arial" w:eastAsia="Arial" w:hAnsi="Arial"/>
                <w:sz w:val="12"/>
                <w:szCs w:val="12"/>
                <w:color w:val="auto"/>
              </w:rPr>
              <w:t>1b.</w:t>
            </w:r>
          </w:p>
        </w:tc>
        <w:tc>
          <w:tcPr>
            <w:tcW w:w="3400" w:type="dxa"/>
            <w:vAlign w:val="bottom"/>
          </w:tcPr>
          <w:p>
            <w:pPr>
              <w:ind w:left="60"/>
              <w:spacing w:after="0"/>
              <w:rPr>
                <w:sz w:val="20"/>
                <w:szCs w:val="20"/>
                <w:color w:val="auto"/>
              </w:rPr>
            </w:pPr>
            <w:r>
              <w:rPr>
                <w:rFonts w:ascii="Arial" w:cs="Arial" w:eastAsia="Arial" w:hAnsi="Arial"/>
                <w:sz w:val="12"/>
                <w:szCs w:val="12"/>
                <w:color w:val="auto"/>
              </w:rPr>
              <w:t>Marc Holliday</w:t>
            </w:r>
          </w:p>
        </w:tc>
        <w:tc>
          <w:tcPr>
            <w:tcW w:w="380" w:type="dxa"/>
            <w:vAlign w:val="bottom"/>
          </w:tcPr>
          <w:p>
            <w:pPr>
              <w:jc w:val="center"/>
              <w:ind w:left="38"/>
              <w:spacing w:after="0" w:line="131" w:lineRule="exact"/>
              <w:rPr>
                <w:sz w:val="20"/>
                <w:szCs w:val="20"/>
                <w:color w:val="auto"/>
              </w:rPr>
            </w:pPr>
            <w:r>
              <w:rPr>
                <w:rFonts w:ascii="MS PGothic" w:cs="MS PGothic" w:eastAsia="MS PGothic" w:hAnsi="MS PGothic"/>
                <w:sz w:val="13"/>
                <w:szCs w:val="13"/>
                <w:color w:val="auto"/>
                <w:w w:val="91"/>
              </w:rPr>
              <w:t>☐</w:t>
            </w:r>
          </w:p>
        </w:tc>
        <w:tc>
          <w:tcPr>
            <w:tcW w:w="5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4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r>
      <w:tr>
        <w:trPr>
          <w:trHeight w:val="285"/>
        </w:trPr>
        <w:tc>
          <w:tcPr>
            <w:tcW w:w="420" w:type="dxa"/>
            <w:vAlign w:val="bottom"/>
          </w:tcPr>
          <w:p>
            <w:pPr>
              <w:ind w:left="200"/>
              <w:spacing w:after="0"/>
              <w:rPr>
                <w:sz w:val="20"/>
                <w:szCs w:val="20"/>
                <w:color w:val="auto"/>
              </w:rPr>
            </w:pPr>
            <w:r>
              <w:rPr>
                <w:rFonts w:ascii="Arial" w:cs="Arial" w:eastAsia="Arial" w:hAnsi="Arial"/>
                <w:sz w:val="12"/>
                <w:szCs w:val="12"/>
                <w:color w:val="auto"/>
              </w:rPr>
              <w:t>1c.</w:t>
            </w:r>
          </w:p>
        </w:tc>
        <w:tc>
          <w:tcPr>
            <w:tcW w:w="3400" w:type="dxa"/>
            <w:vAlign w:val="bottom"/>
          </w:tcPr>
          <w:p>
            <w:pPr>
              <w:ind w:left="60"/>
              <w:spacing w:after="0"/>
              <w:rPr>
                <w:sz w:val="20"/>
                <w:szCs w:val="20"/>
                <w:color w:val="auto"/>
              </w:rPr>
            </w:pPr>
            <w:r>
              <w:rPr>
                <w:rFonts w:ascii="Arial" w:cs="Arial" w:eastAsia="Arial" w:hAnsi="Arial"/>
                <w:sz w:val="12"/>
                <w:szCs w:val="12"/>
                <w:color w:val="auto"/>
              </w:rPr>
              <w:t>John S. Levy</w:t>
            </w:r>
          </w:p>
        </w:tc>
        <w:tc>
          <w:tcPr>
            <w:tcW w:w="380" w:type="dxa"/>
            <w:vAlign w:val="bottom"/>
          </w:tcPr>
          <w:p>
            <w:pPr>
              <w:jc w:val="center"/>
              <w:ind w:left="38"/>
              <w:spacing w:after="0" w:line="131" w:lineRule="exact"/>
              <w:rPr>
                <w:sz w:val="20"/>
                <w:szCs w:val="20"/>
                <w:color w:val="auto"/>
              </w:rPr>
            </w:pPr>
            <w:r>
              <w:rPr>
                <w:rFonts w:ascii="MS PGothic" w:cs="MS PGothic" w:eastAsia="MS PGothic" w:hAnsi="MS PGothic"/>
                <w:sz w:val="13"/>
                <w:szCs w:val="13"/>
                <w:color w:val="auto"/>
                <w:w w:val="91"/>
              </w:rPr>
              <w:t>☐</w:t>
            </w:r>
          </w:p>
        </w:tc>
        <w:tc>
          <w:tcPr>
            <w:tcW w:w="5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4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200"/>
        <w:spacing w:after="0" w:line="257" w:lineRule="auto"/>
        <w:rPr>
          <w:sz w:val="20"/>
          <w:szCs w:val="20"/>
          <w:color w:val="auto"/>
        </w:rPr>
      </w:pPr>
      <w:r>
        <w:rPr>
          <w:rFonts w:ascii="Arial" w:cs="Arial" w:eastAsia="Arial" w:hAnsi="Arial"/>
          <w:sz w:val="12"/>
          <w:szCs w:val="12"/>
          <w:b w:val="1"/>
          <w:bCs w:val="1"/>
          <w:color w:val="auto"/>
        </w:rPr>
        <w:t>The Board of Directors recommends you vote 1 YEAR on 1 Year 2 Years 3 Years Abstain the following proposal:</w:t>
      </w:r>
    </w:p>
    <w:p>
      <w:pPr>
        <w:spacing w:after="0" w:line="82" w:lineRule="exact"/>
        <w:rPr>
          <w:sz w:val="20"/>
          <w:szCs w:val="20"/>
          <w:color w:val="auto"/>
        </w:rPr>
      </w:pPr>
    </w:p>
    <w:p>
      <w:pPr>
        <w:sectPr>
          <w:pgSz w:w="11900" w:h="16838" w:orient="portrait"/>
          <w:cols w:equalWidth="0" w:num="2">
            <w:col w:w="5460" w:space="460"/>
            <w:col w:w="5520"/>
          </w:cols>
          <w:pgMar w:left="240" w:top="528" w:right="219" w:bottom="1440" w:gutter="0" w:footer="0" w:header="0"/>
          <w:type w:val="continuous"/>
        </w:sectPr>
      </w:pPr>
    </w:p>
    <w:p>
      <w:pPr>
        <w:spacing w:after="0" w:line="50" w:lineRule="exact"/>
        <w:rPr>
          <w:sz w:val="20"/>
          <w:szCs w:val="20"/>
          <w:color w:val="auto"/>
        </w:rPr>
      </w:pPr>
    </w:p>
    <w:p>
      <w:pPr>
        <w:ind w:left="240"/>
        <w:spacing w:after="0" w:line="257" w:lineRule="auto"/>
        <w:rPr>
          <w:sz w:val="20"/>
          <w:szCs w:val="20"/>
          <w:color w:val="auto"/>
        </w:rPr>
      </w:pPr>
      <w:r>
        <w:rPr>
          <w:rFonts w:ascii="Arial" w:cs="Arial" w:eastAsia="Arial" w:hAnsi="Arial"/>
          <w:sz w:val="12"/>
          <w:szCs w:val="12"/>
          <w:b w:val="1"/>
          <w:bCs w:val="1"/>
          <w:color w:val="auto"/>
        </w:rPr>
        <w:t>The Board of Directors recommends you vote FOR the following proposals:</w:t>
      </w:r>
    </w:p>
    <w:p>
      <w:pPr>
        <w:spacing w:after="0" w:line="134" w:lineRule="exact"/>
        <w:rPr>
          <w:sz w:val="20"/>
          <w:szCs w:val="20"/>
          <w:color w:val="auto"/>
        </w:rPr>
      </w:pPr>
    </w:p>
    <w:p>
      <w:pPr>
        <w:ind w:left="440" w:hanging="192"/>
        <w:spacing w:after="0" w:line="236" w:lineRule="auto"/>
        <w:tabs>
          <w:tab w:leader="none" w:pos="440" w:val="left"/>
        </w:tabs>
        <w:numPr>
          <w:ilvl w:val="0"/>
          <w:numId w:val="86"/>
        </w:numPr>
        <w:rPr>
          <w:rFonts w:ascii="Arial" w:cs="Arial" w:eastAsia="Arial" w:hAnsi="Arial"/>
          <w:sz w:val="12"/>
          <w:szCs w:val="12"/>
          <w:color w:val="auto"/>
        </w:rPr>
      </w:pPr>
      <w:r>
        <w:rPr>
          <w:rFonts w:ascii="Arial" w:cs="Arial" w:eastAsia="Arial" w:hAnsi="Arial"/>
          <w:sz w:val="12"/>
          <w:szCs w:val="12"/>
          <w:color w:val="auto"/>
        </w:rPr>
        <w:t>To approve, on a non-binding advisory basis, our executive compensation.</w:t>
      </w:r>
    </w:p>
    <w:p>
      <w:pPr>
        <w:spacing w:after="0" w:line="120" w:lineRule="exact"/>
        <w:rPr>
          <w:rFonts w:ascii="Arial" w:cs="Arial" w:eastAsia="Arial" w:hAnsi="Arial"/>
          <w:sz w:val="12"/>
          <w:szCs w:val="12"/>
          <w:color w:val="auto"/>
        </w:rPr>
      </w:pPr>
    </w:p>
    <w:p>
      <w:pPr>
        <w:ind w:left="440" w:hanging="192"/>
        <w:spacing w:after="0" w:line="236" w:lineRule="auto"/>
        <w:tabs>
          <w:tab w:leader="none" w:pos="440" w:val="left"/>
        </w:tabs>
        <w:numPr>
          <w:ilvl w:val="0"/>
          <w:numId w:val="86"/>
        </w:numPr>
        <w:rPr>
          <w:rFonts w:ascii="Arial" w:cs="Arial" w:eastAsia="Arial" w:hAnsi="Arial"/>
          <w:sz w:val="12"/>
          <w:szCs w:val="12"/>
          <w:color w:val="auto"/>
        </w:rPr>
      </w:pPr>
      <w:r>
        <w:rPr>
          <w:rFonts w:ascii="Arial" w:cs="Arial" w:eastAsia="Arial" w:hAnsi="Arial"/>
          <w:sz w:val="12"/>
          <w:szCs w:val="12"/>
          <w:color w:val="auto"/>
        </w:rPr>
        <w:t>To approve the amendment of our Articles of Restatement to effect the declassification of our Board of Directors.</w:t>
      </w:r>
    </w:p>
    <w:p>
      <w:pPr>
        <w:spacing w:after="0" w:line="120" w:lineRule="exact"/>
        <w:rPr>
          <w:rFonts w:ascii="Arial" w:cs="Arial" w:eastAsia="Arial" w:hAnsi="Arial"/>
          <w:sz w:val="12"/>
          <w:szCs w:val="12"/>
          <w:color w:val="auto"/>
        </w:rPr>
      </w:pPr>
    </w:p>
    <w:p>
      <w:pPr>
        <w:jc w:val="both"/>
        <w:ind w:left="440" w:right="20" w:hanging="192"/>
        <w:spacing w:after="0" w:line="233" w:lineRule="auto"/>
        <w:tabs>
          <w:tab w:leader="none" w:pos="440" w:val="left"/>
        </w:tabs>
        <w:numPr>
          <w:ilvl w:val="0"/>
          <w:numId w:val="86"/>
        </w:numPr>
        <w:rPr>
          <w:rFonts w:ascii="Arial" w:cs="Arial" w:eastAsia="Arial" w:hAnsi="Arial"/>
          <w:sz w:val="12"/>
          <w:szCs w:val="12"/>
          <w:color w:val="auto"/>
        </w:rPr>
      </w:pPr>
      <w:r>
        <w:rPr>
          <w:rFonts w:ascii="Arial" w:cs="Arial" w:eastAsia="Arial" w:hAnsi="Arial"/>
          <w:sz w:val="12"/>
          <w:szCs w:val="12"/>
          <w:color w:val="auto"/>
        </w:rPr>
        <w:t>To ratify the appointment of Ernst &amp; Young LLP as our independent registered public accounting firm for the fiscal year ending December 31,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line="131" w:lineRule="exact"/>
        <w:tabs>
          <w:tab w:leader="none" w:pos="400" w:val="left"/>
          <w:tab w:leader="none" w:pos="92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2"/>
          <w:szCs w:val="12"/>
          <w:color w:val="auto"/>
        </w:rPr>
        <w:t>☐</w:t>
      </w:r>
    </w:p>
    <w:p>
      <w:pPr>
        <w:spacing w:after="0" w:line="333" w:lineRule="exact"/>
        <w:rPr>
          <w:sz w:val="20"/>
          <w:szCs w:val="20"/>
          <w:color w:val="auto"/>
        </w:rPr>
      </w:pPr>
    </w:p>
    <w:p>
      <w:pPr>
        <w:spacing w:after="0" w:line="131" w:lineRule="exact"/>
        <w:tabs>
          <w:tab w:leader="none" w:pos="400" w:val="left"/>
          <w:tab w:leader="none" w:pos="92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2"/>
          <w:szCs w:val="12"/>
          <w:color w:val="auto"/>
        </w:rPr>
        <w:t>☐</w:t>
      </w:r>
    </w:p>
    <w:p>
      <w:pPr>
        <w:spacing w:after="0" w:line="333" w:lineRule="exact"/>
        <w:rPr>
          <w:sz w:val="20"/>
          <w:szCs w:val="20"/>
          <w:color w:val="auto"/>
        </w:rPr>
      </w:pPr>
    </w:p>
    <w:p>
      <w:pPr>
        <w:spacing w:after="0" w:line="131" w:lineRule="exact"/>
        <w:tabs>
          <w:tab w:leader="none" w:pos="400" w:val="left"/>
          <w:tab w:leader="none" w:pos="92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160" w:type="dxa"/>
            <w:vAlign w:val="bottom"/>
          </w:tcPr>
          <w:p>
            <w:pPr>
              <w:spacing w:after="0"/>
              <w:rPr>
                <w:sz w:val="20"/>
                <w:szCs w:val="20"/>
                <w:color w:val="auto"/>
              </w:rPr>
            </w:pPr>
            <w:r>
              <w:rPr>
                <w:rFonts w:ascii="Arial" w:cs="Arial" w:eastAsia="Arial" w:hAnsi="Arial"/>
                <w:sz w:val="12"/>
                <w:szCs w:val="12"/>
                <w:color w:val="auto"/>
              </w:rPr>
              <w:t>5.</w:t>
            </w:r>
          </w:p>
        </w:tc>
        <w:tc>
          <w:tcPr>
            <w:tcW w:w="3200" w:type="dxa"/>
            <w:vAlign w:val="bottom"/>
          </w:tcPr>
          <w:p>
            <w:pPr>
              <w:ind w:left="40"/>
              <w:spacing w:after="0"/>
              <w:rPr>
                <w:sz w:val="20"/>
                <w:szCs w:val="20"/>
                <w:color w:val="auto"/>
              </w:rPr>
            </w:pPr>
            <w:r>
              <w:rPr>
                <w:rFonts w:ascii="Arial" w:cs="Arial" w:eastAsia="Arial" w:hAnsi="Arial"/>
                <w:sz w:val="12"/>
                <w:szCs w:val="12"/>
                <w:color w:val="auto"/>
              </w:rPr>
              <w:t>To recommend, by a non-binding advisory vote, whether</w:t>
            </w:r>
          </w:p>
        </w:tc>
        <w:tc>
          <w:tcPr>
            <w:tcW w:w="480" w:type="dxa"/>
            <w:vAlign w:val="bottom"/>
          </w:tcPr>
          <w:p>
            <w:pPr>
              <w:ind w:left="140"/>
              <w:spacing w:after="0" w:line="131" w:lineRule="exact"/>
              <w:rPr>
                <w:sz w:val="20"/>
                <w:szCs w:val="20"/>
                <w:color w:val="auto"/>
              </w:rPr>
            </w:pPr>
            <w:r>
              <w:rPr>
                <w:rFonts w:ascii="MS PGothic" w:cs="MS PGothic" w:eastAsia="MS PGothic" w:hAnsi="MS PGothic"/>
                <w:sz w:val="13"/>
                <w:szCs w:val="13"/>
                <w:color w:val="auto"/>
              </w:rPr>
              <w:t>☐</w:t>
            </w:r>
          </w:p>
        </w:tc>
        <w:tc>
          <w:tcPr>
            <w:tcW w:w="40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60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4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r>
      <w:tr>
        <w:trPr>
          <w:trHeight w:val="131"/>
        </w:trPr>
        <w:tc>
          <w:tcPr>
            <w:tcW w:w="160" w:type="dxa"/>
            <w:vAlign w:val="bottom"/>
          </w:tcPr>
          <w:p>
            <w:pPr>
              <w:spacing w:after="0"/>
              <w:rPr>
                <w:sz w:val="11"/>
                <w:szCs w:val="11"/>
                <w:color w:val="auto"/>
              </w:rPr>
            </w:pPr>
          </w:p>
        </w:tc>
        <w:tc>
          <w:tcPr>
            <w:tcW w:w="3200" w:type="dxa"/>
            <w:vAlign w:val="bottom"/>
          </w:tcPr>
          <w:p>
            <w:pPr>
              <w:ind w:left="40"/>
              <w:spacing w:after="0" w:line="131" w:lineRule="exact"/>
              <w:rPr>
                <w:sz w:val="20"/>
                <w:szCs w:val="20"/>
                <w:color w:val="auto"/>
              </w:rPr>
            </w:pPr>
            <w:r>
              <w:rPr>
                <w:rFonts w:ascii="Arial" w:cs="Arial" w:eastAsia="Arial" w:hAnsi="Arial"/>
                <w:sz w:val="12"/>
                <w:szCs w:val="12"/>
                <w:color w:val="auto"/>
              </w:rPr>
              <w:t>an advisory vote on our executive compensation should</w:t>
            </w: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41"/>
        </w:trPr>
        <w:tc>
          <w:tcPr>
            <w:tcW w:w="160" w:type="dxa"/>
            <w:vAlign w:val="bottom"/>
          </w:tcPr>
          <w:p>
            <w:pPr>
              <w:spacing w:after="0"/>
              <w:rPr>
                <w:sz w:val="12"/>
                <w:szCs w:val="12"/>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be held every one, two or three years.</w:t>
            </w: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236"/>
        </w:trPr>
        <w:tc>
          <w:tcPr>
            <w:tcW w:w="3840" w:type="dxa"/>
            <w:vAlign w:val="bottom"/>
            <w:gridSpan w:val="3"/>
          </w:tcPr>
          <w:p>
            <w:pPr>
              <w:spacing w:after="0"/>
              <w:rPr>
                <w:sz w:val="20"/>
                <w:szCs w:val="20"/>
                <w:color w:val="auto"/>
              </w:rPr>
            </w:pPr>
            <w:r>
              <w:rPr>
                <w:rFonts w:ascii="Arial" w:cs="Arial" w:eastAsia="Arial" w:hAnsi="Arial"/>
                <w:sz w:val="12"/>
                <w:szCs w:val="12"/>
                <w:b w:val="1"/>
                <w:bCs w:val="1"/>
                <w:color w:val="auto"/>
              </w:rPr>
              <w:t>The Board of Directors recommends you vote AGAINST the</w:t>
            </w: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rPr>
              <w:t>For</w:t>
            </w: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w w:val="95"/>
              </w:rPr>
              <w:t>Against</w:t>
            </w: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w w:val="99"/>
              </w:rPr>
              <w:t>Abstain</w:t>
            </w:r>
          </w:p>
        </w:tc>
      </w:tr>
      <w:tr>
        <w:trPr>
          <w:trHeight w:val="155"/>
        </w:trPr>
        <w:tc>
          <w:tcPr>
            <w:tcW w:w="3360" w:type="dxa"/>
            <w:vAlign w:val="bottom"/>
            <w:gridSpan w:val="2"/>
          </w:tcPr>
          <w:p>
            <w:pPr>
              <w:spacing w:after="0"/>
              <w:rPr>
                <w:sz w:val="20"/>
                <w:szCs w:val="20"/>
                <w:color w:val="auto"/>
              </w:rPr>
            </w:pPr>
            <w:r>
              <w:rPr>
                <w:rFonts w:ascii="Arial" w:cs="Arial" w:eastAsia="Arial" w:hAnsi="Arial"/>
                <w:sz w:val="12"/>
                <w:szCs w:val="12"/>
                <w:b w:val="1"/>
                <w:bCs w:val="1"/>
                <w:color w:val="auto"/>
              </w:rPr>
              <w:t>following proposal:</w:t>
            </w: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250"/>
        </w:trPr>
        <w:tc>
          <w:tcPr>
            <w:tcW w:w="160" w:type="dxa"/>
            <w:vAlign w:val="bottom"/>
          </w:tcPr>
          <w:p>
            <w:pPr>
              <w:spacing w:after="0"/>
              <w:rPr>
                <w:sz w:val="20"/>
                <w:szCs w:val="20"/>
                <w:color w:val="auto"/>
              </w:rPr>
            </w:pPr>
            <w:r>
              <w:rPr>
                <w:rFonts w:ascii="Arial" w:cs="Arial" w:eastAsia="Arial" w:hAnsi="Arial"/>
                <w:sz w:val="12"/>
                <w:szCs w:val="12"/>
                <w:color w:val="auto"/>
              </w:rPr>
              <w:t>6.</w:t>
            </w:r>
          </w:p>
        </w:tc>
        <w:tc>
          <w:tcPr>
            <w:tcW w:w="3680" w:type="dxa"/>
            <w:vAlign w:val="bottom"/>
            <w:gridSpan w:val="2"/>
          </w:tcPr>
          <w:p>
            <w:pPr>
              <w:ind w:left="40"/>
              <w:spacing w:after="0"/>
              <w:rPr>
                <w:sz w:val="20"/>
                <w:szCs w:val="20"/>
                <w:color w:val="auto"/>
              </w:rPr>
            </w:pPr>
            <w:r>
              <w:rPr>
                <w:rFonts w:ascii="Arial" w:cs="Arial" w:eastAsia="Arial" w:hAnsi="Arial"/>
                <w:sz w:val="12"/>
                <w:szCs w:val="12"/>
                <w:color w:val="auto"/>
              </w:rPr>
              <w:t>To consider and act upon a stockholder proposal regarding setting</w:t>
            </w:r>
          </w:p>
        </w:tc>
        <w:tc>
          <w:tcPr>
            <w:tcW w:w="40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60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4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r>
      <w:tr>
        <w:trPr>
          <w:trHeight w:val="141"/>
        </w:trPr>
        <w:tc>
          <w:tcPr>
            <w:tcW w:w="160" w:type="dxa"/>
            <w:vAlign w:val="bottom"/>
          </w:tcPr>
          <w:p>
            <w:pPr>
              <w:spacing w:after="0"/>
              <w:rPr>
                <w:sz w:val="12"/>
                <w:szCs w:val="12"/>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target amounts of CEO compensation.</w:t>
            </w: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r>
    </w:tbl>
    <w:p>
      <w:pPr>
        <w:spacing w:after="0" w:line="120" w:lineRule="exact"/>
        <w:rPr>
          <w:sz w:val="20"/>
          <w:szCs w:val="20"/>
          <w:color w:val="auto"/>
        </w:rPr>
      </w:pPr>
    </w:p>
    <w:p>
      <w:pPr>
        <w:jc w:val="both"/>
        <w:ind w:left="200" w:right="1800" w:hanging="192"/>
        <w:spacing w:after="0" w:line="233" w:lineRule="auto"/>
        <w:tabs>
          <w:tab w:leader="none" w:pos="200" w:val="left"/>
        </w:tabs>
        <w:numPr>
          <w:ilvl w:val="0"/>
          <w:numId w:val="87"/>
        </w:numPr>
        <w:rPr>
          <w:rFonts w:ascii="Arial" w:cs="Arial" w:eastAsia="Arial" w:hAnsi="Arial"/>
          <w:sz w:val="12"/>
          <w:szCs w:val="12"/>
          <w:color w:val="auto"/>
        </w:rPr>
      </w:pPr>
      <w:r>
        <w:rPr>
          <w:rFonts w:ascii="Arial" w:cs="Arial" w:eastAsia="Arial" w:hAnsi="Arial"/>
          <w:sz w:val="12"/>
          <w:szCs w:val="12"/>
          <w:color w:val="auto"/>
        </w:rPr>
        <w:t>To consider and act upon any other matters that may properly be brought before the Annual Meeting and at any adjournments or postponements thereof.</w:t>
      </w:r>
    </w:p>
    <w:p>
      <w:pPr>
        <w:spacing w:after="0" w:line="200" w:lineRule="exact"/>
        <w:rPr>
          <w:sz w:val="20"/>
          <w:szCs w:val="20"/>
          <w:color w:val="auto"/>
        </w:rPr>
      </w:pPr>
    </w:p>
    <w:p>
      <w:pPr>
        <w:sectPr>
          <w:pgSz w:w="11900" w:h="16838" w:orient="portrait"/>
          <w:cols w:equalWidth="0" w:num="3">
            <w:col w:w="4060" w:space="180"/>
            <w:col w:w="1060" w:space="620"/>
            <w:col w:w="5520"/>
          </w:cols>
          <w:pgMar w:left="240" w:top="528" w:right="219" w:bottom="1440" w:gutter="0" w:footer="0" w:header="0"/>
          <w:type w:val="continuous"/>
        </w:sectPr>
      </w:pPr>
    </w:p>
    <w:p>
      <w:pPr>
        <w:spacing w:after="0" w:line="3" w:lineRule="exact"/>
        <w:rPr>
          <w:sz w:val="20"/>
          <w:szCs w:val="20"/>
          <w:color w:val="auto"/>
        </w:rPr>
      </w:pPr>
    </w:p>
    <w:p>
      <w:pPr>
        <w:jc w:val="both"/>
        <w:ind w:left="160" w:right="1880"/>
        <w:spacing w:after="0" w:line="233" w:lineRule="auto"/>
        <w:rPr>
          <w:sz w:val="20"/>
          <w:szCs w:val="20"/>
          <w:color w:val="auto"/>
        </w:rPr>
      </w:pPr>
      <w:r>
        <w:rPr>
          <w:rFonts w:ascii="Arial" w:cs="Arial" w:eastAsia="Arial" w:hAnsi="Arial"/>
          <w:sz w:val="12"/>
          <w:szCs w:val="12"/>
          <w:color w:val="auto"/>
        </w:rPr>
        <w:t>The undersigned hereby acknowledge(s) receipt of the Notice of the Annual Meeting of Stockholders, the terms of which are incorporated herein by reference, and revoke(s) any proxy or proxies heretofore given with respect to the Annual Meeting. This proxy may be revoked at any time prior to the time voting is declared closed by giving the corporate secretary of SL Green Realty Corp. written notice of revocation or by a subsequently dated proxy, or by casting a ballot at the Annual Meeting.</w:t>
      </w:r>
    </w:p>
    <w:p>
      <w:pPr>
        <w:spacing w:after="0" w:line="166" w:lineRule="exact"/>
        <w:rPr>
          <w:sz w:val="20"/>
          <w:szCs w:val="20"/>
          <w:color w:val="auto"/>
        </w:rPr>
      </w:pPr>
    </w:p>
    <w:p>
      <w:pPr>
        <w:jc w:val="both"/>
        <w:ind w:left="160" w:right="1860"/>
        <w:spacing w:after="0" w:line="257" w:lineRule="auto"/>
        <w:rPr>
          <w:sz w:val="20"/>
          <w:szCs w:val="20"/>
          <w:color w:val="auto"/>
        </w:rPr>
      </w:pPr>
      <w:r>
        <w:rPr>
          <w:rFonts w:ascii="Arial" w:cs="Arial" w:eastAsia="Arial" w:hAnsi="Arial"/>
          <w:sz w:val="12"/>
          <w:szCs w:val="12"/>
          <w:b w:val="1"/>
          <w:bCs w:val="1"/>
          <w:color w:val="auto"/>
        </w:rPr>
        <w:t xml:space="preserve">This solicitation of proxies is made by and on behalf of the Board. </w:t>
      </w:r>
      <w:r>
        <w:rPr>
          <w:rFonts w:ascii="Arial" w:cs="Arial" w:eastAsia="Arial" w:hAnsi="Arial"/>
          <w:sz w:val="12"/>
          <w:szCs w:val="12"/>
          <w:color w:val="auto"/>
        </w:rPr>
        <w:t>The validity of this proxy is governed by the Maryland General Corporation Law and applicable federal</w:t>
      </w:r>
      <w:r>
        <w:rPr>
          <w:rFonts w:ascii="Arial" w:cs="Arial" w:eastAsia="Arial" w:hAnsi="Arial"/>
          <w:sz w:val="12"/>
          <w:szCs w:val="12"/>
          <w:b w:val="1"/>
          <w:bCs w:val="1"/>
          <w:color w:val="auto"/>
        </w:rPr>
        <w:t xml:space="preserve"> </w:t>
      </w:r>
      <w:r>
        <w:rPr>
          <w:rFonts w:ascii="Arial" w:cs="Arial" w:eastAsia="Arial" w:hAnsi="Arial"/>
          <w:sz w:val="12"/>
          <w:szCs w:val="12"/>
          <w:color w:val="auto"/>
        </w:rPr>
        <w:t>securities laws. This proxy does not revoke any prior powers of attorney except for prior proxies given in connection with the Annual Meeting.</w:t>
      </w:r>
    </w:p>
    <w:p>
      <w:pPr>
        <w:spacing w:after="0" w:line="169" w:lineRule="exact"/>
        <w:rPr>
          <w:sz w:val="20"/>
          <w:szCs w:val="20"/>
          <w:color w:val="auto"/>
        </w:rPr>
      </w:pPr>
    </w:p>
    <w:p>
      <w:pPr>
        <w:jc w:val="both"/>
        <w:ind w:left="160" w:right="1860"/>
        <w:spacing w:after="0" w:line="236" w:lineRule="auto"/>
        <w:rPr>
          <w:sz w:val="20"/>
          <w:szCs w:val="20"/>
          <w:color w:val="auto"/>
        </w:rPr>
      </w:pPr>
      <w:r>
        <w:rPr>
          <w:rFonts w:ascii="Arial" w:cs="Arial" w:eastAsia="Arial" w:hAnsi="Arial"/>
          <w:sz w:val="12"/>
          <w:szCs w:val="12"/>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tabs>
          <w:tab w:leader="none" w:pos="2520" w:val="left"/>
          <w:tab w:leader="none" w:pos="5760" w:val="left"/>
          <w:tab w:leader="none" w:pos="8160" w:val="left"/>
        </w:tabs>
        <w:rPr>
          <w:sz w:val="20"/>
          <w:szCs w:val="20"/>
          <w:color w:val="auto"/>
        </w:rPr>
      </w:pPr>
      <w:r>
        <w:rPr>
          <w:rFonts w:ascii="Arial" w:cs="Arial" w:eastAsia="Arial" w:hAnsi="Arial"/>
          <w:sz w:val="12"/>
          <w:szCs w:val="12"/>
          <w:color w:val="auto"/>
        </w:rPr>
        <w:t>Signature [PLEASE SIGN WITHIN BOX]</w:t>
      </w:r>
      <w:r>
        <w:rPr>
          <w:sz w:val="20"/>
          <w:szCs w:val="20"/>
          <w:color w:val="auto"/>
        </w:rPr>
        <w:tab/>
      </w: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Signature (Joint Owners)</w:t>
      </w:r>
      <w:r>
        <w:rPr>
          <w:sz w:val="20"/>
          <w:szCs w:val="20"/>
          <w:color w:val="auto"/>
        </w:rPr>
        <w:tab/>
      </w:r>
      <w:r>
        <w:rPr>
          <w:rFonts w:ascii="Arial" w:cs="Arial" w:eastAsia="Arial" w:hAnsi="Arial"/>
          <w:sz w:val="11"/>
          <w:szCs w:val="1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83450" cy="203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p>
      <w:pPr>
        <w:sectPr>
          <w:pgSz w:w="11900" w:h="16838" w:orient="portrait"/>
          <w:cols w:equalWidth="0" w:num="1">
            <w:col w:w="11440"/>
          </w:cols>
          <w:pgMar w:left="240" w:top="528" w:right="219" w:bottom="1440" w:gutter="0" w:footer="0" w:header="0"/>
          <w:type w:val="continuous"/>
        </w:sectPr>
      </w:pPr>
    </w:p>
    <w:bookmarkStart w:id="75" w:name="page76"/>
    <w:bookmarkEnd w:id="75"/>
    <w:p>
      <w:pPr>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79"/>
        <w:spacing w:after="0"/>
        <w:rPr>
          <w:sz w:val="20"/>
          <w:szCs w:val="20"/>
          <w:color w:val="auto"/>
        </w:rPr>
      </w:pPr>
      <w:r>
        <w:rPr>
          <w:rFonts w:ascii="Arial" w:cs="Arial" w:eastAsia="Arial" w:hAnsi="Arial"/>
          <w:sz w:val="15"/>
          <w:szCs w:val="15"/>
          <w:b w:val="1"/>
          <w:bCs w:val="1"/>
          <w:color w:val="auto"/>
        </w:rPr>
        <w:t>Important Notice Regarding the Availability of Proxy Materials for the Annual Meeting:</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The Notice and Proxy Statement and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0240"/>
        <w:spacing w:after="0"/>
        <w:rPr>
          <w:sz w:val="20"/>
          <w:szCs w:val="20"/>
          <w:color w:val="auto"/>
        </w:rPr>
      </w:pPr>
      <w:r>
        <w:rPr>
          <w:rFonts w:ascii="Arial" w:cs="Arial" w:eastAsia="Arial" w:hAnsi="Arial"/>
          <w:sz w:val="12"/>
          <w:szCs w:val="12"/>
          <w:color w:val="auto"/>
        </w:rPr>
        <w:t>E24793-P88412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30480</wp:posOffset>
            </wp:positionV>
            <wp:extent cx="7253605" cy="298132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3605" cy="2981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auto"/>
        </w:rPr>
        <w:t>SL GREEN REALTY CORP.</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auto"/>
        </w:rPr>
        <w:t>THIS PROXY IS SOLICITED ON BEHALF OF THE BOARD OF DIRECTORS</w:t>
      </w:r>
    </w:p>
    <w:p>
      <w:pPr>
        <w:spacing w:after="0" w:line="195" w:lineRule="exact"/>
        <w:rPr>
          <w:sz w:val="20"/>
          <w:szCs w:val="20"/>
          <w:color w:val="auto"/>
        </w:rPr>
      </w:pPr>
    </w:p>
    <w:p>
      <w:pPr>
        <w:jc w:val="both"/>
        <w:ind w:left="160"/>
        <w:spacing w:after="0" w:line="253" w:lineRule="auto"/>
        <w:rPr>
          <w:sz w:val="20"/>
          <w:szCs w:val="20"/>
          <w:color w:val="auto"/>
        </w:rPr>
      </w:pPr>
      <w:r>
        <w:rPr>
          <w:rFonts w:ascii="Arial" w:cs="Arial" w:eastAsia="Arial" w:hAnsi="Arial"/>
          <w:sz w:val="15"/>
          <w:szCs w:val="15"/>
          <w:color w:val="auto"/>
        </w:rPr>
        <w:t>The undersigned stockholder(s) hereby appoint(s) Stephen L. Green and Andrew S. Levine, or either of them, as proxies, each with the power to appoint his substitute and hereby authorize(s) them to represent and to vote as designated on the reverse side of this ballot all of the shares of Common Stock of SL GREEN REALTY CORP. that the stockholder(s) is/are entitled to vote at the Annual Meeting of Stockholders to be held at The Grand Hyatt New York, 109 East 42nd Street, New York, New York at 10:00 A.M., local time on Thursday, June 1, 2017 and any adjournment or postponement thereof.</w:t>
      </w:r>
    </w:p>
    <w:p>
      <w:pPr>
        <w:spacing w:after="0" w:line="156" w:lineRule="exact"/>
        <w:rPr>
          <w:sz w:val="20"/>
          <w:szCs w:val="20"/>
          <w:color w:val="auto"/>
        </w:rPr>
      </w:pPr>
    </w:p>
    <w:p>
      <w:pPr>
        <w:jc w:val="both"/>
        <w:ind w:left="160"/>
        <w:spacing w:after="0" w:line="262" w:lineRule="auto"/>
        <w:rPr>
          <w:sz w:val="20"/>
          <w:szCs w:val="20"/>
          <w:color w:val="auto"/>
        </w:rPr>
      </w:pPr>
      <w:r>
        <w:rPr>
          <w:rFonts w:ascii="Arial" w:cs="Arial" w:eastAsia="Arial" w:hAnsi="Arial"/>
          <w:sz w:val="15"/>
          <w:szCs w:val="15"/>
          <w:b w:val="1"/>
          <w:bCs w:val="1"/>
          <w:color w:val="auto"/>
        </w:rPr>
        <w:t>THIS PROXY, WHEN PROPERLY EXECUTED, WILL BE VOTED AS DIRECTED BY THE STOCKHOLDER(S) AND IN THE DISCRETION OF THE PROXYHOLDER ON ANY OTHER MATTER PROPERLY BROUGHT BEFORE THE MEETING OR ANY ADJOURNMENT OR POSTPONEMENT THEREOF. IF NO SUCH DIRECTIONS ARE MADE, THIS PROXY WILL BE VOTED FOR THE ELECTION OF THE BOARD OF DIRECTORS' NOMINEES LISTED ON THE REVERSE SIDE HEREOF, FOR PROPOSALS 2, 3 AND 4, 1 YEAR ON PROPOSAL 5 AND AGAINST PROPOSAL 6.</w:t>
      </w:r>
    </w:p>
    <w:p>
      <w:pPr>
        <w:spacing w:after="0" w:line="149"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auto"/>
        </w:rPr>
        <w:t>PLEASE MARK, SIGN AND DATE AND RETURN THIS PROXY CARD PROMPTLY USING THE ENCLOSED REPLY ENVELOPE.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522605</wp:posOffset>
            </wp:positionV>
            <wp:extent cx="7283450" cy="203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3450" cy="20320"/>
                    </a:xfrm>
                    <a:prstGeom prst="rect">
                      <a:avLst/>
                    </a:prstGeom>
                    <a:noFill/>
                  </pic:spPr>
                </pic:pic>
              </a:graphicData>
            </a:graphic>
          </wp:anchor>
        </w:drawing>
      </w:r>
    </w:p>
    <w:sectPr>
      <w:pgSz w:w="11900" w:h="16838" w:orient="portrait"/>
      <w:cols w:equalWidth="0" w:num="1">
        <w:col w:w="11240"/>
      </w:cols>
      <w:pgMar w:left="240" w:top="528"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lvl w:ilvl="1">
      <w:lvlJc w:val="left"/>
      <w:lvlText w:val="%2)"/>
      <w:numFmt w:val="decimal"/>
      <w:start w:val="1"/>
    </w:lvl>
  </w:abstractNum>
  <w:abstractNum w:abstractNumId="3">
    <w:nsid w:val="7A6D8D3C"/>
    <w:multiLevelType w:val="hybridMultilevel"/>
    <w:lvl w:ilvl="0">
      <w:lvlJc w:val="left"/>
      <w:lvlText w:val="(%1)"/>
      <w:numFmt w:val="decimal"/>
      <w:start w:val="2"/>
    </w:lvl>
  </w:abstractNum>
  <w:abstractNum w:abstractNumId="4">
    <w:nsid w:val="4B588F54"/>
    <w:multiLevelType w:val="hybridMultilevel"/>
    <w:lvl w:ilvl="0">
      <w:lvlJc w:val="left"/>
      <w:lvlText w:val="2"/>
      <w:numFmt w:val="bullet"/>
      <w:start w:val="1"/>
    </w:lvl>
  </w:abstractNum>
  <w:abstractNum w:abstractNumId="5">
    <w:nsid w:val="542289EC"/>
    <w:multiLevelType w:val="hybridMultilevel"/>
    <w:lvl w:ilvl="0">
      <w:lvlJc w:val="left"/>
      <w:lvlText w:val="%1."/>
      <w:numFmt w:val="decimal"/>
      <w:start w:val="1"/>
    </w:lvl>
  </w:abstractNum>
  <w:abstractNum w:abstractNumId="6">
    <w:nsid w:val="6DE91B18"/>
    <w:multiLevelType w:val="hybridMultilevel"/>
    <w:lvl w:ilvl="0">
      <w:lvlJc w:val="left"/>
      <w:lvlText w:val="4"/>
      <w:numFmt w:val="bullet"/>
      <w:start w:val="1"/>
    </w:lvl>
  </w:abstractNum>
  <w:abstractNum w:abstractNumId="7">
    <w:nsid w:val="38437FDB"/>
    <w:multiLevelType w:val="hybridMultilevel"/>
    <w:lvl w:ilvl="0">
      <w:lvlJc w:val="left"/>
      <w:lvlText w:val="6"/>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8"/>
      <w:numFmt w:val="bullet"/>
      <w:start w:val="1"/>
    </w:lvl>
  </w:abstractNum>
  <w:abstractNum w:abstractNumId="10">
    <w:nsid w:val="684A481A"/>
    <w:multiLevelType w:val="hybridMultilevel"/>
    <w:lvl w:ilvl="0">
      <w:lvlJc w:val="left"/>
      <w:lvlText w:val="%1"/>
      <w:numFmt w:val="decimal"/>
      <w:start w:val="10"/>
    </w:lvl>
  </w:abstractNum>
  <w:abstractNum w:abstractNumId="11">
    <w:nsid w:val="579478FE"/>
    <w:multiLevelType w:val="hybridMultilevel"/>
    <w:lvl w:ilvl="0">
      <w:lvlJc w:val="left"/>
      <w:lvlText w:val="%1"/>
      <w:numFmt w:val="decimal"/>
      <w:start w:val="12"/>
    </w:lvl>
  </w:abstractNum>
  <w:abstractNum w:abstractNumId="12">
    <w:nsid w:val="749ABB43"/>
    <w:multiLevelType w:val="hybridMultilevel"/>
    <w:lvl w:ilvl="0">
      <w:lvlJc w:val="left"/>
      <w:lvlText w:val="%1"/>
      <w:numFmt w:val="decimal"/>
      <w:start w:val="14"/>
    </w:lvl>
  </w:abstractNum>
  <w:abstractNum w:abstractNumId="13">
    <w:nsid w:val="3DC240FB"/>
    <w:multiLevelType w:val="hybridMultilevel"/>
    <w:lvl w:ilvl="0">
      <w:lvlJc w:val="left"/>
      <w:lvlText w:val="%1"/>
      <w:numFmt w:val="decimal"/>
      <w:start w:val="16"/>
    </w:lvl>
  </w:abstractNum>
  <w:abstractNum w:abstractNumId="14">
    <w:nsid w:val="1BA026FA"/>
    <w:multiLevelType w:val="hybridMultilevel"/>
    <w:lvl w:ilvl="0">
      <w:lvlJc w:val="left"/>
      <w:lvlText w:val="(%1)"/>
      <w:numFmt w:val="lowerLetter"/>
      <w:start w:val="1"/>
    </w:lvl>
  </w:abstractNum>
  <w:abstractNum w:abstractNumId="15">
    <w:nsid w:val="79A1DEAA"/>
    <w:multiLevelType w:val="hybridMultilevel"/>
    <w:lvl w:ilvl="0">
      <w:lvlJc w:val="left"/>
      <w:lvlText w:val="(%1)"/>
      <w:numFmt w:val="decimal"/>
      <w:start w:val="1"/>
    </w:lvl>
  </w:abstractNum>
  <w:abstractNum w:abstractNumId="16">
    <w:nsid w:val="75C6C33A"/>
    <w:multiLevelType w:val="hybridMultilevel"/>
    <w:lvl w:ilvl="0">
      <w:lvlJc w:val="left"/>
      <w:lvlText w:val="%1"/>
      <w:numFmt w:val="decimal"/>
      <w:start w:val="18"/>
    </w:lvl>
  </w:abstractNum>
  <w:abstractNum w:abstractNumId="17">
    <w:nsid w:val="12E685FB"/>
    <w:multiLevelType w:val="hybridMultilevel"/>
    <w:lvl w:ilvl="0">
      <w:lvlJc w:val="left"/>
      <w:lvlText w:val="%1"/>
      <w:numFmt w:val="decimal"/>
      <w:start w:val="20"/>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1"/>
      <w:numFmt w:val="decimal"/>
      <w:start w:val="22"/>
    </w:lvl>
  </w:abstractNum>
  <w:abstractNum w:abstractNumId="24">
    <w:nsid w:val="275AC794"/>
    <w:multiLevelType w:val="hybridMultilevel"/>
    <w:lvl w:ilvl="0">
      <w:lvlJc w:val="left"/>
      <w:lvlText w:val="(%1)"/>
      <w:numFmt w:val="decimal"/>
      <w:start w:val="1"/>
    </w:lvl>
  </w:abstractNum>
  <w:abstractNum w:abstractNumId="25">
    <w:nsid w:val="39386575"/>
    <w:multiLevelType w:val="hybridMultilevel"/>
    <w:lvl w:ilvl="0">
      <w:lvlJc w:val="left"/>
      <w:lvlText w:val="%1"/>
      <w:numFmt w:val="decimal"/>
      <w:start w:val="24"/>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1"/>
      <w:numFmt w:val="decimal"/>
      <w:start w:val="26"/>
    </w:lvl>
  </w:abstractNum>
  <w:abstractNum w:abstractNumId="31">
    <w:nsid w:val="15B5AF5C"/>
    <w:multiLevelType w:val="hybridMultilevel"/>
    <w:lvl w:ilvl="0">
      <w:lvlJc w:val="left"/>
      <w:lvlText w:val="(%1)"/>
      <w:numFmt w:val="decimal"/>
      <w:start w:val="1"/>
    </w:lvl>
  </w:abstractNum>
  <w:abstractNum w:abstractNumId="32">
    <w:nsid w:val="741226BB"/>
    <w:multiLevelType w:val="hybridMultilevel"/>
    <w:lvl w:ilvl="0">
      <w:lvlJc w:val="left"/>
      <w:lvlText w:val="(%1)"/>
      <w:numFmt w:val="decimal"/>
      <w:start w:val="1"/>
    </w:lvl>
  </w:abstractNum>
  <w:abstractNum w:abstractNumId="33">
    <w:nsid w:val="D34B6A8"/>
    <w:multiLevelType w:val="hybridMultilevel"/>
    <w:lvl w:ilvl="0">
      <w:lvlJc w:val="left"/>
      <w:lvlText w:val="(%1)"/>
      <w:numFmt w:val="decimal"/>
      <w:start w:val="1"/>
    </w:lvl>
  </w:abstractNum>
  <w:abstractNum w:abstractNumId="34">
    <w:nsid w:val="10233C99"/>
    <w:multiLevelType w:val="hybridMultilevel"/>
    <w:lvl w:ilvl="0">
      <w:lvlJc w:val="left"/>
      <w:lvlText w:val="(%1)"/>
      <w:numFmt w:val="decimal"/>
      <w:start w:val="1"/>
    </w:lvl>
  </w:abstractNum>
  <w:abstractNum w:abstractNumId="35">
    <w:nsid w:val="3F6AB60F"/>
    <w:multiLevelType w:val="hybridMultilevel"/>
    <w:lvl w:ilvl="0">
      <w:lvlJc w:val="left"/>
      <w:lvlText w:val="%1"/>
      <w:numFmt w:val="decimal"/>
      <w:start w:val="28"/>
    </w:lvl>
  </w:abstractNum>
  <w:abstractNum w:abstractNumId="36">
    <w:nsid w:val="61574095"/>
    <w:multiLevelType w:val="hybridMultilevel"/>
    <w:lvl w:ilvl="0">
      <w:lvlJc w:val="left"/>
      <w:lvlText w:val="(%1)"/>
      <w:numFmt w:val="decimal"/>
      <w:start w:val="1"/>
    </w:lvl>
  </w:abstractNum>
  <w:abstractNum w:abstractNumId="37">
    <w:nsid w:val="7E0C57B1"/>
    <w:multiLevelType w:val="hybridMultilevel"/>
    <w:lvl w:ilvl="0">
      <w:lvlJc w:val="left"/>
      <w:lvlText w:val="(%1)"/>
      <w:numFmt w:val="decimal"/>
      <w:start w:val="1"/>
    </w:lvl>
  </w:abstractNum>
  <w:abstractNum w:abstractNumId="38">
    <w:nsid w:val="77AE35EB"/>
    <w:multiLevelType w:val="hybridMultilevel"/>
    <w:lvl w:ilvl="0">
      <w:lvlJc w:val="left"/>
      <w:lvlText w:val="%1"/>
      <w:numFmt w:val="decimal"/>
      <w:start w:val="30"/>
    </w:lvl>
  </w:abstractNum>
  <w:abstractNum w:abstractNumId="39">
    <w:nsid w:val="579BE4F1"/>
    <w:multiLevelType w:val="hybridMultilevel"/>
    <w:lvl w:ilvl="0">
      <w:lvlJc w:val="left"/>
      <w:lvlText w:val="(%1)"/>
      <w:numFmt w:val="decimal"/>
      <w:start w:val="1"/>
    </w:lvl>
  </w:abstractNum>
  <w:abstractNum w:abstractNumId="40">
    <w:nsid w:val="310C50B3"/>
    <w:multiLevelType w:val="hybridMultilevel"/>
    <w:lvl w:ilvl="0">
      <w:lvlJc w:val="left"/>
      <w:lvlText w:val="%1"/>
      <w:numFmt w:val="decimal"/>
      <w:start w:val="32"/>
    </w:lvl>
  </w:abstractNum>
  <w:abstractNum w:abstractNumId="41">
    <w:nsid w:val="5FF87E05"/>
    <w:multiLevelType w:val="hybridMultilevel"/>
    <w:lvl w:ilvl="0">
      <w:lvlJc w:val="left"/>
      <w:lvlText w:val="(%1)"/>
      <w:numFmt w:val="decimal"/>
      <w:start w:val="1"/>
    </w:lvl>
  </w:abstractNum>
  <w:abstractNum w:abstractNumId="42">
    <w:nsid w:val="2F305DEF"/>
    <w:multiLevelType w:val="hybridMultilevel"/>
    <w:lvl w:ilvl="0">
      <w:lvlJc w:val="left"/>
      <w:lvlText w:val="(%1)"/>
      <w:numFmt w:val="decimal"/>
      <w:start w:val="1"/>
    </w:lvl>
  </w:abstractNum>
  <w:abstractNum w:abstractNumId="43">
    <w:nsid w:val="25A70BF7"/>
    <w:multiLevelType w:val="hybridMultilevel"/>
    <w:lvl w:ilvl="0">
      <w:lvlJc w:val="left"/>
      <w:lvlText w:val="%1"/>
      <w:numFmt w:val="decimal"/>
      <w:start w:val="34"/>
    </w:lvl>
  </w:abstractNum>
  <w:abstractNum w:abstractNumId="44">
    <w:nsid w:val="1DBABF00"/>
    <w:multiLevelType w:val="hybridMultilevel"/>
    <w:lvl w:ilvl="0">
      <w:lvlJc w:val="left"/>
      <w:lvlText w:val="●"/>
      <w:numFmt w:val="bullet"/>
      <w:start w:val="1"/>
    </w:lvl>
  </w:abstractNum>
  <w:abstractNum w:abstractNumId="45">
    <w:nsid w:val="4AD084E9"/>
    <w:multiLevelType w:val="hybridMultilevel"/>
    <w:lvl w:ilvl="0">
      <w:lvlJc w:val="left"/>
      <w:lvlText w:val="●"/>
      <w:numFmt w:val="bullet"/>
      <w:start w:val="1"/>
    </w:lvl>
  </w:abstractNum>
  <w:abstractNum w:abstractNumId="46">
    <w:nsid w:val="1F48EAA1"/>
    <w:multiLevelType w:val="hybridMultilevel"/>
    <w:lvl w:ilvl="0">
      <w:lvlJc w:val="left"/>
      <w:lvlText w:val="%1"/>
      <w:numFmt w:val="decimal"/>
      <w:start w:val="36"/>
    </w:lvl>
  </w:abstractNum>
  <w:abstractNum w:abstractNumId="47">
    <w:nsid w:val="1381823A"/>
    <w:multiLevelType w:val="hybridMultilevel"/>
    <w:lvl w:ilvl="0">
      <w:lvlJc w:val="left"/>
      <w:lvlText w:val="%1"/>
      <w:numFmt w:val="decimal"/>
      <w:start w:val="38"/>
    </w:lvl>
  </w:abstractNum>
  <w:abstractNum w:abstractNumId="48">
    <w:nsid w:val="5DB70AE5"/>
    <w:multiLevelType w:val="hybridMultilevel"/>
    <w:lvl w:ilvl="0">
      <w:lvlJc w:val="left"/>
      <w:lvlText w:val="(%1)"/>
      <w:numFmt w:val="decimal"/>
      <w:start w:val="1"/>
    </w:lvl>
  </w:abstractNum>
  <w:abstractNum w:abstractNumId="49">
    <w:nsid w:val="100F8FCA"/>
    <w:multiLevelType w:val="hybridMultilevel"/>
    <w:lvl w:ilvl="0">
      <w:lvlJc w:val="left"/>
      <w:lvlText w:val="(%1)"/>
      <w:numFmt w:val="decimal"/>
      <w:start w:val="3"/>
    </w:lvl>
  </w:abstractNum>
  <w:abstractNum w:abstractNumId="50">
    <w:nsid w:val="6590700B"/>
    <w:multiLevelType w:val="hybridMultilevel"/>
    <w:lvl w:ilvl="0">
      <w:lvlJc w:val="left"/>
      <w:lvlText w:val="(%1)"/>
      <w:numFmt w:val="lowerLetter"/>
      <w:start w:val="1"/>
    </w:lvl>
  </w:abstractNum>
  <w:abstractNum w:abstractNumId="51">
    <w:nsid w:val="15014ACB"/>
    <w:multiLevelType w:val="hybridMultilevel"/>
    <w:lvl w:ilvl="0">
      <w:lvlJc w:val="left"/>
      <w:lvlText w:val="(%1)"/>
      <w:numFmt w:val="decimal"/>
      <w:start w:val="1"/>
    </w:lvl>
  </w:abstractNum>
  <w:abstractNum w:abstractNumId="52">
    <w:nsid w:val="5F5E7FD0"/>
    <w:multiLevelType w:val="hybridMultilevel"/>
    <w:lvl w:ilvl="0">
      <w:lvlJc w:val="left"/>
      <w:lvlText w:val="%1"/>
      <w:numFmt w:val="decimal"/>
      <w:start w:val="40"/>
    </w:lvl>
  </w:abstractNum>
  <w:abstractNum w:abstractNumId="53">
    <w:nsid w:val="98A3148"/>
    <w:multiLevelType w:val="hybridMultilevel"/>
    <w:lvl w:ilvl="0">
      <w:lvlJc w:val="left"/>
      <w:lvlText w:val="(%1)"/>
      <w:numFmt w:val="decimal"/>
      <w:start w:val="3"/>
    </w:lvl>
  </w:abstractNum>
  <w:abstractNum w:abstractNumId="54">
    <w:nsid w:val="799D0247"/>
    <w:multiLevelType w:val="hybridMultilevel"/>
    <w:lvl w:ilvl="0">
      <w:lvlJc w:val="left"/>
      <w:lvlText w:val="(%1)"/>
      <w:numFmt w:val="lowerLetter"/>
      <w:start w:val="1"/>
    </w:lvl>
  </w:abstractNum>
  <w:abstractNum w:abstractNumId="55">
    <w:nsid w:val="6B94764"/>
    <w:multiLevelType w:val="hybridMultilevel"/>
    <w:lvl w:ilvl="0">
      <w:lvlJc w:val="left"/>
      <w:lvlText w:val="%1"/>
      <w:numFmt w:val="decimal"/>
      <w:start w:val="42"/>
    </w:lvl>
  </w:abstractNum>
  <w:abstractNum w:abstractNumId="56">
    <w:nsid w:val="42C296BD"/>
    <w:multiLevelType w:val="hybridMultilevel"/>
    <w:lvl w:ilvl="0">
      <w:lvlJc w:val="left"/>
      <w:lvlText w:val="(%1)"/>
      <w:numFmt w:val="decimal"/>
      <w:start w:val="2"/>
    </w:lvl>
  </w:abstractNum>
  <w:abstractNum w:abstractNumId="57">
    <w:nsid w:val="168E121F"/>
    <w:multiLevelType w:val="hybridMultilevel"/>
    <w:lvl w:ilvl="0">
      <w:lvlJc w:val="left"/>
      <w:lvlText w:val="(%1)"/>
      <w:numFmt w:val="decimal"/>
      <w:start w:val="1"/>
    </w:lvl>
  </w:abstractNum>
  <w:abstractNum w:abstractNumId="58">
    <w:nsid w:val="1EBA5D23"/>
    <w:multiLevelType w:val="hybridMultilevel"/>
    <w:lvl w:ilvl="0">
      <w:lvlJc w:val="left"/>
      <w:lvlText w:val="(%1)"/>
      <w:numFmt w:val="decimal"/>
      <w:start w:val="1"/>
    </w:lvl>
  </w:abstractNum>
  <w:abstractNum w:abstractNumId="59">
    <w:nsid w:val="661E3F1E"/>
    <w:multiLevelType w:val="hybridMultilevel"/>
    <w:lvl w:ilvl="0">
      <w:lvlJc w:val="left"/>
      <w:lvlText w:val="%1"/>
      <w:numFmt w:val="decimal"/>
      <w:start w:val="44"/>
    </w:lvl>
  </w:abstractNum>
  <w:abstractNum w:abstractNumId="60">
    <w:nsid w:val="5DC79EA8"/>
    <w:multiLevelType w:val="hybridMultilevel"/>
    <w:lvl w:ilvl="0">
      <w:lvlJc w:val="left"/>
      <w:lvlText w:val="●"/>
      <w:numFmt w:val="bullet"/>
      <w:start w:val="1"/>
    </w:lvl>
  </w:abstractNum>
  <w:abstractNum w:abstractNumId="61">
    <w:nsid w:val="540A471C"/>
    <w:multiLevelType w:val="hybridMultilevel"/>
    <w:lvl w:ilvl="0">
      <w:lvlJc w:val="left"/>
      <w:lvlText w:val="●"/>
      <w:numFmt w:val="bullet"/>
      <w:start w:val="1"/>
    </w:lvl>
  </w:abstractNum>
  <w:abstractNum w:abstractNumId="62">
    <w:nsid w:val="7BD3EE7B"/>
    <w:multiLevelType w:val="hybridMultilevel"/>
    <w:lvl w:ilvl="0">
      <w:lvlJc w:val="left"/>
      <w:lvlText w:val="●"/>
      <w:numFmt w:val="bullet"/>
      <w:start w:val="1"/>
    </w:lvl>
  </w:abstractNum>
  <w:abstractNum w:abstractNumId="63">
    <w:nsid w:val="51D9C564"/>
    <w:multiLevelType w:val="hybridMultilevel"/>
    <w:lvl w:ilvl="0">
      <w:lvlJc w:val="left"/>
      <w:lvlText w:val="●"/>
      <w:numFmt w:val="bullet"/>
      <w:start w:val="1"/>
    </w:lvl>
  </w:abstractNum>
  <w:abstractNum w:abstractNumId="64">
    <w:nsid w:val="613EFDC5"/>
    <w:multiLevelType w:val="hybridMultilevel"/>
    <w:lvl w:ilvl="0">
      <w:lvlJc w:val="left"/>
      <w:lvlText w:val="●"/>
      <w:numFmt w:val="bullet"/>
      <w:start w:val="1"/>
    </w:lvl>
  </w:abstractNum>
  <w:abstractNum w:abstractNumId="65">
    <w:nsid w:val="BF72B14"/>
    <w:multiLevelType w:val="hybridMultilevel"/>
    <w:lvl w:ilvl="0">
      <w:lvlJc w:val="left"/>
      <w:lvlText w:val="(%1)"/>
      <w:numFmt w:val="decimal"/>
      <w:start w:val="1"/>
    </w:lvl>
  </w:abstractNum>
  <w:abstractNum w:abstractNumId="66">
    <w:nsid w:val="11447B73"/>
    <w:multiLevelType w:val="hybridMultilevel"/>
    <w:lvl w:ilvl="0">
      <w:lvlJc w:val="left"/>
      <w:lvlText w:val="%1"/>
      <w:numFmt w:val="decimal"/>
      <w:start w:val="46"/>
    </w:lvl>
  </w:abstractNum>
  <w:abstractNum w:abstractNumId="67">
    <w:nsid w:val="42963E5A"/>
    <w:multiLevelType w:val="hybridMultilevel"/>
    <w:lvl w:ilvl="0">
      <w:lvlJc w:val="left"/>
      <w:lvlText w:val="(%1)"/>
      <w:numFmt w:val="decimal"/>
      <w:start w:val="2"/>
    </w:lvl>
  </w:abstractNum>
  <w:abstractNum w:abstractNumId="68">
    <w:nsid w:val="A0382C5"/>
    <w:multiLevelType w:val="hybridMultilevel"/>
    <w:lvl w:ilvl="0">
      <w:lvlJc w:val="left"/>
      <w:lvlText w:val="%1"/>
      <w:numFmt w:val="decimal"/>
      <w:start w:val="48"/>
    </w:lvl>
  </w:abstractNum>
  <w:abstractNum w:abstractNumId="69">
    <w:nsid w:val="8F2B15E"/>
    <w:multiLevelType w:val="hybridMultilevel"/>
    <w:lvl w:ilvl="0">
      <w:lvlJc w:val="left"/>
      <w:lvlText w:val="(%1)"/>
      <w:numFmt w:val="decimal"/>
      <w:start w:val="1"/>
    </w:lvl>
  </w:abstractNum>
  <w:abstractNum w:abstractNumId="70">
    <w:nsid w:val="1A32234B"/>
    <w:multiLevelType w:val="hybridMultilevel"/>
    <w:lvl w:ilvl="0">
      <w:lvlJc w:val="left"/>
      <w:lvlText w:val="%1"/>
      <w:numFmt w:val="decimal"/>
      <w:start w:val="50"/>
    </w:lvl>
  </w:abstractNum>
  <w:abstractNum w:abstractNumId="71">
    <w:nsid w:val="3B0FD379"/>
    <w:multiLevelType w:val="hybridMultilevel"/>
    <w:lvl w:ilvl="0">
      <w:lvlJc w:val="left"/>
      <w:lvlText w:val="%1"/>
      <w:numFmt w:val="decimal"/>
      <w:start w:val="52"/>
    </w:lvl>
  </w:abstractNum>
  <w:abstractNum w:abstractNumId="72">
    <w:nsid w:val="68EB2F63"/>
    <w:multiLevelType w:val="hybridMultilevel"/>
    <w:lvl w:ilvl="0">
      <w:lvlJc w:val="left"/>
      <w:lvlText w:val="%1"/>
      <w:numFmt w:val="decimal"/>
      <w:start w:val="54"/>
    </w:lvl>
  </w:abstractNum>
  <w:abstractNum w:abstractNumId="73">
    <w:nsid w:val="4962813B"/>
    <w:multiLevelType w:val="hybridMultilevel"/>
    <w:lvl w:ilvl="0">
      <w:lvlJc w:val="left"/>
      <w:lvlText w:val="*"/>
      <w:numFmt w:val="bullet"/>
      <w:start w:val="1"/>
    </w:lvl>
  </w:abstractNum>
  <w:abstractNum w:abstractNumId="74">
    <w:nsid w:val="60B6DF70"/>
    <w:multiLevelType w:val="hybridMultilevel"/>
    <w:lvl w:ilvl="0">
      <w:lvlJc w:val="left"/>
      <w:lvlText w:val="**"/>
      <w:numFmt w:val="bullet"/>
      <w:start w:val="1"/>
    </w:lvl>
  </w:abstractNum>
  <w:abstractNum w:abstractNumId="75">
    <w:nsid w:val="6A5EE64"/>
    <w:multiLevelType w:val="hybridMultilevel"/>
    <w:lvl w:ilvl="0">
      <w:lvlJc w:val="left"/>
      <w:lvlText w:val="(%1)"/>
      <w:numFmt w:val="decimal"/>
      <w:start w:val="1"/>
    </w:lvl>
  </w:abstractNum>
  <w:abstractNum w:abstractNumId="76">
    <w:nsid w:val="14330624"/>
    <w:multiLevelType w:val="hybridMultilevel"/>
    <w:lvl w:ilvl="0">
      <w:lvlJc w:val="left"/>
      <w:lvlText w:val="%1"/>
      <w:numFmt w:val="decimal"/>
      <w:start w:val="56"/>
    </w:lvl>
  </w:abstractNum>
  <w:abstractNum w:abstractNumId="77">
    <w:nsid w:val="7FFFCA11"/>
    <w:multiLevelType w:val="hybridMultilevel"/>
    <w:lvl w:ilvl="0">
      <w:lvlJc w:val="left"/>
      <w:lvlText w:val="(%1)"/>
      <w:numFmt w:val="decimal"/>
      <w:start w:val="2"/>
    </w:lvl>
  </w:abstractNum>
  <w:abstractNum w:abstractNumId="78">
    <w:nsid w:val="1A27709E"/>
    <w:multiLevelType w:val="hybridMultilevel"/>
    <w:lvl w:ilvl="0">
      <w:lvlJc w:val="left"/>
      <w:lvlText w:val="%1"/>
      <w:numFmt w:val="decimal"/>
      <w:start w:val="58"/>
    </w:lvl>
  </w:abstractNum>
  <w:abstractNum w:abstractNumId="79">
    <w:nsid w:val="71EA1109"/>
    <w:multiLevelType w:val="hybridMultilevel"/>
    <w:lvl w:ilvl="0">
      <w:lvlJc w:val="left"/>
      <w:lvlText w:val="●"/>
      <w:numFmt w:val="bullet"/>
      <w:start w:val="1"/>
    </w:lvl>
  </w:abstractNum>
  <w:abstractNum w:abstractNumId="80">
    <w:nsid w:val="100F59DC"/>
    <w:multiLevelType w:val="hybridMultilevel"/>
    <w:lvl w:ilvl="0">
      <w:lvlJc w:val="left"/>
      <w:lvlText w:val="●"/>
      <w:numFmt w:val="bullet"/>
      <w:start w:val="1"/>
    </w:lvl>
  </w:abstractNum>
  <w:abstractNum w:abstractNumId="81">
    <w:nsid w:val="7FB7E0AA"/>
    <w:multiLevelType w:val="hybridMultilevel"/>
    <w:lvl w:ilvl="0">
      <w:lvlJc w:val="left"/>
      <w:lvlText w:val="●"/>
      <w:numFmt w:val="bullet"/>
      <w:start w:val="1"/>
    </w:lvl>
  </w:abstractNum>
  <w:abstractNum w:abstractNumId="82">
    <w:nsid w:val="6EB5BD4"/>
    <w:multiLevelType w:val="hybridMultilevel"/>
    <w:lvl w:ilvl="0">
      <w:lvlJc w:val="left"/>
      <w:lvlText w:val="%1"/>
      <w:numFmt w:val="decimal"/>
      <w:start w:val="62"/>
    </w:lvl>
  </w:abstractNum>
  <w:abstractNum w:abstractNumId="83">
    <w:nsid w:val="6F6DD9AC"/>
    <w:multiLevelType w:val="hybridMultilevel"/>
    <w:lvl w:ilvl="0">
      <w:lvlJc w:val="left"/>
      <w:lvlText w:val="●"/>
      <w:numFmt w:val="bullet"/>
      <w:start w:val="1"/>
    </w:lvl>
  </w:abstractNum>
  <w:abstractNum w:abstractNumId="84">
    <w:nsid w:val="94211F2"/>
    <w:multiLevelType w:val="hybridMultilevel"/>
    <w:lvl w:ilvl="0">
      <w:lvlJc w:val="left"/>
      <w:lvlText w:val="%1"/>
      <w:numFmt w:val="decimal"/>
      <w:start w:val="64"/>
    </w:lvl>
  </w:abstractNum>
  <w:abstractNum w:abstractNumId="85">
    <w:nsid w:val="885E1B"/>
    <w:multiLevelType w:val="hybridMultilevel"/>
    <w:lvl w:ilvl="0">
      <w:lvlJc w:val="left"/>
      <w:lvlText w:val="%1."/>
      <w:numFmt w:val="decimal"/>
      <w:start w:val="2"/>
    </w:lvl>
  </w:abstractNum>
  <w:abstractNum w:abstractNumId="86">
    <w:nsid w:val="76272110"/>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2019-12-06T08:08:11Z</dcterms:created>
  <dcterms:modified xsi:type="dcterms:W3CDTF">2019-12-06T08:08:11Z</dcterms:modified>
</cp:coreProperties>
</file>