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49.jpeg" ContentType="image/jpeg"/>
  <Override PartName="/word/media/image48.jpeg" ContentType="image/jpeg"/>
  <Override PartName="/word/media/image53.jpeg" ContentType="image/jpeg"/>
  <Override PartName="/word/media/image47.gif" ContentType="image/gif"/>
  <Override PartName="/word/media/image26.jpeg" ContentType="image/jpeg"/>
  <Override PartName="/word/media/image85.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3073d3_def14a.htm"/>
        <w:bookmarkStart w:id="1" w:name="kstm243073d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UNITED STATES</w:t>
        <w:br/>
        <w:t>SECURITIES AND EXCHANGE COMMISSION</w:t>
        <w:br/>
        <w:t>Washington, D.C. 20549</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340" w:before="16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Proxy Statement Pursuant to Section 14(a) of the </w:t>
        <w:br/>
        <w:t>Securities Exchange Act of 1934 (Amendment No.  )</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18"/>
        </w:rPr>
        <w:t>Filed by the Registrant            ☐      Filed by a party other than the Registrant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CHECK THE APPROPRIATE BOX:</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Preliminary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Confidential, for Use of the Commission Only (as permitted by Rule 14a-6(e)(2))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Definitive Proxy 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Definitive Additional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Soliciting Material under §240.14a-12 </w:t>
      </w:r>
      <w:r>
        <mc:AlternateContent>
          <mc:Choice Requires="wps">
            <w:drawing>
              <wp:anchor behindDoc="0" distT="10160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1409700" cy="409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409700"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80" w:before="28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z w:val="32"/>
        </w:rPr>
        <w:t>SL Green Realty Corp.</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(Name of Registrant as Specified In Its Charter)</w:t>
      </w:r>
      <w:r>
        <w:rPr>
          <w:rFonts w:ascii="Arial;Helvetica;sans-serif" w:hAnsi="Arial;Helvetica;sans-serif"/>
          <w:b w:val="false"/>
          <w:i w:val="false"/>
          <w:caps w:val="false"/>
          <w:smallCaps w:val="false"/>
          <w:color w:val="000000"/>
          <w:sz w:val="1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283"/>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(Name of Person(s) Filing Proxy Statement, if other than the Registrant)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PAYMENT OF FILING FEE (CHECK ALL BOXES THAT APPLY):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fee required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 paid previously with preliminary materials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 computed on table in exhibit required by Item 25(b) per Exchange Act Rules 14a-6(i)(1) and 0-11</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101600" distB="0" distL="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LT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LETTER TO STOCKHOLDERS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Dear Fellow Stockholders,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we look back at 2023, the Board is proud of the performance that the SL Green team delivered. Despite the continued challenges facing New York City’s office sector, we persevered and are coming back even stronger. In 2023, we were proud to deliver a total shareholder return of 48%, the highest of our office REIT peers and the third highest of 128 REITs with a market capitalization in excess of $1 billion. We also outperformed the Dow Jones US Office Real Estate Index by nearly 5,000 basis points.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major successes this past year included two of the largest real estate transactions in New York City, underscoring the strength of our class-A portfolio. We also substantially completed our redevelopment of One Madison Avenue, another shining example of adaptive reuse of an existing building that will achieve the highest levels of sustainability with a target of LEED v4 Gold.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efforts towards creating long-term value are underscored by our ESG principles. In 2023, SL Green’s environmental sustainability endeavors reached a significant milestone as our emissions reduction targets gained approval from the Science Based Target Initiative (SBTi), ensuring they are aligned with the 1.5°C scenario outlined by the UN’s International Panel on Climate Change. Since our validation, SBTi has drafted new industry-specific guidance, which will allow real estate companies to redefine their targets. This shift demonstrates the evolving ESG landscape, which expands reporting requirements. Our sustainable leadership is recognized by our inclusion in the Dow Jones Sustainability Indexes, our Top 10 Ranking for ESG Disclosure by Bloomberg, and our inclusion in Newsweek’s 2023 America’s Most Responsible Companies list, among others.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Vital to the Board’s oversight responsibilities is ongoing outreach and responsiveness to our stockholders. The Board is proud of our commitment to stockholder engagement and track record of responsiveness to stockholder feedback. We have enhanced our proxy disclosure and delivered on our commitments by enhancing executive compensation and incentive design over the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With our future tied to the success of New York City, we are not just a developer shaping the city’s skyline or a dedicated employer, but also a partner building value with our tenants and suppliers and a neighbor giving back to our fellow New Yorkers. SL Green, alongside our employees, continues to support the two organizations we established to give back to the NYC communities where we live and work—Food1st and the SUMMIT Foundation. We also continued our partnership with Summer Youth Employment Program (SYEP), the nation’s largest youth employment program. SL Green employees also joined New York Cares’ Stand with Students education initiative, which has provided resources to New York City children affected by food insecurity and financial hardship.</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business success and contributions as a good corporate citizen are a reflection of the dedication and hard work of our incredible workforce who continuously rise to overcome challenges. Our strong corporate culture is reflected in achieving Great Place to Work</w:t>
      </w:r>
      <w:r>
        <w:rPr>
          <w:rFonts w:ascii="Arial;Helvetica;sans-serif" w:hAnsi="Arial;Helvetica;sans-serif"/>
          <w:b w:val="false"/>
          <w:i w:val="false"/>
          <w:caps w:val="false"/>
          <w:smallCaps w:val="false"/>
          <w:color w:val="000000"/>
          <w:spacing w:val="-2"/>
          <w:sz w:val="14"/>
        </w:rPr>
        <w:t>®</w:t>
      </w:r>
      <w:r>
        <w:rPr>
          <w:rFonts w:ascii="Arial;Helvetica;sans-serif" w:hAnsi="Arial;Helvetica;sans-serif"/>
          <w:b w:val="false"/>
          <w:i w:val="false"/>
          <w:caps w:val="false"/>
          <w:smallCaps w:val="false"/>
          <w:color w:val="000000"/>
          <w:spacing w:val="-2"/>
          <w:sz w:val="18"/>
        </w:rPr>
        <w:t xml:space="preserve"> certification again in 2023. Our employees exemplify the excellence of our organization, for whom we are forever thankful.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Directors Betsy S. Atkins and Edwin T. Burton are not standing for re-election at the 2024 Annual Meeting. We thank Betsy and Ed for their invaluable service on the Board, appreciate their contributions especially through the pandemic and wish them the best in their future pursuits.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would also like to thank Andrew Mathias, who has transitioned from his role as President of SL Green. Andrew was a key figure in SL Green’s success as a public company and in building it into the undisputed market leader in New York City. Fortunately, we will continue to have Andrew’s valuable expertise and experience, as he continues to serve on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SL Green Board remains committed to providing robust oversight of Management’s execution of the Company’s strategic priorities, safeguarding stockholder assets and creating long-term, sustainable value.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0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Sincerely,</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43">
                <wp:simplePos x="0" y="0"/>
                <wp:positionH relativeFrom="column">
                  <wp:align>left</wp:align>
                </wp:positionH>
                <wp:positionV relativeFrom="line">
                  <wp:posOffset>635</wp:posOffset>
                </wp:positionV>
                <wp:extent cx="2032000" cy="1383665"/>
                <wp:effectExtent l="0" t="0" r="0" b="0"/>
                <wp:wrapSquare wrapText="right"/>
                <wp:docPr id="11" name="Frame9"/>
                <a:graphic xmlns:a="http://schemas.openxmlformats.org/drawingml/2006/main">
                  <a:graphicData uri="http://schemas.microsoft.com/office/word/2010/wordprocessingShape">
                    <wps:wsp>
                      <wps:cNvSpPr txBox="1"/>
                      <wps:spPr>
                        <a:xfrm>
                          <a:off x="0" y="0"/>
                          <a:ext cx="2032000" cy="1383665"/>
                        </a:xfrm>
                        <a:prstGeom prst="rect"/>
                        <a:solidFill>
                          <a:srgbClr val="FFFFFF"/>
                        </a:solidFill>
                      </wps:spPr>
                      <wps:txbx>
                        <w:txbxContent>
                          <w:p>
                            <w:pPr>
                              <w:pStyle w:val="TextBody"/>
                              <w:bidi w:val="0"/>
                              <w:spacing w:lineRule="atLeast" w:line="210" w:before="0" w:after="0"/>
                              <w:jc w:val="left"/>
                              <w:rPr/>
                            </w:pPr>
                            <w:r>
                              <w:rPr>
                                <w:b/>
                              </w:rPr>
                              <w:t>John H. Alschuler</w:t>
                            </w:r>
                            <w:r>
                              <w:rPr/>
                              <w:t xml:space="preserve"> </w:t>
                              <w:br/>
                            </w:r>
                            <w:r>
                              <w:rPr>
                                <w:spacing w:val="-2"/>
                              </w:rPr>
                              <w:t>Lead Independent Director</w:t>
                            </w:r>
                            <w:r>
                              <w:rPr>
                                <w:spacing w:val="4"/>
                              </w:rPr>
                              <w:t xml:space="preserve"> </w:t>
                            </w:r>
                          </w:p>
                          <w:p>
                            <w:pPr>
                              <w:pStyle w:val="TextBody"/>
                              <w:bidi w:val="0"/>
                              <w:spacing w:lineRule="atLeast" w:line="210" w:before="120" w:after="283"/>
                              <w:jc w:val="left"/>
                              <w:rPr>
                                <w:b/>
                              </w:rPr>
                            </w:pPr>
                            <w:r>
                              <w:rPr>
                                <w:b/>
                              </w:rPr>
                              <w:t xml:space="preserve">Edwin T. Burton, III </w:t>
                              <w:br/>
                            </w:r>
                            <w:r>
                              <w:rPr>
                                <w:b w:val="false"/>
                                <w:spacing w:val="-2"/>
                              </w:rPr>
                              <w:t>Independent Director</w:t>
                            </w:r>
                          </w:p>
                          <w:p>
                            <w:pPr>
                              <w:pStyle w:val="TextBody"/>
                              <w:bidi w:val="0"/>
                              <w:spacing w:lineRule="atLeast" w:line="210" w:before="120" w:after="283"/>
                              <w:jc w:val="left"/>
                              <w:rPr>
                                <w:b/>
                              </w:rPr>
                            </w:pPr>
                            <w:r>
                              <w:rPr>
                                <w:b/>
                              </w:rPr>
                              <w:t xml:space="preserve">Craig M. Hatkoff </w:t>
                              <w:br/>
                            </w:r>
                            <w:r>
                              <w:rPr>
                                <w:b w:val="false"/>
                                <w:spacing w:val="-2"/>
                              </w:rPr>
                              <w:t>Independent Director</w:t>
                            </w:r>
                          </w:p>
                        </w:txbxContent>
                      </wps:txbx>
                      <wps:bodyPr anchor="t" lIns="0" tIns="0" rIns="0" bIns="0">
                        <a:noAutofit/>
                      </wps:bodyPr>
                    </wps:wsp>
                  </a:graphicData>
                </a:graphic>
              </wp:anchor>
            </w:drawing>
          </mc:Choice>
          <mc:Fallback>
            <w:pict>
              <v:rect style="position:absolute;rotation:-0;width:160pt;height:108.95pt;mso-wrap-distance-left:45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lineRule="atLeast" w:line="210" w:before="0" w:after="0"/>
                        <w:jc w:val="left"/>
                        <w:rPr/>
                      </w:pPr>
                      <w:r>
                        <w:rPr>
                          <w:b/>
                        </w:rPr>
                        <w:t>John H. Alschuler</w:t>
                      </w:r>
                      <w:r>
                        <w:rPr/>
                        <w:t xml:space="preserve"> </w:t>
                        <w:br/>
                      </w:r>
                      <w:r>
                        <w:rPr>
                          <w:spacing w:val="-2"/>
                        </w:rPr>
                        <w:t>Lead Independent Director</w:t>
                      </w:r>
                      <w:r>
                        <w:rPr>
                          <w:spacing w:val="4"/>
                        </w:rPr>
                        <w:t xml:space="preserve"> </w:t>
                      </w:r>
                    </w:p>
                    <w:p>
                      <w:pPr>
                        <w:pStyle w:val="TextBody"/>
                        <w:bidi w:val="0"/>
                        <w:spacing w:lineRule="atLeast" w:line="210" w:before="120" w:after="283"/>
                        <w:jc w:val="left"/>
                        <w:rPr>
                          <w:b/>
                        </w:rPr>
                      </w:pPr>
                      <w:r>
                        <w:rPr>
                          <w:b/>
                        </w:rPr>
                        <w:t xml:space="preserve">Edwin T. Burton, III </w:t>
                        <w:br/>
                      </w:r>
                      <w:r>
                        <w:rPr>
                          <w:b w:val="false"/>
                          <w:spacing w:val="-2"/>
                        </w:rPr>
                        <w:t>Independent Director</w:t>
                      </w:r>
                    </w:p>
                    <w:p>
                      <w:pPr>
                        <w:pStyle w:val="TextBody"/>
                        <w:bidi w:val="0"/>
                        <w:spacing w:lineRule="atLeast" w:line="210" w:before="120" w:after="283"/>
                        <w:jc w:val="left"/>
                        <w:rPr>
                          <w:b/>
                        </w:rPr>
                      </w:pPr>
                      <w:r>
                        <w:rPr>
                          <w:b/>
                        </w:rPr>
                        <w:t xml:space="preserve">Craig M. Hatkoff </w:t>
                        <w:br/>
                      </w:r>
                      <w:r>
                        <w:rPr>
                          <w:b w:val="false"/>
                          <w:spacing w:val="-2"/>
                        </w:rPr>
                        <w:t>Independent Director</w:t>
                      </w:r>
                    </w:p>
                  </w:txbxContent>
                </v:textbox>
                <w10:wrap type="square" side="right"/>
              </v:rect>
            </w:pict>
          </mc:Fallback>
        </mc:AlternateContent>
      </w:r>
      <w:r>
        <mc:AlternateContent>
          <mc:Choice Requires="wps">
            <w:drawing>
              <wp:anchor behindDoc="0" distT="0" distB="0" distL="152400" distR="0" simplePos="0" locked="0" layoutInCell="1" allowOverlap="1" relativeHeight="344">
                <wp:simplePos x="0" y="0"/>
                <wp:positionH relativeFrom="column">
                  <wp:align>left</wp:align>
                </wp:positionH>
                <wp:positionV relativeFrom="line">
                  <wp:posOffset>635</wp:posOffset>
                </wp:positionV>
                <wp:extent cx="2032000" cy="1909445"/>
                <wp:effectExtent l="0" t="0" r="0" b="0"/>
                <wp:wrapSquare wrapText="right"/>
                <wp:docPr id="12" name="Frame10"/>
                <a:graphic xmlns:a="http://schemas.openxmlformats.org/drawingml/2006/main">
                  <a:graphicData uri="http://schemas.microsoft.com/office/word/2010/wordprocessingShape">
                    <wps:wsp>
                      <wps:cNvSpPr txBox="1"/>
                      <wps:spPr>
                        <a:xfrm>
                          <a:off x="0" y="0"/>
                          <a:ext cx="2032000" cy="1909445"/>
                        </a:xfrm>
                        <a:prstGeom prst="rect"/>
                        <a:solidFill>
                          <a:srgbClr val="FFFFFF"/>
                        </a:solidFill>
                      </wps:spPr>
                      <wps:txbx>
                        <w:txbxContent>
                          <w:p>
                            <w:pPr>
                              <w:pStyle w:val="TextBody"/>
                              <w:bidi w:val="0"/>
                              <w:spacing w:lineRule="atLeast" w:line="200" w:before="0" w:after="0"/>
                              <w:jc w:val="left"/>
                              <w:rPr/>
                            </w:pPr>
                            <w:r>
                              <w:rPr>
                                <w:b/>
                              </w:rPr>
                              <w:t>Betsy S. Atkins</w:t>
                            </w:r>
                            <w:r>
                              <w:rPr/>
                              <w:t xml:space="preserve"> </w:t>
                              <w:br/>
                            </w:r>
                            <w:r>
                              <w:rPr>
                                <w:spacing w:val="-2"/>
                              </w:rPr>
                              <w:t>Independent Director</w:t>
                            </w:r>
                            <w:r>
                              <w:rPr>
                                <w:spacing w:val="4"/>
                              </w:rPr>
                              <w:t xml:space="preserve"> </w:t>
                            </w:r>
                          </w:p>
                          <w:p>
                            <w:pPr>
                              <w:pStyle w:val="TextBody"/>
                              <w:bidi w:val="0"/>
                              <w:spacing w:lineRule="atLeast" w:line="200" w:before="120" w:after="283"/>
                              <w:jc w:val="left"/>
                              <w:rPr/>
                            </w:pPr>
                            <w:r>
                              <w:rPr>
                                <w:b/>
                              </w:rPr>
                              <w:t>Lauren B. Dillard</w:t>
                            </w:r>
                            <w:r>
                              <w:rPr/>
                              <w:t xml:space="preserve"> </w:t>
                              <w:br/>
                            </w:r>
                            <w:r>
                              <w:rPr>
                                <w:spacing w:val="-2"/>
                              </w:rPr>
                              <w:t>Independent Director</w:t>
                            </w:r>
                            <w:r>
                              <w:rPr>
                                <w:spacing w:val="4"/>
                              </w:rPr>
                              <w:t xml:space="preserve"> </w:t>
                            </w:r>
                          </w:p>
                          <w:p>
                            <w:pPr>
                              <w:pStyle w:val="TextBody"/>
                              <w:bidi w:val="0"/>
                              <w:spacing w:lineRule="atLeast" w:line="200" w:before="120" w:after="283"/>
                              <w:jc w:val="left"/>
                              <w:rPr/>
                            </w:pPr>
                            <w:r>
                              <w:rPr>
                                <w:b/>
                              </w:rPr>
                              <w:t>Marc Holliday</w:t>
                            </w:r>
                            <w:r>
                              <w:rPr/>
                              <w:t xml:space="preserve"> </w:t>
                              <w:br/>
                            </w:r>
                            <w:r>
                              <w:rPr>
                                <w:spacing w:val="-2"/>
                              </w:rPr>
                              <w:t>Chairman of the Board of Directors,</w:t>
                              <w:br/>
                              <w:t xml:space="preserve">Chief Executive Officer &amp; Interim President </w:t>
                            </w:r>
                          </w:p>
                        </w:txbxContent>
                      </wps:txbx>
                      <wps:bodyPr anchor="t" lIns="0" tIns="0" rIns="0" bIns="0">
                        <a:noAutofit/>
                      </wps:bodyPr>
                    </wps:wsp>
                  </a:graphicData>
                </a:graphic>
              </wp:anchor>
            </w:drawing>
          </mc:Choice>
          <mc:Fallback>
            <w:pict>
              <v:rect style="position:absolute;rotation:-0;width:160pt;height:150.35pt;mso-wrap-distance-left:12pt;mso-wrap-distance-right:0pt;mso-wrap-distance-top:0pt;mso-wrap-distance-bottom:0pt;margin-top:0pt;mso-position-vertical:top;mso-position-vertical-relative:text;margin-left:217pt;mso-position-horizontal:left;mso-position-horizontal-relative:text">
                <v:textbox>
                  <w:txbxContent>
                    <w:p>
                      <w:pPr>
                        <w:pStyle w:val="TextBody"/>
                        <w:bidi w:val="0"/>
                        <w:spacing w:lineRule="atLeast" w:line="200" w:before="0" w:after="0"/>
                        <w:jc w:val="left"/>
                        <w:rPr/>
                      </w:pPr>
                      <w:r>
                        <w:rPr>
                          <w:b/>
                        </w:rPr>
                        <w:t>Betsy S. Atkins</w:t>
                      </w:r>
                      <w:r>
                        <w:rPr/>
                        <w:t xml:space="preserve"> </w:t>
                        <w:br/>
                      </w:r>
                      <w:r>
                        <w:rPr>
                          <w:spacing w:val="-2"/>
                        </w:rPr>
                        <w:t>Independent Director</w:t>
                      </w:r>
                      <w:r>
                        <w:rPr>
                          <w:spacing w:val="4"/>
                        </w:rPr>
                        <w:t xml:space="preserve"> </w:t>
                      </w:r>
                    </w:p>
                    <w:p>
                      <w:pPr>
                        <w:pStyle w:val="TextBody"/>
                        <w:bidi w:val="0"/>
                        <w:spacing w:lineRule="atLeast" w:line="200" w:before="120" w:after="283"/>
                        <w:jc w:val="left"/>
                        <w:rPr/>
                      </w:pPr>
                      <w:r>
                        <w:rPr>
                          <w:b/>
                        </w:rPr>
                        <w:t>Lauren B. Dillard</w:t>
                      </w:r>
                      <w:r>
                        <w:rPr/>
                        <w:t xml:space="preserve"> </w:t>
                        <w:br/>
                      </w:r>
                      <w:r>
                        <w:rPr>
                          <w:spacing w:val="-2"/>
                        </w:rPr>
                        <w:t>Independent Director</w:t>
                      </w:r>
                      <w:r>
                        <w:rPr>
                          <w:spacing w:val="4"/>
                        </w:rPr>
                        <w:t xml:space="preserve"> </w:t>
                      </w:r>
                    </w:p>
                    <w:p>
                      <w:pPr>
                        <w:pStyle w:val="TextBody"/>
                        <w:bidi w:val="0"/>
                        <w:spacing w:lineRule="atLeast" w:line="200" w:before="120" w:after="283"/>
                        <w:jc w:val="left"/>
                        <w:rPr/>
                      </w:pPr>
                      <w:r>
                        <w:rPr>
                          <w:b/>
                        </w:rPr>
                        <w:t>Marc Holliday</w:t>
                      </w:r>
                      <w:r>
                        <w:rPr/>
                        <w:t xml:space="preserve"> </w:t>
                        <w:br/>
                      </w:r>
                      <w:r>
                        <w:rPr>
                          <w:spacing w:val="-2"/>
                        </w:rPr>
                        <w:t>Chairman of the Board of Directors,</w:t>
                        <w:br/>
                        <w:t xml:space="preserve">Chief Executive Officer &amp; Interim President </w:t>
                      </w:r>
                    </w:p>
                  </w:txbxContent>
                </v:textbox>
                <w10:wrap type="square" side="right"/>
              </v:rect>
            </w:pict>
          </mc:Fallback>
        </mc:AlternateContent>
      </w:r>
      <w:r>
        <mc:AlternateContent>
          <mc:Choice Requires="wps">
            <w:drawing>
              <wp:anchor behindDoc="0" distT="0" distB="0" distL="152400" distR="0" simplePos="0" locked="0" layoutInCell="1" allowOverlap="1" relativeHeight="345">
                <wp:simplePos x="0" y="0"/>
                <wp:positionH relativeFrom="column">
                  <wp:align>left</wp:align>
                </wp:positionH>
                <wp:positionV relativeFrom="line">
                  <wp:posOffset>635</wp:posOffset>
                </wp:positionV>
                <wp:extent cx="2032000" cy="1383665"/>
                <wp:effectExtent l="0" t="0" r="0" b="0"/>
                <wp:wrapSquare wrapText="right"/>
                <wp:docPr id="13" name="Frame11"/>
                <a:graphic xmlns:a="http://schemas.openxmlformats.org/drawingml/2006/main">
                  <a:graphicData uri="http://schemas.microsoft.com/office/word/2010/wordprocessingShape">
                    <wps:wsp>
                      <wps:cNvSpPr txBox="1"/>
                      <wps:spPr>
                        <a:xfrm>
                          <a:off x="0" y="0"/>
                          <a:ext cx="2032000" cy="1383665"/>
                        </a:xfrm>
                        <a:prstGeom prst="rect"/>
                        <a:solidFill>
                          <a:srgbClr val="FFFFFF"/>
                        </a:solidFill>
                      </wps:spPr>
                      <wps:txbx>
                        <w:txbxContent>
                          <w:p>
                            <w:pPr>
                              <w:pStyle w:val="TextBody"/>
                              <w:bidi w:val="0"/>
                              <w:spacing w:lineRule="atLeast" w:line="210" w:before="0" w:after="0"/>
                              <w:jc w:val="left"/>
                              <w:rPr>
                                <w:b/>
                              </w:rPr>
                            </w:pPr>
                            <w:r>
                              <w:rPr>
                                <w:b/>
                              </w:rPr>
                              <w:t xml:space="preserve">Carol N. Brown </w:t>
                              <w:br/>
                            </w:r>
                            <w:r>
                              <w:rPr>
                                <w:b w:val="false"/>
                                <w:spacing w:val="-2"/>
                              </w:rPr>
                              <w:t>Independent Director</w:t>
                            </w:r>
                          </w:p>
                          <w:p>
                            <w:pPr>
                              <w:pStyle w:val="TextBody"/>
                              <w:bidi w:val="0"/>
                              <w:spacing w:lineRule="atLeast" w:line="210" w:before="120" w:after="283"/>
                              <w:jc w:val="left"/>
                              <w:rPr>
                                <w:b/>
                              </w:rPr>
                            </w:pPr>
                            <w:r>
                              <w:rPr>
                                <w:b/>
                              </w:rPr>
                              <w:t xml:space="preserve">Stephen L. Green </w:t>
                              <w:br/>
                            </w:r>
                            <w:r>
                              <w:rPr>
                                <w:b w:val="false"/>
                                <w:spacing w:val="-2"/>
                              </w:rPr>
                              <w:t>Director and Chairman Emeritus</w:t>
                            </w:r>
                          </w:p>
                          <w:p>
                            <w:pPr>
                              <w:pStyle w:val="TextBody"/>
                              <w:bidi w:val="0"/>
                              <w:spacing w:lineRule="atLeast" w:line="210" w:before="120" w:after="283"/>
                              <w:jc w:val="left"/>
                              <w:rPr>
                                <w:b/>
                              </w:rPr>
                            </w:pPr>
                            <w:r>
                              <w:rPr>
                                <w:b/>
                              </w:rPr>
                              <w:t>Andrew W. Mathias</w:t>
                              <w:br/>
                            </w:r>
                            <w:r>
                              <w:rPr>
                                <w:b w:val="false"/>
                                <w:spacing w:val="-2"/>
                              </w:rPr>
                              <w:t>Director</w:t>
                            </w:r>
                          </w:p>
                        </w:txbxContent>
                      </wps:txbx>
                      <wps:bodyPr anchor="t" lIns="0" tIns="0" rIns="0" bIns="0">
                        <a:noAutofit/>
                      </wps:bodyPr>
                    </wps:wsp>
                  </a:graphicData>
                </a:graphic>
              </wp:anchor>
            </w:drawing>
          </mc:Choice>
          <mc:Fallback>
            <w:pict>
              <v:rect style="position:absolute;rotation:-0;width:160pt;height:108.95pt;mso-wrap-distance-left:12pt;mso-wrap-distance-right:0pt;mso-wrap-distance-top:0pt;mso-wrap-distance-bottom:0pt;margin-top:0pt;mso-position-vertical:top;mso-position-vertical-relative:text;margin-left:217pt;mso-position-horizontal:left;mso-position-horizontal-relative:text">
                <v:textbox>
                  <w:txbxContent>
                    <w:p>
                      <w:pPr>
                        <w:pStyle w:val="TextBody"/>
                        <w:bidi w:val="0"/>
                        <w:spacing w:lineRule="atLeast" w:line="210" w:before="0" w:after="0"/>
                        <w:jc w:val="left"/>
                        <w:rPr>
                          <w:b/>
                        </w:rPr>
                      </w:pPr>
                      <w:r>
                        <w:rPr>
                          <w:b/>
                        </w:rPr>
                        <w:t xml:space="preserve">Carol N. Brown </w:t>
                        <w:br/>
                      </w:r>
                      <w:r>
                        <w:rPr>
                          <w:b w:val="false"/>
                          <w:spacing w:val="-2"/>
                        </w:rPr>
                        <w:t>Independent Director</w:t>
                      </w:r>
                    </w:p>
                    <w:p>
                      <w:pPr>
                        <w:pStyle w:val="TextBody"/>
                        <w:bidi w:val="0"/>
                        <w:spacing w:lineRule="atLeast" w:line="210" w:before="120" w:after="283"/>
                        <w:jc w:val="left"/>
                        <w:rPr>
                          <w:b/>
                        </w:rPr>
                      </w:pPr>
                      <w:r>
                        <w:rPr>
                          <w:b/>
                        </w:rPr>
                        <w:t xml:space="preserve">Stephen L. Green </w:t>
                        <w:br/>
                      </w:r>
                      <w:r>
                        <w:rPr>
                          <w:b w:val="false"/>
                          <w:spacing w:val="-2"/>
                        </w:rPr>
                        <w:t>Director and Chairman Emeritus</w:t>
                      </w:r>
                    </w:p>
                    <w:p>
                      <w:pPr>
                        <w:pStyle w:val="TextBody"/>
                        <w:bidi w:val="0"/>
                        <w:spacing w:lineRule="atLeast" w:line="210" w:before="120" w:after="283"/>
                        <w:jc w:val="left"/>
                        <w:rPr>
                          <w:b/>
                        </w:rPr>
                      </w:pPr>
                      <w:r>
                        <w:rPr>
                          <w:b/>
                        </w:rPr>
                        <w:t>Andrew W. Mathias</w:t>
                        <w:br/>
                      </w:r>
                      <w:r>
                        <w:rPr>
                          <w:b w:val="false"/>
                          <w:spacing w:val="-2"/>
                        </w:rPr>
                        <w:t>Director</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1" w:type="dxa"/>
        <w:jc w:val="left"/>
        <w:tblInd w:w="900" w:type="dxa"/>
        <w:tblLayout w:type="fixed"/>
        <w:tblCellMar>
          <w:top w:w="0" w:type="dxa"/>
          <w:left w:w="0" w:type="dxa"/>
          <w:bottom w:w="0" w:type="dxa"/>
          <w:right w:w="0" w:type="dxa"/>
        </w:tblCellMar>
      </w:tblPr>
      <w:tblGrid>
        <w:gridCol w:w="124"/>
        <w:gridCol w:w="109"/>
        <w:gridCol w:w="109"/>
        <w:gridCol w:w="109"/>
        <w:gridCol w:w="28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vAlign w:val="center"/>
          </w:tcPr>
          <w:p>
            <w:pPr>
              <w:pStyle w:val="TableContents"/>
              <w:bidi w:val="0"/>
              <w:spacing w:before="0" w:after="0"/>
              <w:jc w:val="right"/>
              <w:rPr/>
            </w:pPr>
            <w:r>
              <w:rPr/>
              <w:t>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color w:val="83AD40"/>
          <w:sz w:val="32"/>
        </w:rPr>
      </w:pPr>
      <w:r>
        <w:rPr>
          <w:rFonts w:ascii="Arial;Helvetica;sans-serif" w:hAnsi="Arial;Helvetica;sans-serif"/>
          <w:b/>
          <w:i w:val="false"/>
          <w:caps/>
          <w:color w:val="83AD40"/>
          <w:sz w:val="32"/>
        </w:rPr>
        <w:t xml:space="preserve">OUR TRACK RECORD OF RESPONSIVENESS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Our Board has always </w:t>
      </w:r>
      <w:r>
        <w:rPr>
          <w:rFonts w:ascii="Arial;Helvetica;sans-serif" w:hAnsi="Arial;Helvetica;sans-serif"/>
          <w:b/>
          <w:i w:val="false"/>
          <w:caps w:val="false"/>
          <w:smallCaps w:val="false"/>
          <w:color w:val="000000"/>
          <w:sz w:val="18"/>
        </w:rPr>
        <w:t>valued stockholder feedback</w:t>
      </w:r>
      <w:r>
        <w:rPr>
          <w:rFonts w:ascii="Arial;Helvetica;sans-serif" w:hAnsi="Arial;Helvetica;sans-serif"/>
          <w:b w:val="false"/>
          <w:i w:val="false"/>
          <w:caps w:val="false"/>
          <w:smallCaps w:val="false"/>
          <w:color w:val="000000"/>
          <w:spacing w:val="-2"/>
          <w:sz w:val="18"/>
        </w:rPr>
        <w:t xml:space="preserve"> and has embarked on a </w:t>
      </w:r>
      <w:r>
        <w:rPr>
          <w:rFonts w:ascii="Arial;Helvetica;sans-serif" w:hAnsi="Arial;Helvetica;sans-serif"/>
          <w:b/>
          <w:i w:val="false"/>
          <w:caps w:val="false"/>
          <w:smallCaps w:val="false"/>
          <w:color w:val="000000"/>
          <w:sz w:val="18"/>
        </w:rPr>
        <w:t>robust stockholder outreach</w:t>
      </w:r>
      <w:r>
        <w:rPr>
          <w:rFonts w:ascii="Arial;Helvetica;sans-serif" w:hAnsi="Arial;Helvetica;sans-serif"/>
          <w:b w:val="false"/>
          <w:i w:val="false"/>
          <w:caps w:val="false"/>
          <w:smallCaps w:val="false"/>
          <w:color w:val="000000"/>
          <w:spacing w:val="-2"/>
          <w:sz w:val="18"/>
        </w:rPr>
        <w:t xml:space="preserve"> program over many years. That feedback has served as a </w:t>
      </w:r>
      <w:r>
        <w:rPr>
          <w:rFonts w:ascii="Arial;Helvetica;sans-serif" w:hAnsi="Arial;Helvetica;sans-serif"/>
          <w:b/>
          <w:i w:val="false"/>
          <w:caps w:val="false"/>
          <w:smallCaps w:val="false"/>
          <w:color w:val="000000"/>
          <w:sz w:val="18"/>
        </w:rPr>
        <w:t>key input</w:t>
      </w:r>
      <w:r>
        <w:rPr>
          <w:rFonts w:ascii="Arial;Helvetica;sans-serif" w:hAnsi="Arial;Helvetica;sans-serif"/>
          <w:b w:val="false"/>
          <w:i w:val="false"/>
          <w:caps w:val="false"/>
          <w:smallCaps w:val="false"/>
          <w:color w:val="000000"/>
          <w:spacing w:val="-2"/>
          <w:sz w:val="18"/>
        </w:rPr>
        <w:t xml:space="preserve"> to Board composition, corporate governance, and executive compensation, as well as environmental and social discussions and decisions at the Board and committee levels. The Board is proud of our track record of responsiveness to stockholder feedback over the years.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162"/>
        <w:gridCol w:w="109"/>
        <w:gridCol w:w="109"/>
        <w:gridCol w:w="109"/>
        <w:gridCol w:w="109"/>
        <w:gridCol w:w="452"/>
        <w:gridCol w:w="109"/>
        <w:gridCol w:w="109"/>
        <w:gridCol w:w="109"/>
        <w:gridCol w:w="109"/>
        <w:gridCol w:w="109"/>
        <w:gridCol w:w="452"/>
        <w:gridCol w:w="109"/>
        <w:gridCol w:w="109"/>
        <w:gridCol w:w="109"/>
        <w:gridCol w:w="109"/>
        <w:gridCol w:w="109"/>
        <w:gridCol w:w="452"/>
        <w:gridCol w:w="109"/>
        <w:gridCol w:w="109"/>
        <w:gridCol w:w="109"/>
        <w:gridCol w:w="109"/>
        <w:gridCol w:w="109"/>
        <w:gridCol w:w="452"/>
        <w:gridCol w:w="109"/>
        <w:gridCol w:w="109"/>
        <w:gridCol w:w="109"/>
        <w:gridCol w:w="109"/>
        <w:gridCol w:w="109"/>
        <w:gridCol w:w="452"/>
        <w:gridCol w:w="109"/>
        <w:gridCol w:w="158"/>
      </w:tblGrid>
      <w:tr>
        <w:trPr/>
        <w:tc>
          <w:tcPr>
            <w:tcW w:w="41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67" w:type="dxa"/>
            <w:gridSpan w:val="28"/>
            <w:tcBorders>
              <w:bottom w:val="single" w:sz="2" w:space="0" w:color="1F2668"/>
            </w:tcBorders>
            <w:tcMar>
              <w:bottom w:w="30" w:type="dxa"/>
            </w:tcMar>
            <w:vAlign w:val="center"/>
          </w:tcPr>
          <w:p>
            <w:pPr>
              <w:pStyle w:val="TableContents"/>
              <w:bidi w:val="0"/>
              <w:spacing w:before="0" w:after="0"/>
              <w:jc w:val="center"/>
              <w:rPr>
                <w:spacing w:val="2"/>
              </w:rPr>
            </w:pPr>
            <w:r>
              <w:rPr>
                <w:spacing w:val="2"/>
              </w:rPr>
              <w:t xml:space="preserve">Stockholder Outreach following Annual Meeting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9" w:type="dxa"/>
            <w:gridSpan w:val="4"/>
            <w:tcBorders>
              <w:bottom w:val="single" w:sz="2" w:space="0" w:color="1F2668"/>
            </w:tcBorders>
            <w:tcMar>
              <w:bottom w:w="3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9" w:type="dxa"/>
            <w:gridSpan w:val="4"/>
            <w:tcBorders>
              <w:bottom w:val="single" w:sz="2" w:space="0" w:color="1F2668"/>
            </w:tcBorders>
            <w:tcMar>
              <w:bottom w:w="30" w:type="dxa"/>
            </w:tcMar>
            <w:vAlign w:val="center"/>
          </w:tcPr>
          <w:p>
            <w:pPr>
              <w:pStyle w:val="TableContents"/>
              <w:bidi w:val="0"/>
              <w:spacing w:before="0" w:after="0"/>
              <w:jc w:val="right"/>
              <w:rPr/>
            </w:pPr>
            <w:r>
              <w:rPr>
                <w:spacing w:val="2"/>
              </w:rPr>
              <w:t>2022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9" w:type="dxa"/>
            <w:gridSpan w:val="4"/>
            <w:tcBorders>
              <w:bottom w:val="single" w:sz="2" w:space="0" w:color="1F2668"/>
            </w:tcBorders>
            <w:tcMar>
              <w:bottom w:w="30" w:type="dxa"/>
            </w:tcMar>
            <w:vAlign w:val="center"/>
          </w:tcPr>
          <w:p>
            <w:pPr>
              <w:pStyle w:val="TableContents"/>
              <w:bidi w:val="0"/>
              <w:spacing w:before="0" w:after="0"/>
              <w:jc w:val="right"/>
              <w:rPr/>
            </w:pPr>
            <w:r>
              <w:rPr>
                <w:spacing w:val="2"/>
              </w:rPr>
              <w:t>2021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9" w:type="dxa"/>
            <w:gridSpan w:val="4"/>
            <w:tcBorders>
              <w:bottom w:val="single" w:sz="2" w:space="0" w:color="1F2668"/>
            </w:tcBorders>
            <w:tcMar>
              <w:bottom w:w="30" w:type="dxa"/>
            </w:tcMar>
            <w:vAlign w:val="center"/>
          </w:tcPr>
          <w:p>
            <w:pPr>
              <w:pStyle w:val="TableContents"/>
              <w:bidi w:val="0"/>
              <w:spacing w:before="0" w:after="0"/>
              <w:jc w:val="right"/>
              <w:rPr/>
            </w:pPr>
            <w:r>
              <w:rPr>
                <w:spacing w:val="2"/>
              </w:rPr>
              <w:t>2020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9" w:type="dxa"/>
            <w:gridSpan w:val="4"/>
            <w:tcBorders>
              <w:bottom w:val="single" w:sz="2" w:space="0" w:color="1F2668"/>
            </w:tcBorders>
            <w:tcMar>
              <w:bottom w:w="30" w:type="dxa"/>
            </w:tcMar>
            <w:vAlign w:val="center"/>
          </w:tcPr>
          <w:p>
            <w:pPr>
              <w:pStyle w:val="TableContents"/>
              <w:bidi w:val="0"/>
              <w:spacing w:before="0" w:after="0"/>
              <w:jc w:val="right"/>
              <w:rPr/>
            </w:pPr>
            <w:r>
              <w:rPr>
                <w:spacing w:val="2"/>
              </w:rPr>
              <w:t>2019</w:t>
            </w:r>
            <w:r>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62" w:type="dxa"/>
            <w:tcBorders>
              <w:bottom w:val="single" w:sz="2" w:space="0" w:color="4B5088"/>
            </w:tcBorders>
            <w:tcMar>
              <w:bottom w:w="30" w:type="dxa"/>
            </w:tcMar>
            <w:vAlign w:val="center"/>
          </w:tcPr>
          <w:p>
            <w:pPr>
              <w:pStyle w:val="TableContents"/>
              <w:bidi w:val="0"/>
              <w:spacing w:before="0" w:after="0"/>
              <w:jc w:val="left"/>
              <w:rPr>
                <w:color w:val="1F2668"/>
              </w:rPr>
            </w:pPr>
            <w:r>
              <w:rPr>
                <w:color w:val="1F2668"/>
                <w:spacing w:val="-2"/>
              </w:rPr>
              <w:t>Offered Engagement to stockholders representing approx.</w:t>
            </w:r>
            <w:r>
              <w:rPr>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75%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62" w:type="dxa"/>
            <w:tcBorders>
              <w:bottom w:val="single" w:sz="2" w:space="0" w:color="4B5088"/>
            </w:tcBorders>
            <w:tcMar>
              <w:bottom w:w="30" w:type="dxa"/>
            </w:tcMar>
            <w:vAlign w:val="center"/>
          </w:tcPr>
          <w:p>
            <w:pPr>
              <w:pStyle w:val="TableContents"/>
              <w:bidi w:val="0"/>
              <w:spacing w:before="0" w:after="0"/>
              <w:jc w:val="left"/>
              <w:rPr>
                <w:color w:val="1F2668"/>
                <w:spacing w:val="-2"/>
              </w:rPr>
            </w:pPr>
            <w:r>
              <w:rPr>
                <w:color w:val="1F2668"/>
                <w:spacing w:val="-2"/>
              </w:rPr>
              <w:t xml:space="preserve">Had one-on-one discussions with stockholders representing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69%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41%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0" w:type="dxa"/>
            </w:tcMar>
            <w:vAlign w:val="center"/>
          </w:tcPr>
          <w:p>
            <w:pPr>
              <w:pStyle w:val="TableContents"/>
              <w:bidi w:val="0"/>
              <w:spacing w:before="0" w:after="283"/>
              <w:jc w:val="right"/>
              <w:rPr/>
            </w:pPr>
            <w:r>
              <w:rPr/>
              <w:t>​</w:t>
            </w:r>
          </w:p>
        </w:tc>
        <w:tc>
          <w:tcPr>
            <w:tcW w:w="452" w:type="dxa"/>
            <w:tcBorders>
              <w:bottom w:val="single" w:sz="2" w:space="0" w:color="4B5088"/>
            </w:tcBorders>
            <w:tcMar>
              <w:bottom w:w="30" w:type="dxa"/>
            </w:tcMar>
            <w:vAlign w:val="center"/>
          </w:tcPr>
          <w:p>
            <w:pPr>
              <w:pStyle w:val="TableContents"/>
              <w:bidi w:val="0"/>
              <w:spacing w:before="0" w:after="283"/>
              <w:jc w:val="right"/>
              <w:rPr/>
            </w:pPr>
            <w:r>
              <w:rPr/>
              <w:t>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62" w:type="dxa"/>
            <w:tcBorders>
              <w:bottom w:val="single" w:sz="2" w:space="0" w:color="1F2668"/>
            </w:tcBorders>
            <w:tcMar>
              <w:bottom w:w="30" w:type="dxa"/>
            </w:tcMar>
            <w:vAlign w:val="center"/>
          </w:tcPr>
          <w:p>
            <w:pPr>
              <w:pStyle w:val="TableContents"/>
              <w:bidi w:val="0"/>
              <w:spacing w:before="0" w:after="0"/>
              <w:jc w:val="left"/>
              <w:rPr>
                <w:color w:val="1F2668"/>
                <w:spacing w:val="-2"/>
              </w:rPr>
            </w:pPr>
            <w:r>
              <w:rPr>
                <w:color w:val="1F2668"/>
                <w:spacing w:val="-2"/>
              </w:rPr>
              <w:t xml:space="preserve">Directors participated in calls with stockholders representing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452" w:type="dxa"/>
            <w:tcBorders>
              <w:bottom w:val="single" w:sz="2" w:space="0" w:color="1F2668"/>
            </w:tcBorders>
            <w:tcMar>
              <w:bottom w:w="30" w:type="dxa"/>
            </w:tcMar>
            <w:vAlign w:val="center"/>
          </w:tcPr>
          <w:p>
            <w:pPr>
              <w:pStyle w:val="TableContents"/>
              <w:bidi w:val="0"/>
              <w:spacing w:before="0" w:after="283"/>
              <w:jc w:val="right"/>
              <w:rPr/>
            </w:pPr>
            <w:r>
              <w:rPr/>
              <w:t>38%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452" w:type="dxa"/>
            <w:tcBorders>
              <w:bottom w:val="single" w:sz="2" w:space="0" w:color="1F2668"/>
            </w:tcBorders>
            <w:tcMar>
              <w:bottom w:w="30" w:type="dxa"/>
            </w:tcMar>
            <w:vAlign w:val="center"/>
          </w:tcPr>
          <w:p>
            <w:pPr>
              <w:pStyle w:val="TableContents"/>
              <w:bidi w:val="0"/>
              <w:spacing w:before="0" w:after="283"/>
              <w:jc w:val="right"/>
              <w:rPr/>
            </w:pPr>
            <w:r>
              <w:rPr/>
              <w:t>29%</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452" w:type="dxa"/>
            <w:tcBorders>
              <w:bottom w:val="single" w:sz="2" w:space="0" w:color="1F2668"/>
            </w:tcBorders>
            <w:tcMar>
              <w:bottom w:w="30" w:type="dxa"/>
            </w:tcMar>
            <w:vAlign w:val="center"/>
          </w:tcPr>
          <w:p>
            <w:pPr>
              <w:pStyle w:val="TableContents"/>
              <w:bidi w:val="0"/>
              <w:spacing w:before="0" w:after="283"/>
              <w:jc w:val="right"/>
              <w:rPr/>
            </w:pPr>
            <w:r>
              <w:rPr/>
              <w:t>36%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452" w:type="dxa"/>
            <w:tcBorders>
              <w:bottom w:val="single" w:sz="2" w:space="0" w:color="1F2668"/>
            </w:tcBorders>
            <w:tcMar>
              <w:bottom w:w="30" w:type="dxa"/>
            </w:tcMar>
            <w:vAlign w:val="center"/>
          </w:tcPr>
          <w:p>
            <w:pPr>
              <w:pStyle w:val="TableContents"/>
              <w:bidi w:val="0"/>
              <w:spacing w:before="0" w:after="283"/>
              <w:jc w:val="right"/>
              <w:rPr/>
            </w:pPr>
            <w:r>
              <w:rPr/>
              <w:t>41%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0" w:type="dxa"/>
            </w:tcMar>
            <w:vAlign w:val="center"/>
          </w:tcPr>
          <w:p>
            <w:pPr>
              <w:pStyle w:val="TableContents"/>
              <w:bidi w:val="0"/>
              <w:spacing w:before="0" w:after="283"/>
              <w:jc w:val="right"/>
              <w:rPr/>
            </w:pPr>
            <w:r>
              <w:rPr/>
              <w:t>​</w:t>
            </w:r>
          </w:p>
        </w:tc>
        <w:tc>
          <w:tcPr>
            <w:tcW w:w="452" w:type="dxa"/>
            <w:tcBorders>
              <w:bottom w:val="single" w:sz="2" w:space="0" w:color="1F2668"/>
            </w:tcBorders>
            <w:tcMar>
              <w:bottom w:w="30" w:type="dxa"/>
            </w:tcMar>
            <w:vAlign w:val="center"/>
          </w:tcPr>
          <w:p>
            <w:pPr>
              <w:pStyle w:val="TableContents"/>
              <w:bidi w:val="0"/>
              <w:spacing w:before="0" w:after="283"/>
              <w:jc w:val="right"/>
              <w:rPr/>
            </w:pPr>
            <w:r>
              <w:rPr/>
              <w:t>11%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line with stockholder feedback received, the Compensation Committee has significantly redesigned SL Green’s executive and director compensation programs to strengthen the alignment of executive pay with Company performance:</w:t>
      </w:r>
      <w:r>
        <w:rPr>
          <w:rFonts w:ascii="Arial;Helvetica;sans-serif" w:hAnsi="Arial;Helvetica;sans-serif"/>
          <w:b w:val="false"/>
          <w:i w:val="false"/>
          <w:caps w:val="false"/>
          <w:smallCaps w:val="false"/>
          <w:color w:val="000000"/>
          <w:spacing w:val="4"/>
          <w:sz w:val="18"/>
        </w:rPr>
        <w:t xml:space="preserve"> </w:t>
      </w:r>
    </w:p>
    <w:tbl>
      <w:tblPr>
        <w:tblW w:w="12063" w:type="dxa"/>
        <w:jc w:val="left"/>
        <w:tblInd w:w="900" w:type="dxa"/>
        <w:tblLayout w:type="fixed"/>
        <w:tblCellMar>
          <w:top w:w="0" w:type="dxa"/>
          <w:left w:w="0" w:type="dxa"/>
          <w:bottom w:w="28" w:type="dxa"/>
          <w:right w:w="0" w:type="dxa"/>
        </w:tblCellMar>
      </w:tblPr>
      <w:tblGrid>
        <w:gridCol w:w="124"/>
        <w:gridCol w:w="3422"/>
        <w:gridCol w:w="109"/>
        <w:gridCol w:w="109"/>
        <w:gridCol w:w="1389"/>
        <w:gridCol w:w="109"/>
        <w:gridCol w:w="109"/>
        <w:gridCol w:w="2011"/>
        <w:gridCol w:w="109"/>
        <w:gridCol w:w="109"/>
        <w:gridCol w:w="2020"/>
        <w:gridCol w:w="109"/>
        <w:gridCol w:w="109"/>
        <w:gridCol w:w="2071"/>
        <w:gridCol w:w="154"/>
      </w:tblGrid>
      <w:tr>
        <w:trPr/>
        <w:tc>
          <w:tcPr>
            <w:tcW w:w="124" w:type="dxa"/>
            <w:tcBorders>
              <w:bottom w:val="single" w:sz="8" w:space="0" w:color="1F2668"/>
            </w:tcBorders>
            <w:vAlign w:val="center"/>
          </w:tcPr>
          <w:p>
            <w:pPr>
              <w:pStyle w:val="TableContents"/>
              <w:bidi w:val="0"/>
              <w:spacing w:before="0" w:after="283"/>
              <w:jc w:val="left"/>
              <w:rPr/>
            </w:pPr>
            <w:r>
              <w:rPr/>
              <w:t>​</w:t>
            </w:r>
          </w:p>
        </w:tc>
        <w:tc>
          <w:tcPr>
            <w:tcW w:w="3422" w:type="dxa"/>
            <w:tcBorders>
              <w:bottom w:val="single" w:sz="8" w:space="0" w:color="1F2668"/>
            </w:tcBorders>
            <w:tcMar>
              <w:bottom w:w="43"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89"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Stockholder Feedback </w:t>
              <w:br/>
              <w:t xml:space="preserve">(“What We Heard”)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011"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Actions </w:t>
              <w:br/>
              <w:t xml:space="preserve">(“What We Did”)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020"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Impact of Actions </w:t>
              <w:br/>
              <w:t xml:space="preserve">(“Why It’s Important”)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shd w:fill="E2F7CB" w:val="clear"/>
            <w:vAlign w:val="center"/>
          </w:tcPr>
          <w:p>
            <w:pPr>
              <w:pStyle w:val="TableContents"/>
              <w:bidi w:val="0"/>
              <w:spacing w:before="0" w:after="283"/>
              <w:jc w:val="left"/>
              <w:rPr/>
            </w:pPr>
            <w:r>
              <w:rPr/>
              <w:t>​</w:t>
            </w:r>
          </w:p>
        </w:tc>
        <w:tc>
          <w:tcPr>
            <w:tcW w:w="2071" w:type="dxa"/>
            <w:tcBorders>
              <w:bottom w:val="single" w:sz="8" w:space="0" w:color="1F2668"/>
            </w:tcBorders>
            <w:shd w:fill="E2F7CB" w:val="clear"/>
            <w:tcMar>
              <w:bottom w:w="43" w:type="dxa"/>
            </w:tcMar>
            <w:vAlign w:val="center"/>
          </w:tcPr>
          <w:p>
            <w:pPr>
              <w:pStyle w:val="TableContents"/>
              <w:bidi w:val="0"/>
              <w:spacing w:before="0" w:after="0"/>
              <w:jc w:val="left"/>
              <w:rPr>
                <w:b/>
              </w:rPr>
            </w:pPr>
            <w:r>
              <w:rPr>
                <w:b/>
              </w:rPr>
              <w:t>2023 / 2024 Features</w:t>
            </w:r>
          </w:p>
        </w:tc>
        <w:tc>
          <w:tcPr>
            <w:tcW w:w="154" w:type="dxa"/>
            <w:tcBorders>
              <w:bottom w:val="single" w:sz="8" w:space="0" w:color="1F2668"/>
            </w:tcBorders>
            <w:shd w:fill="E2F7CB"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22"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95350" cy="393700"/>
                      <wp:effectExtent l="0" t="0" r="0" b="0"/>
                      <wp:wrapNone/>
                      <wp:docPr id="14" name="Frame12"/>
                      <a:graphic xmlns:a="http://schemas.openxmlformats.org/drawingml/2006/main">
                        <a:graphicData uri="http://schemas.microsoft.com/office/word/2010/wordprocessingShape">
                          <wps:wsp>
                            <wps:cNvSpPr txBox="1"/>
                            <wps:spPr>
                              <a:xfrm>
                                <a:off x="0" y="0"/>
                                <a:ext cx="895350" cy="393700"/>
                              </a:xfrm>
                              <a:prstGeom prst="rect"/>
                              <a:solidFill>
                                <a:srgbClr val="FFFFFF"/>
                              </a:solidFill>
                            </wps:spPr>
                            <wps:txbx>
                              <w:txbxContent>
                                <w:p>
                                  <w:pPr>
                                    <w:pStyle w:val="TextBody"/>
                                    <w:bidi w:val="0"/>
                                    <w:spacing w:before="0" w:after="283"/>
                                    <w:jc w:val="left"/>
                                    <w:rPr>
                                      <w:color w:val="1F2668"/>
                                    </w:rPr>
                                  </w:pPr>
                                  <w:r>
                                    <w:rPr>
                                      <w:color w:val="1F2668"/>
                                      <w:spacing w:val="2"/>
                                    </w:rPr>
                                    <w:t>Fixed Pay</w:t>
                                  </w:r>
                                  <w:r>
                                    <w:rPr>
                                      <w:color w:val="1F2668"/>
                                    </w:rPr>
                                    <w:t xml:space="preserve"> </w:t>
                                  </w:r>
                                </w:p>
                              </w:txbxContent>
                            </wps:txbx>
                            <wps:bodyPr anchor="t" lIns="0" tIns="0" rIns="0" bIns="0">
                              <a:noAutofit/>
                            </wps:bodyPr>
                          </wps:wsp>
                        </a:graphicData>
                      </a:graphic>
                    </wp:anchor>
                  </w:drawing>
                </mc:Choice>
                <mc:Fallback>
                  <w:pict>
                    <v:rect style="position:absolute;rotation:-0;width:70.5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Fixed Pay</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7" w:type="dxa"/>
            </w:tcMar>
            <w:vAlign w:val="center"/>
          </w:tcPr>
          <w:p>
            <w:pPr>
              <w:pStyle w:val="TableContents"/>
              <w:bidi w:val="0"/>
              <w:spacing w:before="0" w:after="283"/>
              <w:jc w:val="left"/>
              <w:rPr>
                <w:spacing w:val="-2"/>
              </w:rPr>
            </w:pPr>
            <w:r>
              <w:rPr>
                <w:spacing w:val="-2"/>
              </w:rPr>
              <w:t xml:space="preserve">2018: Base salary and deferred compensation provide overlapping fixed pay elements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11" w:type="dxa"/>
            <w:tcBorders>
              <w:bottom w:val="single" w:sz="6" w:space="0" w:color="1F2668"/>
            </w:tcBorders>
            <w:tcMar>
              <w:bottom w:w="37" w:type="dxa"/>
            </w:tcMar>
            <w:vAlign w:val="center"/>
          </w:tcPr>
          <w:p>
            <w:pPr>
              <w:pStyle w:val="TableContents"/>
              <w:bidi w:val="0"/>
              <w:spacing w:lineRule="atLeast" w:line="204" w:before="0" w:after="0"/>
              <w:ind w:left="240" w:right="0" w:hanging="0"/>
              <w:jc w:val="left"/>
              <w:rPr/>
            </w:pPr>
            <w:r>
              <w:rPr>
                <w:spacing w:val="-2"/>
              </w:rPr>
              <w:t>Retroactively reduced CEO base salary</w:t>
            </w:r>
            <w:r>
              <w:rPr/>
              <w:t xml:space="preserve"> </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152400" cy="525780"/>
                      <wp:effectExtent l="0" t="0" r="0" b="0"/>
                      <wp:wrapSquare wrapText="right"/>
                      <wp:docPr id="15" name="Frame1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spacing w:val="-2"/>
              </w:rPr>
            </w:pPr>
            <w:r>
              <w:rPr>
                <w:spacing w:val="-2"/>
              </w:rPr>
              <w:t xml:space="preserve">Eliminated deferred compensation </w:t>
            </w:r>
            <w:r>
              <mc:AlternateContent>
                <mc:Choice Requires="wps">
                  <w:drawing>
                    <wp:anchor behindDoc="0" distT="31750" distB="0" distL="0" distR="0" simplePos="0" locked="0" layoutInCell="1" allowOverlap="1" relativeHeight="348">
                      <wp:simplePos x="0" y="0"/>
                      <wp:positionH relativeFrom="column">
                        <wp:align>left</wp:align>
                      </wp:positionH>
                      <wp:positionV relativeFrom="line">
                        <wp:align>top</wp:align>
                      </wp:positionV>
                      <wp:extent cx="152400" cy="525780"/>
                      <wp:effectExtent l="0" t="0" r="0" b="0"/>
                      <wp:wrapSquare wrapText="right"/>
                      <wp:docPr id="16" name="Frame1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7" w:type="dxa"/>
            </w:tcMar>
            <w:vAlign w:val="center"/>
          </w:tcPr>
          <w:p>
            <w:pPr>
              <w:pStyle w:val="TableContents"/>
              <w:bidi w:val="0"/>
              <w:spacing w:lineRule="atLeast" w:line="180" w:before="0" w:after="0"/>
              <w:ind w:left="240" w:right="0" w:hanging="0"/>
              <w:jc w:val="left"/>
              <w:rPr/>
            </w:pPr>
            <w:r>
              <w:rPr>
                <w:spacing w:val="-2"/>
              </w:rPr>
              <w:t>Reduces fixed pay</w:t>
            </w:r>
            <w:r>
              <w:rPr/>
              <w:t xml:space="preserve"> </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152400" cy="525780"/>
                      <wp:effectExtent l="0" t="0" r="0" b="0"/>
                      <wp:wrapSquare wrapText="right"/>
                      <wp:docPr id="17" name="Frame1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Reduces threshold, target and maximum formulaic bonus</w:t>
            </w:r>
            <w:r>
              <w:rPr/>
              <w:t xml:space="preserve"> </w:t>
            </w:r>
            <w:r>
              <mc:AlternateContent>
                <mc:Choice Requires="wps">
                  <w:drawing>
                    <wp:anchor behindDoc="0" distT="31750" distB="0" distL="0" distR="0" simplePos="0" locked="0" layoutInCell="1" allowOverlap="1" relativeHeight="350">
                      <wp:simplePos x="0" y="0"/>
                      <wp:positionH relativeFrom="column">
                        <wp:align>left</wp:align>
                      </wp:positionH>
                      <wp:positionV relativeFrom="line">
                        <wp:align>top</wp:align>
                      </wp:positionV>
                      <wp:extent cx="152400" cy="525780"/>
                      <wp:effectExtent l="0" t="0" r="0" b="0"/>
                      <wp:wrapSquare wrapText="right"/>
                      <wp:docPr id="18" name="Frame1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spacing w:val="-2"/>
              </w:rPr>
            </w:pPr>
            <w:r>
              <w:rPr>
                <w:spacing w:val="-2"/>
              </w:rPr>
              <w:t xml:space="preserve">Eliminates multiple fixed pay elements </w:t>
            </w:r>
            <w:r>
              <mc:AlternateContent>
                <mc:Choice Requires="wps">
                  <w:drawing>
                    <wp:anchor behindDoc="0" distT="31750" distB="0" distL="0" distR="0" simplePos="0" locked="0" layoutInCell="1" allowOverlap="1" relativeHeight="351">
                      <wp:simplePos x="0" y="0"/>
                      <wp:positionH relativeFrom="column">
                        <wp:align>left</wp:align>
                      </wp:positionH>
                      <wp:positionV relativeFrom="line">
                        <wp:align>top</wp:align>
                      </wp:positionV>
                      <wp:extent cx="152400" cy="525780"/>
                      <wp:effectExtent l="0" t="0" r="0" b="0"/>
                      <wp:wrapSquare wrapText="right"/>
                      <wp:docPr id="19" name="Frame1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7" w:type="dxa"/>
            </w:tcMar>
            <w:vAlign w:val="center"/>
          </w:tcPr>
          <w:p>
            <w:pPr>
              <w:pStyle w:val="TableContents"/>
              <w:bidi w:val="0"/>
              <w:spacing w:lineRule="atLeast" w:line="204" w:before="0" w:after="0"/>
              <w:ind w:left="240" w:right="0" w:hanging="0"/>
              <w:jc w:val="left"/>
              <w:rPr>
                <w:b/>
              </w:rPr>
            </w:pPr>
            <w:r>
              <w:rPr>
                <w:b/>
              </w:rPr>
              <w:t>CEO base salary unchanged since 2018 and is the only fixed pay element</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152400" cy="525780"/>
                      <wp:effectExtent l="0" t="0" r="0" b="0"/>
                      <wp:wrapSquare wrapText="right"/>
                      <wp:docPr id="20" name="Frame1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22"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75410" cy="393700"/>
                      <wp:effectExtent l="0" t="0" r="0" b="0"/>
                      <wp:wrapNone/>
                      <wp:docPr id="21" name="Frame19"/>
                      <a:graphic xmlns:a="http://schemas.openxmlformats.org/drawingml/2006/main">
                        <a:graphicData uri="http://schemas.microsoft.com/office/word/2010/wordprocessingShape">
                          <wps:wsp>
                            <wps:cNvSpPr txBox="1"/>
                            <wps:spPr>
                              <a:xfrm>
                                <a:off x="0" y="0"/>
                                <a:ext cx="1375410" cy="393700"/>
                              </a:xfrm>
                              <a:prstGeom prst="rect"/>
                              <a:solidFill>
                                <a:srgbClr val="FFFFFF"/>
                              </a:solidFill>
                            </wps:spPr>
                            <wps:txbx>
                              <w:txbxContent>
                                <w:p>
                                  <w:pPr>
                                    <w:pStyle w:val="TextBody"/>
                                    <w:bidi w:val="0"/>
                                    <w:spacing w:before="0" w:after="283"/>
                                    <w:jc w:val="left"/>
                                    <w:rPr>
                                      <w:color w:val="1F2668"/>
                                    </w:rPr>
                                  </w:pPr>
                                  <w:r>
                                    <w:rPr>
                                      <w:color w:val="1F2668"/>
                                      <w:spacing w:val="2"/>
                                    </w:rPr>
                                    <w:t>Annual Incentives</w:t>
                                  </w:r>
                                  <w:r>
                                    <w:rPr>
                                      <w:color w:val="1F2668"/>
                                    </w:rPr>
                                    <w:t xml:space="preserve"> </w:t>
                                  </w:r>
                                </w:p>
                              </w:txbxContent>
                            </wps:txbx>
                            <wps:bodyPr anchor="t" lIns="0" tIns="0" rIns="0" bIns="0">
                              <a:noAutofit/>
                            </wps:bodyPr>
                          </wps:wsp>
                        </a:graphicData>
                      </a:graphic>
                    </wp:anchor>
                  </w:drawing>
                </mc:Choice>
                <mc:Fallback>
                  <w:pict>
                    <v:rect style="position:absolute;rotation:-0;width:108.3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Annual Incentives</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7" w:type="dxa"/>
            </w:tcMar>
            <w:vAlign w:val="center"/>
          </w:tcPr>
          <w:p>
            <w:pPr>
              <w:pStyle w:val="TableContents"/>
              <w:bidi w:val="0"/>
              <w:spacing w:before="0" w:after="0"/>
              <w:jc w:val="left"/>
              <w:rPr/>
            </w:pPr>
            <w:r>
              <w:rPr>
                <w:spacing w:val="-2"/>
              </w:rPr>
              <w:t>2018: Annual incentive should focus on metrics within executives’ control</w:t>
            </w:r>
            <w:r>
              <w:rPr/>
              <w:t xml:space="preserve"> </w:t>
            </w:r>
          </w:p>
          <w:p>
            <w:pPr>
              <w:pStyle w:val="TableContents"/>
              <w:bidi w:val="0"/>
              <w:spacing w:before="50" w:after="283"/>
              <w:jc w:val="left"/>
              <w:rPr/>
            </w:pPr>
            <w:r>
              <w:rPr>
                <w:spacing w:val="-2"/>
              </w:rPr>
              <w:t>2018: Discretionary annual equity bonus process not clear</w:t>
            </w:r>
            <w:r>
              <w:rPr/>
              <w:t xml:space="preserve"> </w:t>
            </w:r>
          </w:p>
          <w:p>
            <w:pPr>
              <w:pStyle w:val="TableContents"/>
              <w:bidi w:val="0"/>
              <w:spacing w:before="50" w:after="283"/>
              <w:jc w:val="left"/>
              <w:rPr>
                <w:spacing w:val="-2"/>
              </w:rPr>
            </w:pPr>
            <w:r>
              <w:rPr>
                <w:spacing w:val="-2"/>
              </w:rPr>
              <w:t xml:space="preserve">2022: Reduce discretion in annual incentives for NEOs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11" w:type="dxa"/>
            <w:tcBorders>
              <w:bottom w:val="single" w:sz="6" w:space="0" w:color="1F2668"/>
            </w:tcBorders>
            <w:tcMar>
              <w:bottom w:w="37" w:type="dxa"/>
            </w:tcMar>
            <w:vAlign w:val="center"/>
          </w:tcPr>
          <w:p>
            <w:pPr>
              <w:pStyle w:val="TableContents"/>
              <w:bidi w:val="0"/>
              <w:spacing w:lineRule="atLeast" w:line="204" w:before="0" w:after="0"/>
              <w:ind w:left="240" w:right="0" w:hanging="0"/>
              <w:jc w:val="left"/>
              <w:rPr/>
            </w:pPr>
            <w:r>
              <w:rPr>
                <w:spacing w:val="-2"/>
              </w:rPr>
              <w:t>Replaced TSR with operating metrics</w:t>
            </w:r>
            <w:r>
              <w:rPr/>
              <w:t xml:space="preserve">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152400" cy="525780"/>
                      <wp:effectExtent l="0" t="0" r="0" b="0"/>
                      <wp:wrapSquare wrapText="right"/>
                      <wp:docPr id="22" name="Frame2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b/>
              </w:rPr>
            </w:pPr>
            <w:r>
              <w:rPr>
                <w:b/>
              </w:rPr>
              <w:t>In 2023, implemented 60% performance-based annual incentive for CFO</w:t>
            </w:r>
            <w:r>
              <mc:AlternateContent>
                <mc:Choice Requires="wps">
                  <w:drawing>
                    <wp:anchor behindDoc="0" distT="31750" distB="0" distL="0" distR="0" simplePos="0" locked="0" layoutInCell="1" allowOverlap="1" relativeHeight="355">
                      <wp:simplePos x="0" y="0"/>
                      <wp:positionH relativeFrom="column">
                        <wp:align>left</wp:align>
                      </wp:positionH>
                      <wp:positionV relativeFrom="line">
                        <wp:align>top</wp:align>
                      </wp:positionV>
                      <wp:extent cx="152400" cy="525780"/>
                      <wp:effectExtent l="0" t="0" r="0" b="0"/>
                      <wp:wrapSquare wrapText="right"/>
                      <wp:docPr id="23" name="Frame2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7" w:type="dxa"/>
            </w:tcMar>
            <w:vAlign w:val="center"/>
          </w:tcPr>
          <w:p>
            <w:pPr>
              <w:pStyle w:val="TableContents"/>
              <w:bidi w:val="0"/>
              <w:spacing w:lineRule="atLeast" w:line="204" w:before="0" w:after="0"/>
              <w:ind w:left="240" w:right="0" w:hanging="0"/>
              <w:jc w:val="left"/>
              <w:rPr/>
            </w:pPr>
            <w:r>
              <w:rPr>
                <w:spacing w:val="-2"/>
              </w:rPr>
              <w:t>Strengthens link to operational metrics</w:t>
            </w:r>
            <w:r>
              <w:rPr/>
              <w:t xml:space="preserve"> </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152400" cy="525780"/>
                      <wp:effectExtent l="0" t="0" r="0" b="0"/>
                      <wp:wrapSquare wrapText="right"/>
                      <wp:docPr id="24" name="Frame2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84" w:after="0"/>
              <w:ind w:left="240" w:right="0" w:hanging="0"/>
              <w:jc w:val="left"/>
              <w:rPr/>
            </w:pPr>
            <w:r>
              <w:rPr>
                <w:spacing w:val="-2"/>
              </w:rPr>
              <w:t>Reduces discretion</w:t>
            </w:r>
            <w:r>
              <w:rPr/>
              <w:t xml:space="preserve"> </w:t>
            </w:r>
            <w:r>
              <mc:AlternateContent>
                <mc:Choice Requires="wps">
                  <w:drawing>
                    <wp:anchor behindDoc="0" distT="116840" distB="0" distL="0" distR="0" simplePos="0" locked="0" layoutInCell="1" allowOverlap="1" relativeHeight="357">
                      <wp:simplePos x="0" y="0"/>
                      <wp:positionH relativeFrom="column">
                        <wp:align>left</wp:align>
                      </wp:positionH>
                      <wp:positionV relativeFrom="line">
                        <wp:align>top</wp:align>
                      </wp:positionV>
                      <wp:extent cx="152400" cy="525780"/>
                      <wp:effectExtent l="0" t="0" r="0" b="0"/>
                      <wp:wrapSquare wrapText="right"/>
                      <wp:docPr id="25" name="Frame2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84" w:after="0"/>
              <w:ind w:left="240" w:right="0" w:hanging="0"/>
              <w:jc w:val="left"/>
              <w:rPr>
                <w:spacing w:val="-2"/>
              </w:rPr>
            </w:pPr>
            <w:r>
              <w:rPr>
                <w:spacing w:val="-2"/>
              </w:rPr>
              <w:t xml:space="preserve">Improves transparency </w:t>
            </w:r>
            <w:r>
              <mc:AlternateContent>
                <mc:Choice Requires="wps">
                  <w:drawing>
                    <wp:anchor behindDoc="0" distT="116840" distB="0" distL="0" distR="0" simplePos="0" locked="0" layoutInCell="1" allowOverlap="1" relativeHeight="358">
                      <wp:simplePos x="0" y="0"/>
                      <wp:positionH relativeFrom="column">
                        <wp:align>left</wp:align>
                      </wp:positionH>
                      <wp:positionV relativeFrom="line">
                        <wp:align>top</wp:align>
                      </wp:positionV>
                      <wp:extent cx="152400" cy="525780"/>
                      <wp:effectExtent l="0" t="0" r="0" b="0"/>
                      <wp:wrapSquare wrapText="right"/>
                      <wp:docPr id="26" name="Frame2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7" w:type="dxa"/>
            </w:tcMar>
            <w:vAlign w:val="center"/>
          </w:tcPr>
          <w:p>
            <w:pPr>
              <w:pStyle w:val="TableContents"/>
              <w:bidi w:val="0"/>
              <w:spacing w:lineRule="atLeast" w:line="204" w:before="0" w:after="0"/>
              <w:ind w:left="240" w:right="0" w:hanging="0"/>
              <w:jc w:val="left"/>
              <w:rPr>
                <w:b/>
              </w:rPr>
            </w:pPr>
            <w:r>
              <w:rPr>
                <w:b/>
              </w:rPr>
              <w:t>100% of CEO annual incentive has formulaic outcome; 60% of CFO annual incentive has formulaic outcome</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152400" cy="525780"/>
                      <wp:effectExtent l="0" t="0" r="0" b="0"/>
                      <wp:wrapSquare wrapText="right"/>
                      <wp:docPr id="27" name="Frame2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b/>
              </w:rPr>
            </w:pPr>
            <w:r>
              <w:rPr>
                <w:b/>
              </w:rPr>
              <w:t>Up to 100% of annual incentive may be in equity that remains subject to a three-year no-sell restriction</w:t>
            </w:r>
            <w:r>
              <mc:AlternateContent>
                <mc:Choice Requires="wps">
                  <w:drawing>
                    <wp:anchor behindDoc="0" distT="31750" distB="0" distL="0" distR="0" simplePos="0" locked="0" layoutInCell="1" allowOverlap="1" relativeHeight="360">
                      <wp:simplePos x="0" y="0"/>
                      <wp:positionH relativeFrom="column">
                        <wp:align>left</wp:align>
                      </wp:positionH>
                      <wp:positionV relativeFrom="line">
                        <wp:align>top</wp:align>
                      </wp:positionV>
                      <wp:extent cx="152400" cy="525780"/>
                      <wp:effectExtent l="0" t="0" r="0" b="0"/>
                      <wp:wrapSquare wrapText="right"/>
                      <wp:docPr id="28" name="Frame2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22"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18360" cy="393700"/>
                      <wp:effectExtent l="0" t="0" r="0" b="0"/>
                      <wp:wrapNone/>
                      <wp:docPr id="29" name="Frame27"/>
                      <a:graphic xmlns:a="http://schemas.openxmlformats.org/drawingml/2006/main">
                        <a:graphicData uri="http://schemas.microsoft.com/office/word/2010/wordprocessingShape">
                          <wps:wsp>
                            <wps:cNvSpPr txBox="1"/>
                            <wps:spPr>
                              <a:xfrm>
                                <a:off x="0" y="0"/>
                                <a:ext cx="2118360" cy="393700"/>
                              </a:xfrm>
                              <a:prstGeom prst="rect"/>
                              <a:solidFill>
                                <a:srgbClr val="FFFFFF"/>
                              </a:solidFill>
                            </wps:spPr>
                            <wps:txbx>
                              <w:txbxContent>
                                <w:p>
                                  <w:pPr>
                                    <w:pStyle w:val="TextBody"/>
                                    <w:bidi w:val="0"/>
                                    <w:spacing w:before="0" w:after="283"/>
                                    <w:jc w:val="left"/>
                                    <w:rPr>
                                      <w:color w:val="1F2668"/>
                                    </w:rPr>
                                  </w:pPr>
                                  <w:r>
                                    <w:rPr>
                                      <w:color w:val="1F2668"/>
                                      <w:spacing w:val="2"/>
                                    </w:rPr>
                                    <w:t>Long-Term Incentives</w:t>
                                  </w:r>
                                  <w:r>
                                    <w:rPr>
                                      <w:color w:val="1F2668"/>
                                    </w:rPr>
                                    <w:t xml:space="preserve"> </w:t>
                                  </w:r>
                                </w:p>
                              </w:txbxContent>
                            </wps:txbx>
                            <wps:bodyPr anchor="t" lIns="0" tIns="0" rIns="0" bIns="0">
                              <a:noAutofit/>
                            </wps:bodyPr>
                          </wps:wsp>
                        </a:graphicData>
                      </a:graphic>
                    </wp:anchor>
                  </w:drawing>
                </mc:Choice>
                <mc:Fallback>
                  <w:pict>
                    <v:rect style="position:absolute;rotation:-0;width:166.8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Long-Term Incentives</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7" w:type="dxa"/>
            </w:tcMar>
            <w:vAlign w:val="center"/>
          </w:tcPr>
          <w:p>
            <w:pPr>
              <w:pStyle w:val="TableContents"/>
              <w:bidi w:val="0"/>
              <w:spacing w:before="0" w:after="0"/>
              <w:jc w:val="left"/>
              <w:rPr/>
            </w:pPr>
            <w:r>
              <w:rPr>
                <w:spacing w:val="-2"/>
              </w:rPr>
              <w:t>2018: Retesting feature allows for multiple vesting opportunities</w:t>
            </w:r>
            <w:r>
              <w:rPr/>
              <w:t xml:space="preserve"> </w:t>
            </w:r>
          </w:p>
          <w:p>
            <w:pPr>
              <w:pStyle w:val="TableContents"/>
              <w:bidi w:val="0"/>
              <w:spacing w:before="50" w:after="283"/>
              <w:jc w:val="left"/>
              <w:rPr/>
            </w:pPr>
            <w:r>
              <w:rPr>
                <w:spacing w:val="-2"/>
              </w:rPr>
              <w:t>2018: Contracts guarantee equity grants on multi-year basis</w:t>
            </w:r>
            <w:r>
              <w:rPr/>
              <w:t xml:space="preserve"> </w:t>
            </w:r>
          </w:p>
          <w:p>
            <w:pPr>
              <w:pStyle w:val="TableContents"/>
              <w:bidi w:val="0"/>
              <w:spacing w:before="50" w:after="283"/>
              <w:jc w:val="left"/>
              <w:rPr/>
            </w:pPr>
            <w:r>
              <w:rPr>
                <w:spacing w:val="-2"/>
              </w:rPr>
              <w:t>2018: Performance period should be longer than one year</w:t>
            </w:r>
            <w:r>
              <w:rPr/>
              <w:t xml:space="preserve"> </w:t>
            </w:r>
          </w:p>
          <w:p>
            <w:pPr>
              <w:pStyle w:val="TableContents"/>
              <w:bidi w:val="0"/>
              <w:spacing w:before="50" w:after="283"/>
              <w:jc w:val="left"/>
              <w:rPr>
                <w:spacing w:val="-2"/>
              </w:rPr>
            </w:pPr>
            <w:r>
              <w:rPr>
                <w:spacing w:val="-2"/>
              </w:rPr>
              <w:t xml:space="preserve">2022: Ensure long-term incentives payout in line with stockholder value creation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11" w:type="dxa"/>
            <w:tcBorders>
              <w:bottom w:val="single" w:sz="6" w:space="0" w:color="1F2668"/>
            </w:tcBorders>
            <w:tcMar>
              <w:bottom w:w="37" w:type="dxa"/>
            </w:tcMar>
            <w:vAlign w:val="center"/>
          </w:tcPr>
          <w:p>
            <w:pPr>
              <w:pStyle w:val="TableContents"/>
              <w:bidi w:val="0"/>
              <w:spacing w:lineRule="atLeast" w:line="204" w:before="0" w:after="0"/>
              <w:ind w:left="240" w:right="0" w:hanging="0"/>
              <w:jc w:val="left"/>
              <w:rPr/>
            </w:pPr>
            <w:r>
              <w:rPr>
                <w:spacing w:val="-2"/>
              </w:rPr>
              <w:t>Eliminated retesting from all long-term incentives</w:t>
            </w:r>
            <w:r>
              <w:rPr/>
              <w:t xml:space="preserve">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152400" cy="525780"/>
                      <wp:effectExtent l="0" t="0" r="0" b="0"/>
                      <wp:wrapSquare wrapText="right"/>
                      <wp:docPr id="30" name="Frame2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Eliminated guaranteed equity grants</w:t>
            </w:r>
            <w:r>
              <w:rPr/>
              <w:t xml:space="preserve"> </w:t>
            </w:r>
            <w:r>
              <mc:AlternateContent>
                <mc:Choice Requires="wps">
                  <w:drawing>
                    <wp:anchor behindDoc="0" distT="31750" distB="0" distL="0" distR="0" simplePos="0" locked="0" layoutInCell="1" allowOverlap="1" relativeHeight="363">
                      <wp:simplePos x="0" y="0"/>
                      <wp:positionH relativeFrom="column">
                        <wp:align>left</wp:align>
                      </wp:positionH>
                      <wp:positionV relativeFrom="line">
                        <wp:align>top</wp:align>
                      </wp:positionV>
                      <wp:extent cx="152400" cy="525780"/>
                      <wp:effectExtent l="0" t="0" r="0" b="0"/>
                      <wp:wrapSquare wrapText="right"/>
                      <wp:docPr id="31" name="Frame2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LTIP: annual operating goals with 3-year absolute TSR modifier (50%), and 3-year relative TSR (50%)</w:t>
            </w:r>
            <w:r>
              <w:rPr/>
              <w:t xml:space="preserve"> </w:t>
            </w:r>
            <w:r>
              <mc:AlternateContent>
                <mc:Choice Requires="wps">
                  <w:drawing>
                    <wp:anchor behindDoc="0" distT="31750" distB="0" distL="0" distR="0" simplePos="0" locked="0" layoutInCell="1" allowOverlap="1" relativeHeight="364">
                      <wp:simplePos x="0" y="0"/>
                      <wp:positionH relativeFrom="column">
                        <wp:align>left</wp:align>
                      </wp:positionH>
                      <wp:positionV relativeFrom="line">
                        <wp:align>top</wp:align>
                      </wp:positionV>
                      <wp:extent cx="152400" cy="525780"/>
                      <wp:effectExtent l="0" t="0" r="0" b="0"/>
                      <wp:wrapSquare wrapText="right"/>
                      <wp:docPr id="32" name="Frame3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b/>
              </w:rPr>
            </w:pPr>
            <w:r>
              <w:rPr>
                <w:b/>
              </w:rPr>
              <w:t>In 2023, implemented a vesting cap for relative TSR-based equity</w:t>
            </w:r>
            <w:r>
              <mc:AlternateContent>
                <mc:Choice Requires="wps">
                  <w:drawing>
                    <wp:anchor behindDoc="0" distT="31750" distB="0" distL="0" distR="0" simplePos="0" locked="0" layoutInCell="1" allowOverlap="1" relativeHeight="365">
                      <wp:simplePos x="0" y="0"/>
                      <wp:positionH relativeFrom="column">
                        <wp:align>left</wp:align>
                      </wp:positionH>
                      <wp:positionV relativeFrom="line">
                        <wp:align>top</wp:align>
                      </wp:positionV>
                      <wp:extent cx="152400" cy="525780"/>
                      <wp:effectExtent l="0" t="0" r="0" b="0"/>
                      <wp:wrapSquare wrapText="right"/>
                      <wp:docPr id="33" name="Frame3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7" w:type="dxa"/>
            </w:tcMar>
            <w:vAlign w:val="center"/>
          </w:tcPr>
          <w:p>
            <w:pPr>
              <w:pStyle w:val="TableContents"/>
              <w:bidi w:val="0"/>
              <w:spacing w:lineRule="atLeast" w:line="204" w:before="0" w:after="0"/>
              <w:ind w:left="240" w:right="0" w:hanging="0"/>
              <w:jc w:val="left"/>
              <w:rPr/>
            </w:pPr>
            <w:r>
              <w:rPr>
                <w:spacing w:val="-2"/>
              </w:rPr>
              <w:t>Strengthens rigor of performance-based equity</w:t>
            </w:r>
            <w:r>
              <w:rPr/>
              <w:t xml:space="preserve">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152400" cy="525780"/>
                      <wp:effectExtent l="0" t="0" r="0" b="0"/>
                      <wp:wrapSquare wrapText="right"/>
                      <wp:docPr id="34" name="Frame3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Eliminates contractual guarantees</w:t>
            </w:r>
            <w:r>
              <w:rPr/>
              <w:t xml:space="preserve"> </w:t>
            </w:r>
            <w:r>
              <mc:AlternateContent>
                <mc:Choice Requires="wps">
                  <w:drawing>
                    <wp:anchor behindDoc="0" distT="31750" distB="0" distL="0" distR="0" simplePos="0" locked="0" layoutInCell="1" allowOverlap="1" relativeHeight="367">
                      <wp:simplePos x="0" y="0"/>
                      <wp:positionH relativeFrom="column">
                        <wp:align>left</wp:align>
                      </wp:positionH>
                      <wp:positionV relativeFrom="line">
                        <wp:align>top</wp:align>
                      </wp:positionV>
                      <wp:extent cx="152400" cy="525780"/>
                      <wp:effectExtent l="0" t="0" r="0" b="0"/>
                      <wp:wrapSquare wrapText="right"/>
                      <wp:docPr id="35" name="Frame3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Strengthens pay-for-performance link</w:t>
            </w:r>
            <w:r>
              <w:rPr/>
              <w:t xml:space="preserve"> </w:t>
            </w:r>
            <w:r>
              <mc:AlternateContent>
                <mc:Choice Requires="wps">
                  <w:drawing>
                    <wp:anchor behindDoc="0" distT="31750" distB="0" distL="0" distR="0" simplePos="0" locked="0" layoutInCell="1" allowOverlap="1" relativeHeight="368">
                      <wp:simplePos x="0" y="0"/>
                      <wp:positionH relativeFrom="column">
                        <wp:align>left</wp:align>
                      </wp:positionH>
                      <wp:positionV relativeFrom="line">
                        <wp:align>top</wp:align>
                      </wp:positionV>
                      <wp:extent cx="152400" cy="525780"/>
                      <wp:effectExtent l="0" t="0" r="0" b="0"/>
                      <wp:wrapSquare wrapText="right"/>
                      <wp:docPr id="36" name="Frame3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pPr>
            <w:r>
              <w:rPr>
                <w:spacing w:val="-2"/>
              </w:rPr>
              <w:t>Improves long-term alignment of executives’ interests</w:t>
            </w:r>
            <w:r>
              <w:rPr/>
              <w:t xml:space="preserve"> </w:t>
            </w:r>
            <w:r>
              <mc:AlternateContent>
                <mc:Choice Requires="wps">
                  <w:drawing>
                    <wp:anchor behindDoc="0" distT="31750" distB="0" distL="0" distR="0" simplePos="0" locked="0" layoutInCell="1" allowOverlap="1" relativeHeight="369">
                      <wp:simplePos x="0" y="0"/>
                      <wp:positionH relativeFrom="column">
                        <wp:align>left</wp:align>
                      </wp:positionH>
                      <wp:positionV relativeFrom="line">
                        <wp:align>top</wp:align>
                      </wp:positionV>
                      <wp:extent cx="152400" cy="525780"/>
                      <wp:effectExtent l="0" t="0" r="0" b="0"/>
                      <wp:wrapSquare wrapText="right"/>
                      <wp:docPr id="37" name="Frame3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4" w:before="50" w:after="0"/>
              <w:ind w:left="240" w:right="0" w:hanging="0"/>
              <w:jc w:val="left"/>
              <w:rPr>
                <w:spacing w:val="-2"/>
              </w:rPr>
            </w:pPr>
            <w:r>
              <w:rPr>
                <w:spacing w:val="-2"/>
              </w:rPr>
              <w:t xml:space="preserve">Limits payout at target level when 3-year absolute TSR is negative even if relative TSR outperforms peers </w:t>
            </w:r>
            <w:r>
              <mc:AlternateContent>
                <mc:Choice Requires="wps">
                  <w:drawing>
                    <wp:anchor behindDoc="0" distT="31750" distB="0" distL="0" distR="0" simplePos="0" locked="0" layoutInCell="1" allowOverlap="1" relativeHeight="370">
                      <wp:simplePos x="0" y="0"/>
                      <wp:positionH relativeFrom="column">
                        <wp:align>left</wp:align>
                      </wp:positionH>
                      <wp:positionV relativeFrom="line">
                        <wp:align>top</wp:align>
                      </wp:positionV>
                      <wp:extent cx="152400" cy="525780"/>
                      <wp:effectExtent l="0" t="0" r="0" b="0"/>
                      <wp:wrapSquare wrapText="right"/>
                      <wp:docPr id="38" name="Frame3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7" w:type="dxa"/>
            </w:tcMar>
            <w:vAlign w:val="center"/>
          </w:tcPr>
          <w:p>
            <w:pPr>
              <w:pStyle w:val="TableContents"/>
              <w:bidi w:val="0"/>
              <w:spacing w:lineRule="atLeast" w:line="204" w:before="0" w:after="0"/>
              <w:ind w:left="240" w:right="0" w:hanging="0"/>
              <w:jc w:val="left"/>
              <w:rPr>
                <w:b/>
              </w:rPr>
            </w:pPr>
            <w:r>
              <w:rPr>
                <w:b/>
              </w:rPr>
              <w:t>Greater than 60% of CEO’s target equity incentives are in the form of performance-based equity incentives</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152400" cy="525780"/>
                      <wp:effectExtent l="0" t="0" r="0" b="0"/>
                      <wp:wrapSquare wrapText="right"/>
                      <wp:docPr id="39" name="Frame3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vMerge w:val="restart"/>
            <w:tcBorders>
              <w:bottom w:val="single" w:sz="12" w:space="0" w:color="1F2668"/>
            </w:tcBorders>
            <w:vAlign w:val="center"/>
          </w:tcPr>
          <w:p>
            <w:pPr>
              <w:pStyle w:val="TableContents"/>
              <w:bidi w:val="0"/>
              <w:spacing w:before="0" w:after="283"/>
              <w:jc w:val="left"/>
              <w:rPr/>
            </w:pPr>
            <w:r>
              <w:rPr/>
              <w:t>​</w:t>
            </w:r>
          </w:p>
        </w:tc>
        <w:tc>
          <w:tcPr>
            <w:tcW w:w="3422" w:type="dxa"/>
            <w:vMerge w:val="restart"/>
            <w:tcBorders>
              <w:bottom w:val="single" w:sz="12"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630680" cy="393700"/>
                      <wp:effectExtent l="0" t="0" r="0" b="0"/>
                      <wp:wrapNone/>
                      <wp:docPr id="40" name="Frame38"/>
                      <a:graphic xmlns:a="http://schemas.openxmlformats.org/drawingml/2006/main">
                        <a:graphicData uri="http://schemas.microsoft.com/office/word/2010/wordprocessingShape">
                          <wps:wsp>
                            <wps:cNvSpPr txBox="1"/>
                            <wps:spPr>
                              <a:xfrm>
                                <a:off x="0" y="0"/>
                                <a:ext cx="1630680" cy="393700"/>
                              </a:xfrm>
                              <a:prstGeom prst="rect"/>
                              <a:solidFill>
                                <a:srgbClr val="FFFFFF"/>
                              </a:solidFill>
                            </wps:spPr>
                            <wps:txbx>
                              <w:txbxContent>
                                <w:p>
                                  <w:pPr>
                                    <w:pStyle w:val="TextBody"/>
                                    <w:bidi w:val="0"/>
                                    <w:spacing w:before="0" w:after="283"/>
                                    <w:jc w:val="left"/>
                                    <w:rPr>
                                      <w:color w:val="1F2668"/>
                                    </w:rPr>
                                  </w:pPr>
                                  <w:r>
                                    <w:rPr>
                                      <w:color w:val="1F2668"/>
                                      <w:spacing w:val="2"/>
                                    </w:rPr>
                                    <w:t>Other</w:t>
                                  </w:r>
                                  <w:r>
                                    <w:rPr>
                                      <w:color w:val="1F2668"/>
                                    </w:rPr>
                                    <w:t xml:space="preserve"> </w:t>
                                  </w:r>
                                </w:p>
                              </w:txbxContent>
                            </wps:txbx>
                            <wps:bodyPr anchor="t" lIns="0" tIns="0" rIns="0" bIns="0">
                              <a:noAutofit/>
                            </wps:bodyPr>
                          </wps:wsp>
                        </a:graphicData>
                      </a:graphic>
                    </wp:anchor>
                  </w:drawing>
                </mc:Choice>
                <mc:Fallback>
                  <w:pict>
                    <v:rect style="position:absolute;rotation:-0;width:128.4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Other</w:t>
                            </w:r>
                            <w:r>
                              <w:rPr>
                                <w:color w:val="1F2668"/>
                              </w:rPr>
                              <w:t xml:space="preserve"> </w:t>
                            </w:r>
                          </w:p>
                        </w:txbxContent>
                      </v:textbox>
                      <w10:wrap type="none"/>
                    </v:rect>
                  </w:pict>
                </mc:Fallback>
              </mc:AlternateContent>
            </w:r>
          </w:p>
        </w:tc>
        <w:tc>
          <w:tcPr>
            <w:tcW w:w="109" w:type="dxa"/>
            <w:vMerge w:val="restart"/>
            <w:tcBorders>
              <w:bottom w:val="single" w:sz="12"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lineRule="atLeast" w:line="204" w:before="0" w:after="0"/>
              <w:jc w:val="left"/>
              <w:rPr>
                <w:spacing w:val="-2"/>
              </w:rPr>
            </w:pPr>
            <w:r>
              <w:rPr>
                <w:spacing w:val="-2"/>
              </w:rPr>
              <w:t xml:space="preserve">2018: Compensation </w:t>
              <w:br/>
              <w:t xml:space="preserve">program is complicated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1" w:type="dxa"/>
            <w:tcBorders/>
            <w:tcMar>
              <w:bottom w:w="0" w:type="dxa"/>
            </w:tcMar>
            <w:vAlign w:val="center"/>
          </w:tcPr>
          <w:p>
            <w:pPr>
              <w:pStyle w:val="TableContents"/>
              <w:bidi w:val="0"/>
              <w:spacing w:lineRule="atLeast" w:line="204" w:before="0" w:after="0"/>
              <w:ind w:left="240" w:right="0" w:hanging="0"/>
              <w:jc w:val="left"/>
              <w:rPr>
                <w:spacing w:val="-2"/>
              </w:rPr>
            </w:pPr>
            <w:r>
              <w:rPr>
                <w:spacing w:val="-2"/>
              </w:rPr>
              <w:t xml:space="preserve">Reduced pay elements from 7 to 4 </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152400" cy="525780"/>
                      <wp:effectExtent l="0" t="0" r="0" b="0"/>
                      <wp:wrapSquare wrapText="right"/>
                      <wp:docPr id="41" name="Frame3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lineRule="atLeast" w:line="204" w:before="0" w:after="0"/>
              <w:ind w:left="240" w:right="0" w:hanging="0"/>
              <w:jc w:val="left"/>
              <w:rPr>
                <w:spacing w:val="-2"/>
              </w:rPr>
            </w:pPr>
            <w:r>
              <w:rPr>
                <w:spacing w:val="-2"/>
              </w:rPr>
              <w:t xml:space="preserve">Improves transparency and pay for performance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152400" cy="525780"/>
                      <wp:effectExtent l="0" t="0" r="0" b="0"/>
                      <wp:wrapSquare wrapText="right"/>
                      <wp:docPr id="42" name="Frame4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071" w:type="dxa"/>
            <w:tcBorders/>
            <w:shd w:fill="E9F9D8" w:val="clear"/>
            <w:tcMar>
              <w:bottom w:w="0" w:type="dxa"/>
            </w:tcMar>
            <w:vAlign w:val="center"/>
          </w:tcPr>
          <w:p>
            <w:pPr>
              <w:pStyle w:val="TableContents"/>
              <w:bidi w:val="0"/>
              <w:spacing w:lineRule="atLeast" w:line="204" w:before="0" w:after="0"/>
              <w:ind w:left="240" w:right="0" w:hanging="0"/>
              <w:jc w:val="left"/>
              <w:rPr>
                <w:b/>
              </w:rPr>
            </w:pPr>
            <w:r>
              <w:rPr>
                <w:b/>
              </w:rPr>
              <w:t>Simple, transparent compensation structure</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152400" cy="525780"/>
                      <wp:effectExtent l="0" t="0" r="0" b="0"/>
                      <wp:wrapSquare wrapText="right"/>
                      <wp:docPr id="43" name="Frame4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9F9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22"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before="0" w:after="283"/>
              <w:jc w:val="left"/>
              <w:rPr>
                <w:spacing w:val="-2"/>
              </w:rPr>
            </w:pPr>
            <w:r>
              <w:rPr>
                <w:spacing w:val="-2"/>
              </w:rPr>
              <w:t xml:space="preserve">2018: Director compensation is high relative to peers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1" w:type="dxa"/>
            <w:tcBorders/>
            <w:tcMar>
              <w:bottom w:w="0" w:type="dxa"/>
            </w:tcMar>
            <w:vAlign w:val="center"/>
          </w:tcPr>
          <w:p>
            <w:pPr>
              <w:pStyle w:val="TableContents"/>
              <w:bidi w:val="0"/>
              <w:spacing w:lineRule="atLeast" w:line="204" w:before="0" w:after="0"/>
              <w:ind w:left="240" w:right="0" w:hanging="0"/>
              <w:jc w:val="left"/>
              <w:rPr>
                <w:spacing w:val="-2"/>
              </w:rPr>
            </w:pPr>
            <w:r>
              <w:rPr>
                <w:spacing w:val="-2"/>
              </w:rPr>
              <w:t xml:space="preserve">Reduced director compensation by $65,000 since 2019 </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152400" cy="525780"/>
                      <wp:effectExtent l="0" t="0" r="0" b="0"/>
                      <wp:wrapSquare wrapText="right"/>
                      <wp:docPr id="44" name="Frame4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lineRule="atLeast" w:line="204" w:before="0" w:after="0"/>
              <w:ind w:left="240" w:right="0" w:hanging="0"/>
              <w:jc w:val="left"/>
              <w:rPr>
                <w:spacing w:val="-2"/>
              </w:rPr>
            </w:pPr>
            <w:r>
              <w:rPr>
                <w:spacing w:val="-2"/>
              </w:rPr>
              <w:t xml:space="preserve">Improves alignment of pay relative to peers </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152400" cy="525780"/>
                      <wp:effectExtent l="0" t="0" r="0" b="0"/>
                      <wp:wrapSquare wrapText="right"/>
                      <wp:docPr id="45" name="Frame4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071" w:type="dxa"/>
            <w:tcBorders/>
            <w:shd w:fill="E9F9D8" w:val="clear"/>
            <w:tcMar>
              <w:bottom w:w="0" w:type="dxa"/>
            </w:tcMar>
            <w:vAlign w:val="center"/>
          </w:tcPr>
          <w:p>
            <w:pPr>
              <w:pStyle w:val="TableContents"/>
              <w:bidi w:val="0"/>
              <w:spacing w:lineRule="atLeast" w:line="204" w:before="0" w:after="0"/>
              <w:ind w:left="240" w:right="0" w:hanging="0"/>
              <w:jc w:val="left"/>
              <w:rPr>
                <w:b/>
              </w:rPr>
            </w:pPr>
            <w:r>
              <w:rPr>
                <w:b/>
              </w:rPr>
              <w:t>Reduced director pay since 2019</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152400" cy="525780"/>
                      <wp:effectExtent l="0" t="0" r="0" b="0"/>
                      <wp:wrapSquare wrapText="right"/>
                      <wp:docPr id="46" name="Frame4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9F9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22"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vAlign w:val="center"/>
          </w:tcPr>
          <w:p>
            <w:pPr>
              <w:pStyle w:val="TableContents"/>
              <w:bidi w:val="0"/>
              <w:spacing w:before="0" w:after="283"/>
              <w:jc w:val="left"/>
              <w:rPr>
                <w:spacing w:val="-2"/>
              </w:rPr>
            </w:pPr>
            <w:r>
              <w:rPr>
                <w:spacing w:val="-2"/>
              </w:rPr>
              <w:t xml:space="preserve">2023: Reduce NEO perquisites cost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11" w:type="dxa"/>
            <w:tcBorders>
              <w:bottom w:val="single" w:sz="6" w:space="0" w:color="1F2668"/>
            </w:tcBorders>
            <w:vAlign w:val="center"/>
          </w:tcPr>
          <w:p>
            <w:pPr>
              <w:pStyle w:val="TableContents"/>
              <w:bidi w:val="0"/>
              <w:spacing w:lineRule="atLeast" w:line="204" w:before="0" w:after="0"/>
              <w:ind w:left="240" w:right="0" w:hanging="0"/>
              <w:jc w:val="left"/>
              <w:rPr>
                <w:spacing w:val="-2"/>
              </w:rPr>
            </w:pPr>
            <w:r>
              <w:rPr>
                <w:spacing w:val="-2"/>
              </w:rPr>
              <w:t xml:space="preserve">Eliminated auto- mobile benefits for NEOs </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152400" cy="525780"/>
                      <wp:effectExtent l="0" t="0" r="0" b="0"/>
                      <wp:wrapSquare wrapText="right"/>
                      <wp:docPr id="47" name="Frame4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vAlign w:val="center"/>
          </w:tcPr>
          <w:p>
            <w:pPr>
              <w:pStyle w:val="TableContents"/>
              <w:bidi w:val="0"/>
              <w:spacing w:lineRule="atLeast" w:line="204" w:before="0" w:after="0"/>
              <w:ind w:left="240" w:right="0" w:hanging="0"/>
              <w:jc w:val="left"/>
              <w:rPr>
                <w:spacing w:val="-2"/>
              </w:rPr>
            </w:pPr>
            <w:r>
              <w:rPr>
                <w:spacing w:val="-2"/>
              </w:rPr>
              <w:t xml:space="preserve">Aligns perquisites with industry best practices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152400" cy="525780"/>
                      <wp:effectExtent l="0" t="0" r="0" b="0"/>
                      <wp:wrapSquare wrapText="right"/>
                      <wp:docPr id="48" name="Frame4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7" w:type="dxa"/>
            </w:tcMar>
            <w:vAlign w:val="center"/>
          </w:tcPr>
          <w:p>
            <w:pPr>
              <w:pStyle w:val="TableContents"/>
              <w:bidi w:val="0"/>
              <w:spacing w:lineRule="atLeast" w:line="204" w:before="0" w:after="0"/>
              <w:ind w:left="240" w:right="0" w:hanging="0"/>
              <w:jc w:val="left"/>
              <w:rPr>
                <w:b/>
              </w:rPr>
            </w:pPr>
            <w:r>
              <w:rPr>
                <w:b/>
              </w:rPr>
              <w:t>No excessive benefits for NEOs</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152400" cy="525780"/>
                      <wp:effectExtent l="0" t="0" r="0" b="0"/>
                      <wp:wrapSquare wrapText="right"/>
                      <wp:docPr id="49" name="Frame4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22"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8145" w:type="dxa"/>
            <w:gridSpan w:val="10"/>
            <w:tcBorders/>
            <w:tcMar>
              <w:bottom w:w="0" w:type="dxa"/>
            </w:tcMar>
            <w:vAlign w:val="center"/>
          </w:tcPr>
          <w:p>
            <w:pPr>
              <w:pStyle w:val="TableContents"/>
              <w:bidi w:val="0"/>
              <w:spacing w:lineRule="atLeast" w:line="204" w:before="0" w:after="0"/>
              <w:ind w:left="240" w:right="0" w:hanging="0"/>
              <w:jc w:val="left"/>
              <w:rPr/>
            </w:pPr>
            <w:r>
              <w:rPr/>
              <w:t>92.3% of Mr. Holliday’s Total Direct Compensation for 2023 was at risk and approximately 12.5% lower than the total compensation amount set forth in the Summary Compensation Table.</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152400" cy="525780"/>
                      <wp:effectExtent l="0" t="0" r="0" b="0"/>
                      <wp:wrapSquare wrapText="right"/>
                      <wp:docPr id="50" name="Frame4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4"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4"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893" w:type="dxa"/>
        <w:jc w:val="left"/>
        <w:tblInd w:w="900" w:type="dxa"/>
        <w:tblLayout w:type="fixed"/>
        <w:tblCellMar>
          <w:top w:w="0" w:type="dxa"/>
          <w:left w:w="0" w:type="dxa"/>
          <w:bottom w:w="0" w:type="dxa"/>
          <w:right w:w="0" w:type="dxa"/>
        </w:tblCellMar>
      </w:tblPr>
      <w:tblGrid>
        <w:gridCol w:w="124"/>
        <w:gridCol w:w="22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addition to the compensation changes outlined above, the SLG Board has also effected changes to design, practices, and disclosure related to our Board composition, corporate governance and Environmental &amp; Social matters.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2184"/>
        <w:gridCol w:w="109"/>
        <w:gridCol w:w="109"/>
        <w:gridCol w:w="2652"/>
        <w:gridCol w:w="109"/>
        <w:gridCol w:w="109"/>
        <w:gridCol w:w="3754"/>
        <w:gridCol w:w="155"/>
      </w:tblGrid>
      <w:tr>
        <w:trPr/>
        <w:tc>
          <w:tcPr>
            <w:tcW w:w="124" w:type="dxa"/>
            <w:tcBorders>
              <w:bottom w:val="single" w:sz="8" w:space="0" w:color="1F2668"/>
            </w:tcBorders>
            <w:vAlign w:val="center"/>
          </w:tcPr>
          <w:p>
            <w:pPr>
              <w:pStyle w:val="TableContents"/>
              <w:bidi w:val="0"/>
              <w:spacing w:before="0" w:after="283"/>
              <w:jc w:val="left"/>
              <w:rPr/>
            </w:pPr>
            <w:r>
              <w:rPr/>
              <w:t>​</w:t>
            </w:r>
          </w:p>
        </w:tc>
        <w:tc>
          <w:tcPr>
            <w:tcW w:w="2184" w:type="dxa"/>
            <w:tcBorders>
              <w:bottom w:val="single" w:sz="8" w:space="0" w:color="1F2668"/>
            </w:tcBorders>
            <w:tcMar>
              <w:bottom w:w="50"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652"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Board Composition &amp; Corporate Governance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754"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Environmental &amp; Social </w:t>
            </w:r>
          </w:p>
        </w:tc>
        <w:tc>
          <w:tcPr>
            <w:tcW w:w="155"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84"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77520" cy="393700"/>
                      <wp:effectExtent l="0" t="0" r="0" b="0"/>
                      <wp:wrapNone/>
                      <wp:docPr id="51" name="Frame49"/>
                      <a:graphic xmlns:a="http://schemas.openxmlformats.org/drawingml/2006/main">
                        <a:graphicData uri="http://schemas.microsoft.com/office/word/2010/wordprocessingShape">
                          <wps:wsp>
                            <wps:cNvSpPr txBox="1"/>
                            <wps:spPr>
                              <a:xfrm>
                                <a:off x="0" y="0"/>
                                <a:ext cx="477520" cy="393700"/>
                              </a:xfrm>
                              <a:prstGeom prst="rect"/>
                              <a:solidFill>
                                <a:srgbClr val="FFFFFF"/>
                              </a:solidFill>
                            </wps:spPr>
                            <wps:txbx>
                              <w:txbxContent>
                                <w:p>
                                  <w:pPr>
                                    <w:pStyle w:val="TextBody"/>
                                    <w:bidi w:val="0"/>
                                    <w:spacing w:before="0" w:after="283"/>
                                    <w:jc w:val="left"/>
                                    <w:rPr>
                                      <w:color w:val="1F2668"/>
                                    </w:rPr>
                                  </w:pPr>
                                  <w:r>
                                    <w:rPr>
                                      <w:color w:val="1F2668"/>
                                      <w:spacing w:val="2"/>
                                    </w:rPr>
                                    <w:t>2018</w:t>
                                  </w:r>
                                  <w:r>
                                    <w:rPr>
                                      <w:color w:val="1F2668"/>
                                    </w:rPr>
                                    <w:t xml:space="preserve"> </w:t>
                                  </w:r>
                                </w:p>
                              </w:txbxContent>
                            </wps:txbx>
                            <wps:bodyPr anchor="t" lIns="0" tIns="0" rIns="0" bIns="0">
                              <a:noAutofit/>
                            </wps:bodyPr>
                          </wps:wsp>
                        </a:graphicData>
                      </a:graphic>
                    </wp:anchor>
                  </w:drawing>
                </mc:Choice>
                <mc:Fallback>
                  <w:pict>
                    <v:rect style="position:absolute;rotation:-0;width:37.6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2018</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2"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Amended bylaws to permit stockholders to amend bylaws by a majority vote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152400" cy="525780"/>
                      <wp:effectExtent l="0" t="0" r="0" b="0"/>
                      <wp:wrapSquare wrapText="right"/>
                      <wp:docPr id="52" name="Frame5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4"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Committed to reduce GHG emissions intensity 30% by 2025</w:t>
            </w:r>
            <w:r>
              <w:rPr/>
              <w:t xml:space="preserve"> </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152400" cy="525780"/>
                      <wp:effectExtent l="0" t="0" r="0" b="0"/>
                      <wp:wrapSquare wrapText="right"/>
                      <wp:docPr id="53" name="Frame5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spacing w:val="-2"/>
              </w:rPr>
            </w:pPr>
            <w:r>
              <w:rPr>
                <w:spacing w:val="-2"/>
              </w:rPr>
              <w:t xml:space="preserve">Achieved CDP score of “B” as first time responder </w:t>
            </w:r>
            <w:r>
              <mc:AlternateContent>
                <mc:Choice Requires="wps">
                  <w:drawing>
                    <wp:anchor behindDoc="0" distT="48260" distB="0" distL="0" distR="0" simplePos="0" locked="0" layoutInCell="1" allowOverlap="1" relativeHeight="386">
                      <wp:simplePos x="0" y="0"/>
                      <wp:positionH relativeFrom="column">
                        <wp:align>left</wp:align>
                      </wp:positionH>
                      <wp:positionV relativeFrom="line">
                        <wp:align>top</wp:align>
                      </wp:positionV>
                      <wp:extent cx="152400" cy="525780"/>
                      <wp:effectExtent l="0" t="0" r="0" b="0"/>
                      <wp:wrapSquare wrapText="right"/>
                      <wp:docPr id="54" name="Frame5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84"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026160" cy="393700"/>
                      <wp:effectExtent l="0" t="0" r="0" b="0"/>
                      <wp:wrapNone/>
                      <wp:docPr id="55" name="Frame53"/>
                      <a:graphic xmlns:a="http://schemas.openxmlformats.org/drawingml/2006/main">
                        <a:graphicData uri="http://schemas.microsoft.com/office/word/2010/wordprocessingShape">
                          <wps:wsp>
                            <wps:cNvSpPr txBox="1"/>
                            <wps:spPr>
                              <a:xfrm>
                                <a:off x="0" y="0"/>
                                <a:ext cx="1026160" cy="393700"/>
                              </a:xfrm>
                              <a:prstGeom prst="rect"/>
                              <a:solidFill>
                                <a:srgbClr val="FFFFFF"/>
                              </a:solidFill>
                            </wps:spPr>
                            <wps:txbx>
                              <w:txbxContent>
                                <w:p>
                                  <w:pPr>
                                    <w:pStyle w:val="TextBody"/>
                                    <w:bidi w:val="0"/>
                                    <w:spacing w:before="0" w:after="283"/>
                                    <w:jc w:val="left"/>
                                    <w:rPr>
                                      <w:color w:val="1F2668"/>
                                    </w:rPr>
                                  </w:pPr>
                                  <w:r>
                                    <w:rPr>
                                      <w:color w:val="1F2668"/>
                                      <w:spacing w:val="2"/>
                                    </w:rPr>
                                    <w:t>2019</w:t>
                                  </w:r>
                                  <w:r>
                                    <w:rPr>
                                      <w:color w:val="1F2668"/>
                                    </w:rPr>
                                    <w:t xml:space="preserve"> </w:t>
                                  </w:r>
                                </w:p>
                              </w:txbxContent>
                            </wps:txbx>
                            <wps:bodyPr anchor="t" lIns="0" tIns="0" rIns="0" bIns="0">
                              <a:noAutofit/>
                            </wps:bodyPr>
                          </wps:wsp>
                        </a:graphicData>
                      </a:graphic>
                    </wp:anchor>
                  </w:drawing>
                </mc:Choice>
                <mc:Fallback>
                  <w:pict>
                    <v:rect style="position:absolute;rotation:-0;width:80.8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2019</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2"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Transition of Stephen L. Green from Chairman to “Chairman Emeritus”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152400" cy="525780"/>
                      <wp:effectExtent l="0" t="0" r="0" b="0"/>
                      <wp:wrapSquare wrapText="right"/>
                      <wp:docPr id="56" name="Frame5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4"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Committed to &gt;$2M in annual donations to NYC charities</w:t>
            </w:r>
            <w:r>
              <w:rPr/>
              <w:t xml:space="preserve"> </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152400" cy="525780"/>
                      <wp:effectExtent l="0" t="0" r="0" b="0"/>
                      <wp:wrapSquare wrapText="right"/>
                      <wp:docPr id="57" name="Frame5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#1 scoring REIT for ESG Disclosures on Bloomberg World Index</w:t>
            </w:r>
            <w:r>
              <w:rPr/>
              <w:t xml:space="preserve"> </w:t>
            </w:r>
            <w:r>
              <mc:AlternateContent>
                <mc:Choice Requires="wps">
                  <w:drawing>
                    <wp:anchor behindDoc="0" distT="31750" distB="0" distL="0" distR="0" simplePos="0" locked="0" layoutInCell="1" allowOverlap="1" relativeHeight="390">
                      <wp:simplePos x="0" y="0"/>
                      <wp:positionH relativeFrom="column">
                        <wp:align>left</wp:align>
                      </wp:positionH>
                      <wp:positionV relativeFrom="line">
                        <wp:align>top</wp:align>
                      </wp:positionV>
                      <wp:extent cx="152400" cy="525780"/>
                      <wp:effectExtent l="0" t="0" r="0" b="0"/>
                      <wp:wrapSquare wrapText="right"/>
                      <wp:docPr id="58" name="Frame5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Achieved GRESB Green Star designation as a first-time responder and an “A” rating on GRESB’s Public Disclosure Report </w:t>
            </w:r>
            <w:r>
              <mc:AlternateContent>
                <mc:Choice Requires="wps">
                  <w:drawing>
                    <wp:anchor behindDoc="0" distT="31750" distB="0" distL="0" distR="0" simplePos="0" locked="0" layoutInCell="1" allowOverlap="1" relativeHeight="391">
                      <wp:simplePos x="0" y="0"/>
                      <wp:positionH relativeFrom="column">
                        <wp:align>left</wp:align>
                      </wp:positionH>
                      <wp:positionV relativeFrom="line">
                        <wp:align>top</wp:align>
                      </wp:positionV>
                      <wp:extent cx="152400" cy="525780"/>
                      <wp:effectExtent l="0" t="0" r="0" b="0"/>
                      <wp:wrapSquare wrapText="right"/>
                      <wp:docPr id="59" name="Frame5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84"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01980" cy="393700"/>
                      <wp:effectExtent l="0" t="0" r="0" b="0"/>
                      <wp:wrapNone/>
                      <wp:docPr id="60" name="Frame58"/>
                      <a:graphic xmlns:a="http://schemas.openxmlformats.org/drawingml/2006/main">
                        <a:graphicData uri="http://schemas.microsoft.com/office/word/2010/wordprocessingShape">
                          <wps:wsp>
                            <wps:cNvSpPr txBox="1"/>
                            <wps:spPr>
                              <a:xfrm>
                                <a:off x="0" y="0"/>
                                <a:ext cx="601980" cy="393700"/>
                              </a:xfrm>
                              <a:prstGeom prst="rect"/>
                              <a:solidFill>
                                <a:srgbClr val="FFFFFF"/>
                              </a:solidFill>
                            </wps:spPr>
                            <wps:txbx>
                              <w:txbxContent>
                                <w:p>
                                  <w:pPr>
                                    <w:pStyle w:val="TextBody"/>
                                    <w:bidi w:val="0"/>
                                    <w:spacing w:before="0" w:after="283"/>
                                    <w:jc w:val="left"/>
                                    <w:rPr>
                                      <w:color w:val="1F2668"/>
                                    </w:rPr>
                                  </w:pPr>
                                  <w:r>
                                    <w:rPr>
                                      <w:color w:val="1F2668"/>
                                      <w:spacing w:val="2"/>
                                    </w:rPr>
                                    <w:t>2020</w:t>
                                  </w:r>
                                  <w:r>
                                    <w:rPr>
                                      <w:color w:val="1F2668"/>
                                    </w:rPr>
                                    <w:t xml:space="preserve"> </w:t>
                                  </w:r>
                                </w:p>
                              </w:txbxContent>
                            </wps:txbx>
                            <wps:bodyPr anchor="t" lIns="0" tIns="0" rIns="0" bIns="0">
                              <a:noAutofit/>
                            </wps:bodyPr>
                          </wps:wsp>
                        </a:graphicData>
                      </a:graphic>
                    </wp:anchor>
                  </w:drawing>
                </mc:Choice>
                <mc:Fallback>
                  <w:pict>
                    <v:rect style="position:absolute;rotation:-0;width:47.4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2020</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2"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Completed declassification of the Board with all directors elected for one-year terms </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152400" cy="525780"/>
                      <wp:effectExtent l="0" t="0" r="0" b="0"/>
                      <wp:wrapSquare wrapText="right"/>
                      <wp:docPr id="61" name="Frame5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4"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Launched not-for-profit Food1st to serve first responders and food-insecure New Yorkers, while revitalizing NYC’s restaurants</w:t>
            </w:r>
            <w:r>
              <w:rPr/>
              <w:t xml:space="preserve"> </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152400" cy="525780"/>
                      <wp:effectExtent l="0" t="0" r="0" b="0"/>
                      <wp:wrapSquare wrapText="right"/>
                      <wp:docPr id="62" name="Frame6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spacing w:val="-2"/>
              </w:rPr>
            </w:pPr>
            <w:r>
              <w:rPr>
                <w:spacing w:val="-2"/>
              </w:rPr>
              <w:t xml:space="preserve">Released first formal SASB disclosures </w:t>
            </w:r>
            <w:r>
              <mc:AlternateContent>
                <mc:Choice Requires="wps">
                  <w:drawing>
                    <wp:anchor behindDoc="0" distT="48260" distB="0" distL="0" distR="0" simplePos="0" locked="0" layoutInCell="1" allowOverlap="1" relativeHeight="395">
                      <wp:simplePos x="0" y="0"/>
                      <wp:positionH relativeFrom="column">
                        <wp:align>left</wp:align>
                      </wp:positionH>
                      <wp:positionV relativeFrom="line">
                        <wp:align>top</wp:align>
                      </wp:positionV>
                      <wp:extent cx="152400" cy="525780"/>
                      <wp:effectExtent l="0" t="0" r="0" b="0"/>
                      <wp:wrapSquare wrapText="right"/>
                      <wp:docPr id="63" name="Frame6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84"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71170" cy="393700"/>
                      <wp:effectExtent l="0" t="0" r="0" b="0"/>
                      <wp:wrapNone/>
                      <wp:docPr id="64" name="Frame62"/>
                      <a:graphic xmlns:a="http://schemas.openxmlformats.org/drawingml/2006/main">
                        <a:graphicData uri="http://schemas.microsoft.com/office/word/2010/wordprocessingShape">
                          <wps:wsp>
                            <wps:cNvSpPr txBox="1"/>
                            <wps:spPr>
                              <a:xfrm>
                                <a:off x="0" y="0"/>
                                <a:ext cx="471170" cy="393700"/>
                              </a:xfrm>
                              <a:prstGeom prst="rect"/>
                              <a:solidFill>
                                <a:srgbClr val="FFFFFF"/>
                              </a:solidFill>
                            </wps:spPr>
                            <wps:txbx>
                              <w:txbxContent>
                                <w:p>
                                  <w:pPr>
                                    <w:pStyle w:val="TextBody"/>
                                    <w:bidi w:val="0"/>
                                    <w:spacing w:before="0" w:after="283"/>
                                    <w:jc w:val="left"/>
                                    <w:rPr>
                                      <w:color w:val="1F2668"/>
                                    </w:rPr>
                                  </w:pPr>
                                  <w:r>
                                    <w:rPr>
                                      <w:color w:val="1F2668"/>
                                      <w:spacing w:val="2"/>
                                    </w:rPr>
                                    <w:t>2021</w:t>
                                  </w:r>
                                  <w:r>
                                    <w:rPr>
                                      <w:color w:val="1F2668"/>
                                    </w:rPr>
                                    <w:t xml:space="preserve"> </w:t>
                                  </w:r>
                                </w:p>
                              </w:txbxContent>
                            </wps:txbx>
                            <wps:bodyPr anchor="t" lIns="0" tIns="0" rIns="0" bIns="0">
                              <a:noAutofit/>
                            </wps:bodyPr>
                          </wps:wsp>
                        </a:graphicData>
                      </a:graphic>
                    </wp:anchor>
                  </w:drawing>
                </mc:Choice>
                <mc:Fallback>
                  <w:pict>
                    <v:rect style="position:absolute;rotation:-0;width:37.1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2021</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2"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Committed to enhancing Board diversity by 2022 annual meeting </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152400" cy="525780"/>
                      <wp:effectExtent l="0" t="0" r="0" b="0"/>
                      <wp:wrapSquare wrapText="right"/>
                      <wp:docPr id="65" name="Frame6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4" w:type="dxa"/>
            <w:tcBorders>
              <w:bottom w:val="single" w:sz="6" w:space="0" w:color="1F2668"/>
            </w:tcBorders>
            <w:tcMar>
              <w:bottom w:w="36" w:type="dxa"/>
            </w:tcMar>
            <w:vAlign w:val="center"/>
          </w:tcPr>
          <w:p>
            <w:pPr>
              <w:pStyle w:val="TableContents"/>
              <w:bidi w:val="0"/>
              <w:spacing w:lineRule="atLeast" w:line="180" w:before="0" w:after="0"/>
              <w:ind w:left="240" w:right="0" w:hanging="0"/>
              <w:jc w:val="left"/>
              <w:rPr/>
            </w:pPr>
            <w:r>
              <w:rPr>
                <w:spacing w:val="-2"/>
              </w:rPr>
              <w:t>Published first formal TCFD report</w:t>
            </w:r>
            <w:r>
              <w:rPr/>
              <w:t xml:space="preserve"> </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152400" cy="525780"/>
                      <wp:effectExtent l="0" t="0" r="0" b="0"/>
                      <wp:wrapSquare wrapText="right"/>
                      <wp:docPr id="66" name="Frame6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Donated $6M to more than 70 not-for-profit organizations </w:t>
            </w:r>
            <w:r>
              <mc:AlternateContent>
                <mc:Choice Requires="wps">
                  <w:drawing>
                    <wp:anchor behindDoc="0" distT="31750" distB="0" distL="0" distR="0" simplePos="0" locked="0" layoutInCell="1" allowOverlap="1" relativeHeight="399">
                      <wp:simplePos x="0" y="0"/>
                      <wp:positionH relativeFrom="column">
                        <wp:align>left</wp:align>
                      </wp:positionH>
                      <wp:positionV relativeFrom="line">
                        <wp:align>top</wp:align>
                      </wp:positionV>
                      <wp:extent cx="152400" cy="525780"/>
                      <wp:effectExtent l="0" t="0" r="0" b="0"/>
                      <wp:wrapSquare wrapText="right"/>
                      <wp:docPr id="67" name="Frame6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84"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01980" cy="393700"/>
                      <wp:effectExtent l="0" t="0" r="0" b="0"/>
                      <wp:wrapNone/>
                      <wp:docPr id="68" name="Frame66"/>
                      <a:graphic xmlns:a="http://schemas.openxmlformats.org/drawingml/2006/main">
                        <a:graphicData uri="http://schemas.microsoft.com/office/word/2010/wordprocessingShape">
                          <wps:wsp>
                            <wps:cNvSpPr txBox="1"/>
                            <wps:spPr>
                              <a:xfrm>
                                <a:off x="0" y="0"/>
                                <a:ext cx="601980" cy="393700"/>
                              </a:xfrm>
                              <a:prstGeom prst="rect"/>
                              <a:solidFill>
                                <a:srgbClr val="FFFFFF"/>
                              </a:solidFill>
                            </wps:spPr>
                            <wps:txbx>
                              <w:txbxContent>
                                <w:p>
                                  <w:pPr>
                                    <w:pStyle w:val="TextBody"/>
                                    <w:bidi w:val="0"/>
                                    <w:spacing w:before="0" w:after="283"/>
                                    <w:jc w:val="left"/>
                                    <w:rPr>
                                      <w:color w:val="1F2668"/>
                                    </w:rPr>
                                  </w:pPr>
                                  <w:r>
                                    <w:rPr>
                                      <w:color w:val="1F2668"/>
                                      <w:spacing w:val="2"/>
                                    </w:rPr>
                                    <w:t>2022</w:t>
                                  </w:r>
                                  <w:r>
                                    <w:rPr>
                                      <w:color w:val="1F2668"/>
                                    </w:rPr>
                                    <w:t xml:space="preserve"> </w:t>
                                  </w:r>
                                </w:p>
                              </w:txbxContent>
                            </wps:txbx>
                            <wps:bodyPr anchor="t" lIns="0" tIns="0" rIns="0" bIns="0">
                              <a:noAutofit/>
                            </wps:bodyPr>
                          </wps:wsp>
                        </a:graphicData>
                      </a:graphic>
                    </wp:anchor>
                  </w:drawing>
                </mc:Choice>
                <mc:Fallback>
                  <w:pict>
                    <v:rect style="position:absolute;rotation:-0;width:47.4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2022</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2" w:type="dxa"/>
            <w:tcBorders>
              <w:bottom w:val="single" w:sz="6" w:space="0" w:color="1F2668"/>
            </w:tcBorders>
            <w:tcMar>
              <w:bottom w:w="36" w:type="dxa"/>
            </w:tcMar>
            <w:vAlign w:val="center"/>
          </w:tcPr>
          <w:p>
            <w:pPr>
              <w:pStyle w:val="TableContents"/>
              <w:bidi w:val="0"/>
              <w:spacing w:lineRule="atLeast" w:line="180" w:before="0" w:after="0"/>
              <w:ind w:left="240" w:right="0" w:hanging="0"/>
              <w:jc w:val="left"/>
              <w:rPr>
                <w:spacing w:val="-2"/>
              </w:rPr>
            </w:pPr>
            <w:r>
              <w:rPr>
                <w:spacing w:val="-2"/>
              </w:rPr>
              <w:t xml:space="preserve">Appointed Carol Brown, enhancing Board diversity </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152400" cy="525780"/>
                      <wp:effectExtent l="0" t="0" r="0" b="0"/>
                      <wp:wrapSquare wrapText="right"/>
                      <wp:docPr id="69" name="Frame6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4"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Expanded Scope 3 disclosures and committed to emissions reduction through SBTi</w:t>
            </w:r>
            <w:r>
              <w:rPr/>
              <w:t xml:space="preserve"> </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152400" cy="525780"/>
                      <wp:effectExtent l="0" t="0" r="0" b="0"/>
                      <wp:wrapSquare wrapText="right"/>
                      <wp:docPr id="70" name="Frame6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Increased racial diversity of all newly hired employees in 2022 to 76% </w:t>
            </w:r>
            <w:r>
              <mc:AlternateContent>
                <mc:Choice Requires="wps">
                  <w:drawing>
                    <wp:anchor behindDoc="0" distT="31750" distB="0" distL="0" distR="0" simplePos="0" locked="0" layoutInCell="1" allowOverlap="1" relativeHeight="403">
                      <wp:simplePos x="0" y="0"/>
                      <wp:positionH relativeFrom="column">
                        <wp:align>left</wp:align>
                      </wp:positionH>
                      <wp:positionV relativeFrom="line">
                        <wp:align>top</wp:align>
                      </wp:positionV>
                      <wp:extent cx="152400" cy="525780"/>
                      <wp:effectExtent l="0" t="0" r="0" b="0"/>
                      <wp:wrapSquare wrapText="right"/>
                      <wp:docPr id="71" name="Frame6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12" w:space="0" w:color="1F2668"/>
            </w:tcBorders>
            <w:shd w:fill="E9F9D8" w:val="clear"/>
            <w:vAlign w:val="center"/>
          </w:tcPr>
          <w:p>
            <w:pPr>
              <w:pStyle w:val="TableContents"/>
              <w:bidi w:val="0"/>
              <w:spacing w:before="0" w:after="283"/>
              <w:jc w:val="left"/>
              <w:rPr/>
            </w:pPr>
            <w:r>
              <w:rPr/>
              <w:t>​</w:t>
            </w:r>
          </w:p>
        </w:tc>
        <w:tc>
          <w:tcPr>
            <w:tcW w:w="2184" w:type="dxa"/>
            <w:tcBorders>
              <w:bottom w:val="single" w:sz="12" w:space="0" w:color="1F2668"/>
            </w:tcBorders>
            <w:shd w:fill="E9F9D8"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2230" cy="393700"/>
                      <wp:effectExtent l="0" t="0" r="0" b="0"/>
                      <wp:wrapNone/>
                      <wp:docPr id="72" name="Frame70"/>
                      <a:graphic xmlns:a="http://schemas.openxmlformats.org/drawingml/2006/main">
                        <a:graphicData uri="http://schemas.microsoft.com/office/word/2010/wordprocessingShape">
                          <wps:wsp>
                            <wps:cNvSpPr txBox="1"/>
                            <wps:spPr>
                              <a:xfrm>
                                <a:off x="0" y="0"/>
                                <a:ext cx="1332230" cy="393700"/>
                              </a:xfrm>
                              <a:prstGeom prst="rect"/>
                              <a:solidFill>
                                <a:srgbClr val="FFFFFF"/>
                              </a:solidFill>
                            </wps:spPr>
                            <wps:txbx>
                              <w:txbxContent>
                                <w:p>
                                  <w:pPr>
                                    <w:pStyle w:val="TextBody"/>
                                    <w:bidi w:val="0"/>
                                    <w:spacing w:before="0" w:after="283"/>
                                    <w:jc w:val="left"/>
                                    <w:rPr>
                                      <w:color w:val="1F2668"/>
                                    </w:rPr>
                                  </w:pPr>
                                  <w:r>
                                    <w:rPr>
                                      <w:color w:val="1F2668"/>
                                      <w:spacing w:val="2"/>
                                    </w:rPr>
                                    <w:t>2023/2024</w:t>
                                  </w:r>
                                  <w:r>
                                    <w:rPr>
                                      <w:color w:val="1F2668"/>
                                    </w:rPr>
                                    <w:t xml:space="preserve"> </w:t>
                                  </w:r>
                                </w:p>
                              </w:txbxContent>
                            </wps:txbx>
                            <wps:bodyPr anchor="t" lIns="0" tIns="0" rIns="0" bIns="0">
                              <a:noAutofit/>
                            </wps:bodyPr>
                          </wps:wsp>
                        </a:graphicData>
                      </a:graphic>
                    </wp:anchor>
                  </w:drawing>
                </mc:Choice>
                <mc:Fallback>
                  <w:pict>
                    <v:rect style="position:absolute;rotation:-0;width:104.9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2023/2024</w:t>
                            </w:r>
                            <w:r>
                              <w:rPr>
                                <w:color w:val="1F2668"/>
                              </w:rPr>
                              <w:t xml:space="preserve"> </w:t>
                            </w:r>
                          </w:p>
                        </w:txbxContent>
                      </v:textbox>
                      <w10:wrap type="none"/>
                    </v:rect>
                  </w:pict>
                </mc:Fallback>
              </mc:AlternateConten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2652" w:type="dxa"/>
            <w:tcBorders>
              <w:bottom w:val="single" w:sz="12" w:space="0" w:color="1F2668"/>
            </w:tcBorders>
            <w:shd w:fill="E9F9D8" w:val="clear"/>
            <w:tcMar>
              <w:bottom w:w="36" w:type="dxa"/>
            </w:tcMar>
            <w:vAlign w:val="center"/>
          </w:tcPr>
          <w:p>
            <w:pPr>
              <w:pStyle w:val="TableContents"/>
              <w:bidi w:val="0"/>
              <w:spacing w:lineRule="atLeast" w:line="206" w:before="0" w:after="0"/>
              <w:ind w:left="240" w:right="0" w:hanging="0"/>
              <w:jc w:val="left"/>
              <w:rPr/>
            </w:pPr>
            <w:r>
              <w:rPr>
                <w:spacing w:val="-2"/>
              </w:rPr>
              <w:t>Continued board succession plan: retirement of John Levy, Ed Burton and Betsy Atkins</w:t>
            </w:r>
            <w:r>
              <w:rPr/>
              <w:t xml:space="preserve"> </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152400" cy="525780"/>
                      <wp:effectExtent l="0" t="0" r="0" b="0"/>
                      <wp:wrapSquare wrapText="right"/>
                      <wp:docPr id="73" name="Frame7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pPr>
            <w:r>
              <w:rPr>
                <w:spacing w:val="-2"/>
              </w:rPr>
              <w:t>Termination of Chairman Emeritus’ retainer</w:t>
            </w:r>
            <w:r>
              <w:rPr/>
              <w:t xml:space="preserve"> </w:t>
            </w:r>
            <w:r>
              <mc:AlternateContent>
                <mc:Choice Requires="wps">
                  <w:drawing>
                    <wp:anchor behindDoc="0" distT="48260" distB="0" distL="0" distR="0" simplePos="0" locked="0" layoutInCell="1" allowOverlap="1" relativeHeight="406">
                      <wp:simplePos x="0" y="0"/>
                      <wp:positionH relativeFrom="column">
                        <wp:align>left</wp:align>
                      </wp:positionH>
                      <wp:positionV relativeFrom="line">
                        <wp:align>top</wp:align>
                      </wp:positionV>
                      <wp:extent cx="152400" cy="525780"/>
                      <wp:effectExtent l="0" t="0" r="0" b="0"/>
                      <wp:wrapSquare wrapText="right"/>
                      <wp:docPr id="74" name="Frame7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pPr>
            <w:r>
              <w:rPr>
                <w:spacing w:val="-2"/>
              </w:rPr>
              <w:t>Anticipate appointing a new Board member in 2024</w:t>
            </w:r>
            <w:r>
              <w:rPr/>
              <w:t xml:space="preserve"> </w:t>
            </w:r>
            <w:r>
              <mc:AlternateContent>
                <mc:Choice Requires="wps">
                  <w:drawing>
                    <wp:anchor behindDoc="0" distT="48260" distB="0" distL="0" distR="0" simplePos="0" locked="0" layoutInCell="1" allowOverlap="1" relativeHeight="407">
                      <wp:simplePos x="0" y="0"/>
                      <wp:positionH relativeFrom="column">
                        <wp:align>left</wp:align>
                      </wp:positionH>
                      <wp:positionV relativeFrom="line">
                        <wp:align>top</wp:align>
                      </wp:positionV>
                      <wp:extent cx="152400" cy="525780"/>
                      <wp:effectExtent l="0" t="0" r="0" b="0"/>
                      <wp:wrapSquare wrapText="right"/>
                      <wp:docPr id="75" name="Frame7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3754" w:type="dxa"/>
            <w:tcBorders>
              <w:bottom w:val="single" w:sz="12" w:space="0" w:color="1F2668"/>
            </w:tcBorders>
            <w:shd w:fill="E9F9D8" w:val="clear"/>
            <w:tcMar>
              <w:bottom w:w="36" w:type="dxa"/>
            </w:tcMar>
            <w:vAlign w:val="center"/>
          </w:tcPr>
          <w:p>
            <w:pPr>
              <w:pStyle w:val="TableContents"/>
              <w:bidi w:val="0"/>
              <w:spacing w:lineRule="atLeast" w:line="206" w:before="0" w:after="0"/>
              <w:ind w:left="240" w:right="0" w:hanging="0"/>
              <w:jc w:val="left"/>
              <w:rPr/>
            </w:pPr>
            <w:r>
              <w:rPr>
                <w:spacing w:val="-2"/>
              </w:rPr>
              <w:t>Validated Scope 1 and 2 emissions reduction targets in line with 1.5°C pathway through SBTi</w:t>
            </w:r>
            <w:r>
              <w:rPr/>
              <w:t xml:space="preserve">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152400" cy="525780"/>
                      <wp:effectExtent l="0" t="0" r="0" b="0"/>
                      <wp:wrapSquare wrapText="right"/>
                      <wp:docPr id="76" name="Frame7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pPr>
            <w:r>
              <w:rPr>
                <w:spacing w:val="-2"/>
              </w:rPr>
              <w:t>Published updated TCFD Report</w:t>
            </w:r>
            <w:r>
              <w:rPr/>
              <w:t xml:space="preserve"> </w:t>
            </w:r>
            <w:r>
              <mc:AlternateContent>
                <mc:Choice Requires="wps">
                  <w:drawing>
                    <wp:anchor behindDoc="0" distT="48260" distB="0" distL="0" distR="0" simplePos="0" locked="0" layoutInCell="1" allowOverlap="1" relativeHeight="409">
                      <wp:simplePos x="0" y="0"/>
                      <wp:positionH relativeFrom="column">
                        <wp:align>left</wp:align>
                      </wp:positionH>
                      <wp:positionV relativeFrom="line">
                        <wp:align>top</wp:align>
                      </wp:positionV>
                      <wp:extent cx="152400" cy="525780"/>
                      <wp:effectExtent l="0" t="0" r="0" b="0"/>
                      <wp:wrapSquare wrapText="right"/>
                      <wp:docPr id="77" name="Frame7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Recognized by Newsweek as one of “America’s Most Responsible Companies 2023”</w:t>
            </w:r>
            <w:r>
              <w:rPr/>
              <w:t xml:space="preserve"> </w:t>
            </w:r>
            <w:r>
              <mc:AlternateContent>
                <mc:Choice Requires="wps">
                  <w:drawing>
                    <wp:anchor behindDoc="0" distT="31750" distB="0" distL="0" distR="0" simplePos="0" locked="0" layoutInCell="1" allowOverlap="1" relativeHeight="410">
                      <wp:simplePos x="0" y="0"/>
                      <wp:positionH relativeFrom="column">
                        <wp:align>left</wp:align>
                      </wp:positionH>
                      <wp:positionV relativeFrom="line">
                        <wp:align>top</wp:align>
                      </wp:positionV>
                      <wp:extent cx="152400" cy="525780"/>
                      <wp:effectExtent l="0" t="0" r="0" b="0"/>
                      <wp:wrapSquare wrapText="right"/>
                      <wp:docPr id="78" name="Frame7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Conducted “ESG Materiality Assessments” to identify highly valued environmental, social, and governance topics important to our business and key stakeholders</w:t>
            </w:r>
            <w:r>
              <w:rPr/>
              <w:t xml:space="preserve"> </w:t>
            </w:r>
            <w:r>
              <mc:AlternateContent>
                <mc:Choice Requires="wps">
                  <w:drawing>
                    <wp:anchor behindDoc="0" distT="31750" distB="0" distL="0" distR="0" simplePos="0" locked="0" layoutInCell="1" allowOverlap="1" relativeHeight="411">
                      <wp:simplePos x="0" y="0"/>
                      <wp:positionH relativeFrom="column">
                        <wp:align>left</wp:align>
                      </wp:positionH>
                      <wp:positionV relativeFrom="line">
                        <wp:align>top</wp:align>
                      </wp:positionV>
                      <wp:extent cx="152400" cy="525780"/>
                      <wp:effectExtent l="0" t="0" r="0" b="0"/>
                      <wp:wrapSquare wrapText="right"/>
                      <wp:docPr id="79" name="Frame7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1F2668"/>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2PSH"/>
      <w:bookmarkEnd w:id="3"/>
      <w:r>
        <w:rPr>
          <w:rFonts w:ascii="calibri;arial;sans-serif" w:hAnsi="calibri;arial;sans-serif"/>
          <w:b w:val="false"/>
          <w:i w:val="false"/>
          <w:caps w:val="false"/>
          <w:smallCaps w:val="false"/>
          <w:color w:val="000000"/>
          <w:sz w:val="16"/>
        </w:rPr>
        <w:t xml:space="preserve">​ </w:t>
      </w:r>
    </w:p>
    <w:tbl>
      <w:tblPr>
        <w:tblW w:w="5268" w:type="dxa"/>
        <w:jc w:val="left"/>
        <w:tblInd w:w="900" w:type="dxa"/>
        <w:tblLayout w:type="fixed"/>
        <w:tblCellMar>
          <w:top w:w="0" w:type="dxa"/>
          <w:left w:w="0" w:type="dxa"/>
          <w:bottom w:w="0" w:type="dxa"/>
          <w:right w:w="0" w:type="dxa"/>
        </w:tblCellMar>
      </w:tblPr>
      <w:tblGrid>
        <w:gridCol w:w="124"/>
        <w:gridCol w:w="454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4546" w:type="dxa"/>
            <w:tcBorders/>
            <w:vAlign w:val="center"/>
          </w:tcPr>
          <w:p>
            <w:pPr>
              <w:pStyle w:val="TableContents"/>
              <w:bidi w:val="0"/>
              <w:spacing w:lineRule="atLeast" w:line="200" w:before="0" w:after="0"/>
              <w:jc w:val="left"/>
              <w:rPr/>
            </w:pPr>
            <w:r>
              <w:rPr/>
              <w:t>2024 PROXY STATEMENT HIGHLIGHTS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2024 PROXY STATEMENT HIGHLIGHTS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ROADMAP OF VOTING MATTERS</w:t>
      </w:r>
      <w:r>
        <w:rPr>
          <w:rFonts w:ascii="Arial;Helvetica;sans-serif" w:hAnsi="Arial;Helvetica;sans-serif"/>
          <w:b/>
          <w:i w:val="false"/>
          <w:caps w:val="false"/>
          <w:smallCaps w:val="false"/>
          <w:color w:val="000000"/>
          <w:spacing w:val="6"/>
          <w:sz w:val="32"/>
        </w:rPr>
        <w:t xml:space="preserve"> </w:t>
      </w:r>
    </w:p>
    <w:tbl>
      <w:tblPr>
        <w:tblW w:w="9305" w:type="dxa"/>
        <w:jc w:val="left"/>
        <w:tblInd w:w="900" w:type="dxa"/>
        <w:tblLayout w:type="fixed"/>
        <w:tblCellMar>
          <w:top w:w="0" w:type="dxa"/>
          <w:left w:w="0" w:type="dxa"/>
          <w:bottom w:w="28" w:type="dxa"/>
          <w:right w:w="0" w:type="dxa"/>
        </w:tblCellMar>
      </w:tblPr>
      <w:tblGrid>
        <w:gridCol w:w="124"/>
        <w:gridCol w:w="453"/>
        <w:gridCol w:w="109"/>
        <w:gridCol w:w="109"/>
        <w:gridCol w:w="2045"/>
        <w:gridCol w:w="160"/>
        <w:gridCol w:w="160"/>
        <w:gridCol w:w="1881"/>
        <w:gridCol w:w="160"/>
        <w:gridCol w:w="160"/>
        <w:gridCol w:w="2088"/>
        <w:gridCol w:w="109"/>
        <w:gridCol w:w="109"/>
        <w:gridCol w:w="1482"/>
        <w:gridCol w:w="156"/>
      </w:tblGrid>
      <w:tr>
        <w:trPr/>
        <w:tc>
          <w:tcPr>
            <w:tcW w:w="124" w:type="dxa"/>
            <w:vMerge w:val="restart"/>
            <w:tcBorders>
              <w:bottom w:val="single" w:sz="6" w:space="0" w:color="83AD40"/>
            </w:tcBorders>
            <w:vAlign w:val="center"/>
          </w:tcPr>
          <w:p>
            <w:pPr>
              <w:pStyle w:val="TableContents"/>
              <w:bidi w:val="0"/>
              <w:spacing w:before="0" w:after="283"/>
              <w:jc w:val="left"/>
              <w:rPr/>
            </w:pPr>
            <w:r>
              <w:rPr/>
              <w:t>​</w:t>
            </w:r>
          </w:p>
        </w:tc>
        <w:tc>
          <w:tcPr>
            <w:tcW w:w="453" w:type="dxa"/>
            <w:vMerge w:val="restart"/>
            <w:tcBorders>
              <w:bottom w:val="single" w:sz="6" w:space="0" w:color="83AD40"/>
            </w:tcBorders>
            <w:vAlign w:val="center"/>
          </w:tcPr>
          <w:p>
            <w:pPr>
              <w:pStyle w:val="TableContents"/>
              <w:bidi w:val="0"/>
              <w:spacing w:before="0" w:after="0"/>
              <w:jc w:val="left"/>
              <w:rPr/>
            </w:pPr>
            <w:r>
              <w:rPr/>
              <w:drawing>
                <wp:inline distT="0" distB="0" distL="0" distR="0">
                  <wp:extent cx="228600" cy="238125"/>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4"/>
                          <a:stretch>
                            <a:fillRect/>
                          </a:stretch>
                        </pic:blipFill>
                        <pic:spPr bwMode="auto">
                          <a:xfrm>
                            <a:off x="0" y="0"/>
                            <a:ext cx="228600" cy="238125"/>
                          </a:xfrm>
                          <a:prstGeom prst="rect">
                            <a:avLst/>
                          </a:prstGeom>
                        </pic:spPr>
                      </pic:pic>
                    </a:graphicData>
                  </a:graphic>
                </wp:inline>
              </w:drawing>
            </w:r>
            <w:r>
              <w:rPr/>
              <w:t xml:space="preserve"> </w:t>
            </w:r>
          </w:p>
        </w:tc>
        <w:tc>
          <w:tcPr>
            <w:tcW w:w="109" w:type="dxa"/>
            <w:vMerge w:val="restart"/>
            <w:tcBorders>
              <w:bottom w:val="single" w:sz="6" w:space="0" w:color="83AD4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54" w:type="dxa"/>
            <w:gridSpan w:val="7"/>
            <w:tcBorders/>
            <w:tcMar>
              <w:bottom w:w="0" w:type="dxa"/>
            </w:tcMar>
            <w:vAlign w:val="center"/>
          </w:tcPr>
          <w:p>
            <w:pPr>
              <w:pStyle w:val="TableContents"/>
              <w:bidi w:val="0"/>
              <w:spacing w:before="0" w:after="283"/>
              <w:jc w:val="left"/>
              <w:rPr>
                <w:color w:val="1F2668"/>
                <w:sz w:val="26"/>
              </w:rPr>
            </w:pPr>
            <w:r>
              <w:rPr>
                <w:color w:val="1F2668"/>
                <w:spacing w:val="3"/>
                <w:sz w:val="26"/>
              </w:rPr>
              <w:t>Election of Directors</w:t>
            </w:r>
            <w:r>
              <w:rPr>
                <w:color w:val="1F2668"/>
                <w:sz w:val="26"/>
              </w:rPr>
              <w:t xml:space="preserve"> </w:t>
            </w:r>
          </w:p>
          <w:p>
            <w:pPr>
              <w:pStyle w:val="TableContents"/>
              <w:bidi w:val="0"/>
              <w:spacing w:lineRule="atLeast" w:line="220" w:before="160" w:after="0"/>
              <w:ind w:left="180" w:right="0" w:hanging="0"/>
              <w:jc w:val="left"/>
              <w:rPr>
                <w:spacing w:val="-2"/>
              </w:rPr>
            </w:pPr>
            <w:r>
              <w:rPr>
                <w:spacing w:val="-2"/>
              </w:rPr>
              <w:t xml:space="preserve">The Board, upon the recommendation of the Nominating and Corporate Governance Committee, has nominated seven directors for re-election to serve until the 2025 annual meeting of stockholders and until their successors are duly elected and qualify. </w:t>
            </w:r>
            <w:r>
              <mc:AlternateContent>
                <mc:Choice Requires="wps">
                  <w:drawing>
                    <wp:anchor behindDoc="0" distT="101600" distB="0" distL="0" distR="0" simplePos="0" locked="0" layoutInCell="1" allowOverlap="1" relativeHeight="412">
                      <wp:simplePos x="0" y="0"/>
                      <wp:positionH relativeFrom="column">
                        <wp:align>left</wp:align>
                      </wp:positionH>
                      <wp:positionV relativeFrom="line">
                        <wp:align>top</wp:align>
                      </wp:positionV>
                      <wp:extent cx="1143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vMerge w:val="restart"/>
            <w:tcBorders>
              <w:bottom w:val="single" w:sz="6" w:space="0" w:color="83AD40"/>
            </w:tcBorders>
            <w:vAlign w:val="center"/>
          </w:tcPr>
          <w:p>
            <w:pPr>
              <w:pStyle w:val="TableContents"/>
              <w:bidi w:val="0"/>
              <w:spacing w:before="0" w:after="283"/>
              <w:jc w:val="left"/>
              <w:rPr/>
            </w:pPr>
            <w:r>
              <w:rPr/>
              <w:t>​</w:t>
            </w:r>
          </w:p>
        </w:tc>
        <w:tc>
          <w:tcPr>
            <w:tcW w:w="1482" w:type="dxa"/>
            <w:vMerge w:val="restart"/>
            <w:tcBorders>
              <w:bottom w:val="single" w:sz="6" w:space="0" w:color="83AD40"/>
            </w:tcBorders>
            <w:tcMar>
              <w:bottom w:w="200" w:type="dxa"/>
            </w:tcMar>
            <w:vAlign w:val="center"/>
          </w:tcPr>
          <w:p>
            <w:pPr>
              <w:pStyle w:val="TableContents"/>
              <w:bidi w:val="0"/>
              <w:spacing w:before="0" w:after="0"/>
              <w:jc w:val="left"/>
              <w:rPr/>
            </w:pPr>
            <w:r>
              <w:rPr/>
              <w:drawing>
                <wp:inline distT="0" distB="0" distL="0" distR="0">
                  <wp:extent cx="457200" cy="457200"/>
                  <wp:effectExtent l="0" t="0" r="0" b="0"/>
                  <wp:docPr id="8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 descr=""/>
                          <pic:cNvPicPr>
                            <a:picLocks noChangeAspect="1" noChangeArrowheads="1"/>
                          </pic:cNvPicPr>
                        </pic:nvPicPr>
                        <pic:blipFill>
                          <a:blip r:embed="rId5"/>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rPr>
            </w:pPr>
            <w:r>
              <w:rPr>
                <w:b/>
              </w:rPr>
              <w:t xml:space="preserve">The Board </w:t>
              <w:br/>
              <w:t xml:space="preserve">recommends a vote </w:t>
            </w:r>
          </w:p>
          <w:p>
            <w:pPr>
              <w:pStyle w:val="TableContents"/>
              <w:bidi w:val="0"/>
              <w:spacing w:lineRule="atLeast" w:line="180" w:before="40" w:after="283"/>
              <w:jc w:val="left"/>
              <w:rPr>
                <w:b/>
                <w:color w:val="1F2668"/>
                <w:sz w:val="16"/>
              </w:rPr>
            </w:pPr>
            <w:r>
              <w:rPr>
                <w:b/>
                <w:color w:val="1F2668"/>
                <w:sz w:val="24"/>
              </w:rPr>
              <w:t>FOR</w:t>
            </w:r>
            <w:r>
              <w:rPr>
                <w:b/>
                <w:color w:val="000000"/>
                <w:sz w:val="16"/>
              </w:rPr>
              <w:t xml:space="preserve"> </w:t>
            </w:r>
            <w:r>
              <w:rPr>
                <w:b/>
                <w:color w:val="000000"/>
                <w:sz w:val="18"/>
              </w:rPr>
              <w:t>each Nominee.</w:t>
            </w:r>
            <w:r>
              <w:rPr>
                <w:b/>
                <w:color w:val="1F2668"/>
                <w:sz w:val="16"/>
              </w:rPr>
              <w:t xml:space="preserve"> </w:t>
              <w:br/>
              <w:t>SEE PAGE 11</w:t>
            </w:r>
            <w:r>
              <w:rPr>
                <w:b/>
                <w:color w:val="000000"/>
                <w:spacing w:val="-2"/>
                <w:sz w:val="16"/>
              </w:rPr>
              <w:t>   </w:t>
            </w:r>
            <w:r>
              <w:rPr>
                <w:b/>
                <w:color w:val="1F2668"/>
                <w:sz w:val="16"/>
              </w:rPr>
              <w:drawing>
                <wp:inline distT="0" distB="0" distL="0" distR="0">
                  <wp:extent cx="66675" cy="76200"/>
                  <wp:effectExtent l="0" t="0" r="0" b="0"/>
                  <wp:docPr id="8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 descr=""/>
                          <pic:cNvPicPr>
                            <a:picLocks noChangeAspect="1" noChangeArrowheads="1"/>
                          </pic:cNvPicPr>
                        </pic:nvPicPr>
                        <pic:blipFill>
                          <a:blip r:embed="rId6"/>
                          <a:stretch>
                            <a:fillRect/>
                          </a:stretch>
                        </pic:blipFill>
                        <pic:spPr bwMode="auto">
                          <a:xfrm>
                            <a:off x="0" y="0"/>
                            <a:ext cx="66675" cy="76200"/>
                          </a:xfrm>
                          <a:prstGeom prst="rect">
                            <a:avLst/>
                          </a:prstGeom>
                        </pic:spPr>
                      </pic:pic>
                    </a:graphicData>
                  </a:graphic>
                </wp:inline>
              </w:drawing>
            </w:r>
          </w:p>
        </w:tc>
        <w:tc>
          <w:tcPr>
            <w:tcW w:w="156" w:type="dxa"/>
            <w:vMerge w:val="restart"/>
            <w:tcBorders>
              <w:bottom w:val="single" w:sz="6" w:space="0" w:color="83AD40"/>
            </w:tcBorders>
            <w:vAlign w:val="center"/>
          </w:tcPr>
          <w:p>
            <w:pPr>
              <w:pStyle w:val="TableContents"/>
              <w:bidi w:val="0"/>
              <w:spacing w:before="0" w:after="283"/>
              <w:jc w:val="left"/>
              <w:rPr/>
            </w:pPr>
            <w:r>
              <w:rPr/>
              <w:t>​</w:t>
            </w:r>
          </w:p>
        </w:tc>
      </w:tr>
      <w:tr>
        <w:trPr/>
        <w:tc>
          <w:tcPr>
            <w:tcW w:w="124" w:type="dxa"/>
            <w:vMerge w:val="continue"/>
            <w:tcBorders>
              <w:bottom w:val="single" w:sz="6" w:space="0" w:color="83AD40"/>
            </w:tcBorders>
            <w:vAlign w:val="center"/>
          </w:tcPr>
          <w:p>
            <w:pPr>
              <w:pStyle w:val="Normal"/>
              <w:bidi w:val="0"/>
              <w:jc w:val="left"/>
              <w:rPr/>
            </w:pPr>
            <w:r>
              <w:rPr/>
            </w:r>
          </w:p>
        </w:tc>
        <w:tc>
          <w:tcPr>
            <w:tcW w:w="453" w:type="dxa"/>
            <w:vMerge w:val="continue"/>
            <w:tcBorders>
              <w:bottom w:val="single" w:sz="6" w:space="0" w:color="83AD40"/>
            </w:tcBorders>
            <w:vAlign w:val="center"/>
          </w:tcPr>
          <w:p>
            <w:pPr>
              <w:pStyle w:val="Normal"/>
              <w:bidi w:val="0"/>
              <w:jc w:val="left"/>
              <w:rPr/>
            </w:pPr>
            <w:r>
              <w:rPr/>
            </w:r>
          </w:p>
        </w:tc>
        <w:tc>
          <w:tcPr>
            <w:tcW w:w="109" w:type="dxa"/>
            <w:vMerge w:val="continue"/>
            <w:tcBorders>
              <w:bottom w:val="single" w:sz="6" w:space="0" w:color="83AD4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045" w:type="dxa"/>
            <w:tcBorders/>
            <w:tcMar>
              <w:bottom w:w="0" w:type="dxa"/>
            </w:tcMar>
            <w:vAlign w:val="center"/>
          </w:tcPr>
          <w:p>
            <w:pPr>
              <w:pStyle w:val="TableContents"/>
              <w:bidi w:val="0"/>
              <w:spacing w:before="0" w:after="0"/>
              <w:ind w:left="180" w:right="0" w:hanging="0"/>
              <w:jc w:val="left"/>
              <w:rPr/>
            </w:pPr>
            <w:r>
              <w:rPr>
                <w:spacing w:val="2"/>
              </w:rPr>
              <w:t>John H. Alschuler</w:t>
            </w:r>
            <w:r>
              <w:rPr/>
              <w:t xml:space="preserve"> </w:t>
            </w:r>
          </w:p>
          <w:p>
            <w:pPr>
              <w:pStyle w:val="TableContents"/>
              <w:bidi w:val="0"/>
              <w:spacing w:before="60" w:after="283"/>
              <w:ind w:left="180" w:right="0" w:hanging="0"/>
              <w:jc w:val="left"/>
              <w:rPr/>
            </w:pPr>
            <w:r>
              <w:rPr>
                <w:spacing w:val="2"/>
              </w:rPr>
              <w:t>Carol N. Brown</w:t>
            </w:r>
            <w:r>
              <w:rPr/>
              <w:t xml:space="preserve"> </w:t>
            </w:r>
          </w:p>
          <w:p>
            <w:pPr>
              <w:pStyle w:val="TableContents"/>
              <w:bidi w:val="0"/>
              <w:spacing w:before="60" w:after="283"/>
              <w:ind w:left="180" w:right="0" w:hanging="0"/>
              <w:jc w:val="left"/>
              <w:rPr/>
            </w:pPr>
            <w:r>
              <w:rPr>
                <w:spacing w:val="2"/>
              </w:rPr>
              <w:t>Lauren B. Dillard</w:t>
            </w:r>
            <w:r>
              <w:rPr/>
              <w:t xml:space="preserve"> </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881" w:type="dxa"/>
            <w:tcBorders/>
            <w:tcMar>
              <w:bottom w:w="0" w:type="dxa"/>
            </w:tcMar>
            <w:vAlign w:val="center"/>
          </w:tcPr>
          <w:p>
            <w:pPr>
              <w:pStyle w:val="TableContents"/>
              <w:bidi w:val="0"/>
              <w:spacing w:before="0" w:after="0"/>
              <w:jc w:val="left"/>
              <w:rPr/>
            </w:pPr>
            <w:r>
              <w:rPr>
                <w:spacing w:val="2"/>
              </w:rPr>
              <w:t>Stephen L. Green</w:t>
            </w:r>
            <w:r>
              <w:rPr/>
              <w:t xml:space="preserve"> </w:t>
            </w:r>
          </w:p>
          <w:p>
            <w:pPr>
              <w:pStyle w:val="TableContents"/>
              <w:bidi w:val="0"/>
              <w:spacing w:before="60" w:after="283"/>
              <w:jc w:val="left"/>
              <w:rPr/>
            </w:pPr>
            <w:r>
              <w:rPr>
                <w:spacing w:val="2"/>
              </w:rPr>
              <w:t>Craig M. Hatkoff</w:t>
            </w:r>
            <w:r>
              <w:rPr/>
              <w:t xml:space="preserve"> </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2088" w:type="dxa"/>
            <w:tcBorders/>
            <w:tcMar>
              <w:bottom w:w="0" w:type="dxa"/>
            </w:tcMar>
            <w:vAlign w:val="center"/>
          </w:tcPr>
          <w:p>
            <w:pPr>
              <w:pStyle w:val="TableContents"/>
              <w:bidi w:val="0"/>
              <w:spacing w:before="0" w:after="0"/>
              <w:jc w:val="left"/>
              <w:rPr/>
            </w:pPr>
            <w:r>
              <w:rPr>
                <w:spacing w:val="2"/>
              </w:rPr>
              <w:t>Marc Holliday</w:t>
            </w:r>
            <w:r>
              <w:rPr/>
              <w:t xml:space="preserve"> </w:t>
            </w:r>
          </w:p>
          <w:p>
            <w:pPr>
              <w:pStyle w:val="TableContents"/>
              <w:bidi w:val="0"/>
              <w:spacing w:before="60" w:after="283"/>
              <w:jc w:val="left"/>
              <w:rPr/>
            </w:pPr>
            <w:r>
              <w:rPr>
                <w:spacing w:val="2"/>
              </w:rPr>
              <w:t>Andrew W. Mathias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6" w:space="0" w:color="83AD40"/>
            </w:tcBorders>
            <w:vAlign w:val="center"/>
          </w:tcPr>
          <w:p>
            <w:pPr>
              <w:pStyle w:val="Normal"/>
              <w:bidi w:val="0"/>
              <w:jc w:val="left"/>
              <w:rPr/>
            </w:pPr>
            <w:r>
              <w:rPr/>
            </w:r>
          </w:p>
        </w:tc>
        <w:tc>
          <w:tcPr>
            <w:tcW w:w="1482" w:type="dxa"/>
            <w:vMerge w:val="continue"/>
            <w:tcBorders>
              <w:bottom w:val="single" w:sz="6" w:space="0" w:color="83AD40"/>
            </w:tcBorders>
            <w:tcMar>
              <w:bottom w:w="200" w:type="dxa"/>
            </w:tcMar>
            <w:vAlign w:val="center"/>
          </w:tcPr>
          <w:p>
            <w:pPr>
              <w:pStyle w:val="Normal"/>
              <w:bidi w:val="0"/>
              <w:jc w:val="left"/>
              <w:rPr/>
            </w:pPr>
            <w:r>
              <w:rPr/>
            </w:r>
          </w:p>
        </w:tc>
        <w:tc>
          <w:tcPr>
            <w:tcW w:w="156" w:type="dxa"/>
            <w:vMerge w:val="continue"/>
            <w:tcBorders>
              <w:bottom w:val="single" w:sz="6" w:space="0" w:color="83AD40"/>
            </w:tcBorders>
            <w:vAlign w:val="center"/>
          </w:tcPr>
          <w:p>
            <w:pPr>
              <w:pStyle w:val="Normal"/>
              <w:bidi w:val="0"/>
              <w:jc w:val="left"/>
              <w:rPr/>
            </w:pPr>
            <w:r>
              <w:rPr/>
            </w:r>
          </w:p>
        </w:tc>
      </w:tr>
      <w:tr>
        <w:trPr/>
        <w:tc>
          <w:tcPr>
            <w:tcW w:w="124" w:type="dxa"/>
            <w:vMerge w:val="continue"/>
            <w:tcBorders>
              <w:bottom w:val="single" w:sz="6" w:space="0" w:color="83AD40"/>
            </w:tcBorders>
            <w:vAlign w:val="center"/>
          </w:tcPr>
          <w:p>
            <w:pPr>
              <w:pStyle w:val="Normal"/>
              <w:bidi w:val="0"/>
              <w:jc w:val="left"/>
              <w:rPr/>
            </w:pPr>
            <w:r>
              <w:rPr/>
            </w:r>
          </w:p>
        </w:tc>
        <w:tc>
          <w:tcPr>
            <w:tcW w:w="453" w:type="dxa"/>
            <w:vMerge w:val="continue"/>
            <w:tcBorders>
              <w:bottom w:val="single" w:sz="6" w:space="0" w:color="83AD40"/>
            </w:tcBorders>
            <w:vAlign w:val="center"/>
          </w:tcPr>
          <w:p>
            <w:pPr>
              <w:pStyle w:val="Normal"/>
              <w:bidi w:val="0"/>
              <w:jc w:val="left"/>
              <w:rPr/>
            </w:pPr>
            <w:r>
              <w:rPr/>
            </w:r>
          </w:p>
        </w:tc>
        <w:tc>
          <w:tcPr>
            <w:tcW w:w="109" w:type="dxa"/>
            <w:vMerge w:val="continue"/>
            <w:tcBorders>
              <w:bottom w:val="single" w:sz="6" w:space="0" w:color="83AD40"/>
            </w:tcBorders>
            <w:vAlign w:val="center"/>
          </w:tcPr>
          <w:p>
            <w:pPr>
              <w:pStyle w:val="Normal"/>
              <w:bidi w:val="0"/>
              <w:jc w:val="left"/>
              <w:rPr/>
            </w:pPr>
            <w:r>
              <w:rPr/>
            </w:r>
          </w:p>
        </w:tc>
        <w:tc>
          <w:tcPr>
            <w:tcW w:w="109" w:type="dxa"/>
            <w:tcBorders>
              <w:bottom w:val="single" w:sz="6" w:space="0" w:color="83AD40"/>
            </w:tcBorders>
            <w:vAlign w:val="center"/>
          </w:tcPr>
          <w:p>
            <w:pPr>
              <w:pStyle w:val="TableContents"/>
              <w:bidi w:val="0"/>
              <w:spacing w:before="0" w:after="283"/>
              <w:jc w:val="left"/>
              <w:rPr/>
            </w:pPr>
            <w:r>
              <w:rPr/>
              <w:t>​</w:t>
            </w:r>
          </w:p>
        </w:tc>
        <w:tc>
          <w:tcPr>
            <w:tcW w:w="6654" w:type="dxa"/>
            <w:gridSpan w:val="7"/>
            <w:tcBorders>
              <w:bottom w:val="single" w:sz="6" w:space="0" w:color="83AD40"/>
            </w:tcBorders>
            <w:tcMar>
              <w:bottom w:w="200" w:type="dxa"/>
            </w:tcMar>
            <w:vAlign w:val="center"/>
          </w:tcPr>
          <w:p>
            <w:pPr>
              <w:pStyle w:val="TableContents"/>
              <w:bidi w:val="0"/>
              <w:spacing w:lineRule="atLeast" w:line="220" w:before="0" w:after="0"/>
              <w:ind w:left="180" w:right="0" w:hanging="0"/>
              <w:jc w:val="left"/>
              <w:rPr/>
            </w:pPr>
            <w:r>
              <w:rPr>
                <w:spacing w:val="-2"/>
              </w:rPr>
              <w:t>Our nominees represent a Board that has a diversity of knowledge, skills, experience and perspectives, as well as diversity of age and gender.</w:t>
            </w:r>
            <w:r>
              <w:rPr/>
              <w:t xml:space="preserve"> </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114300" cy="350520"/>
                      <wp:effectExtent l="0" t="0" r="0" b="0"/>
                      <wp:wrapSquare wrapText="right"/>
                      <wp:docPr id="84" name="Frame7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Each nominee has key skills that we believe are valuable to the effective oversight of the Company and the execution of our strategy. </w:t>
            </w:r>
            <w:r>
              <mc:AlternateContent>
                <mc:Choice Requires="wps">
                  <w:drawing>
                    <wp:anchor behindDoc="0" distT="101600" distB="0" distL="0" distR="0" simplePos="0" locked="0" layoutInCell="1" allowOverlap="1" relativeHeight="414">
                      <wp:simplePos x="0" y="0"/>
                      <wp:positionH relativeFrom="column">
                        <wp:align>left</wp:align>
                      </wp:positionH>
                      <wp:positionV relativeFrom="line">
                        <wp:align>top</wp:align>
                      </wp:positionV>
                      <wp:extent cx="1143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vMerge w:val="continue"/>
            <w:tcBorders>
              <w:bottom w:val="single" w:sz="6" w:space="0" w:color="83AD40"/>
            </w:tcBorders>
            <w:vAlign w:val="center"/>
          </w:tcPr>
          <w:p>
            <w:pPr>
              <w:pStyle w:val="Normal"/>
              <w:bidi w:val="0"/>
              <w:jc w:val="left"/>
              <w:rPr/>
            </w:pPr>
            <w:r>
              <w:rPr/>
            </w:r>
          </w:p>
        </w:tc>
        <w:tc>
          <w:tcPr>
            <w:tcW w:w="1482" w:type="dxa"/>
            <w:vMerge w:val="continue"/>
            <w:tcBorders>
              <w:bottom w:val="single" w:sz="6" w:space="0" w:color="83AD40"/>
            </w:tcBorders>
            <w:tcMar>
              <w:bottom w:w="200" w:type="dxa"/>
            </w:tcMar>
            <w:vAlign w:val="center"/>
          </w:tcPr>
          <w:p>
            <w:pPr>
              <w:pStyle w:val="Normal"/>
              <w:bidi w:val="0"/>
              <w:jc w:val="left"/>
              <w:rPr/>
            </w:pPr>
            <w:r>
              <w:rPr/>
            </w:r>
          </w:p>
        </w:tc>
        <w:tc>
          <w:tcPr>
            <w:tcW w:w="156" w:type="dxa"/>
            <w:vMerge w:val="continue"/>
            <w:tcBorders>
              <w:bottom w:val="single" w:sz="6" w:space="0" w:color="83AD40"/>
            </w:tcBorders>
            <w:vAlign w:val="center"/>
          </w:tcPr>
          <w:p>
            <w:pPr>
              <w:pStyle w:val="Normal"/>
              <w:bidi w:val="0"/>
              <w:jc w:val="left"/>
              <w:rPr/>
            </w:pPr>
            <w:r>
              <w:rPr/>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453" w:type="dxa"/>
            <w:tcBorders>
              <w:bottom w:val="single" w:sz="6" w:space="0" w:color="83AD40"/>
            </w:tcBorders>
            <w:vAlign w:val="center"/>
          </w:tcPr>
          <w:p>
            <w:pPr>
              <w:pStyle w:val="TableContents"/>
              <w:bidi w:val="0"/>
              <w:spacing w:before="0" w:after="0"/>
              <w:jc w:val="center"/>
              <w:rPr/>
            </w:pPr>
            <w:r>
              <w:rPr/>
              <w:drawing>
                <wp:inline distT="0" distB="0" distL="0" distR="0">
                  <wp:extent cx="228600" cy="238125"/>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7"/>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6654" w:type="dxa"/>
            <w:gridSpan w:val="7"/>
            <w:tcBorders>
              <w:bottom w:val="single" w:sz="6" w:space="0" w:color="83AD40"/>
            </w:tcBorders>
            <w:tcMar>
              <w:bottom w:w="162" w:type="dxa"/>
            </w:tcMar>
            <w:vAlign w:val="center"/>
          </w:tcPr>
          <w:p>
            <w:pPr>
              <w:pStyle w:val="TableContents"/>
              <w:bidi w:val="0"/>
              <w:spacing w:lineRule="atLeast" w:line="260" w:before="0" w:after="283"/>
              <w:jc w:val="left"/>
              <w:rPr>
                <w:color w:val="1F2668"/>
                <w:sz w:val="26"/>
              </w:rPr>
            </w:pPr>
            <w:r>
              <w:rPr>
                <w:color w:val="1F2668"/>
                <w:spacing w:val="3"/>
                <w:sz w:val="26"/>
              </w:rPr>
              <w:t>Advisory Approval of Executive Compensation</w:t>
            </w:r>
            <w:r>
              <w:rPr>
                <w:color w:val="1F2668"/>
                <w:sz w:val="26"/>
              </w:rPr>
              <w:t xml:space="preserve"> </w:t>
            </w:r>
          </w:p>
          <w:p>
            <w:pPr>
              <w:pStyle w:val="TableContents"/>
              <w:bidi w:val="0"/>
              <w:spacing w:lineRule="atLeast" w:line="220" w:before="160" w:after="0"/>
              <w:ind w:left="180" w:right="0" w:hanging="0"/>
              <w:jc w:val="left"/>
              <w:rPr/>
            </w:pPr>
            <w:r>
              <w:rPr>
                <w:spacing w:val="-2"/>
              </w:rPr>
              <w:t>At the heart of our executive compensation philosophy is a commitment to variable, incentive-based pay that strives to align stockholder value with the economic interests of our management team.</w:t>
            </w:r>
            <w:r>
              <w:rPr/>
              <w:t xml:space="preserve"> </w:t>
            </w:r>
            <w:r>
              <mc:AlternateContent>
                <mc:Choice Requires="wps">
                  <w:drawing>
                    <wp:anchor behindDoc="0" distT="101600" distB="0" distL="0" distR="0" simplePos="0" locked="0" layoutInCell="1" allowOverlap="1" relativeHeight="415">
                      <wp:simplePos x="0" y="0"/>
                      <wp:positionH relativeFrom="column">
                        <wp:align>left</wp:align>
                      </wp:positionH>
                      <wp:positionV relativeFrom="line">
                        <wp:align>top</wp:align>
                      </wp:positionV>
                      <wp:extent cx="114300" cy="350520"/>
                      <wp:effectExtent l="0" t="0" r="0" b="0"/>
                      <wp:wrapSquare wrapText="right"/>
                      <wp:docPr id="87" name="Frame8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w:t>
            </w:r>
            <w:r>
              <mc:AlternateContent>
                <mc:Choice Requires="wps">
                  <w:drawing>
                    <wp:anchor behindDoc="0" distT="101600" distB="0" distL="0" distR="0" simplePos="0" locked="0" layoutInCell="1" allowOverlap="1" relativeHeight="416">
                      <wp:simplePos x="0" y="0"/>
                      <wp:positionH relativeFrom="column">
                        <wp:align>left</wp:align>
                      </wp:positionH>
                      <wp:positionV relativeFrom="line">
                        <wp:align>top</wp:align>
                      </wp:positionV>
                      <wp:extent cx="114300" cy="350520"/>
                      <wp:effectExtent l="0" t="0" r="0" b="0"/>
                      <wp:wrapSquare wrapText="right"/>
                      <wp:docPr id="88" name="Frame8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482" w:type="dxa"/>
            <w:tcBorders>
              <w:bottom w:val="single" w:sz="6" w:space="0" w:color="83AD40"/>
            </w:tcBorders>
            <w:tcMar>
              <w:bottom w:w="162" w:type="dxa"/>
            </w:tcMar>
            <w:vAlign w:val="center"/>
          </w:tcPr>
          <w:p>
            <w:pPr>
              <w:pStyle w:val="TableContents"/>
              <w:bidi w:val="0"/>
              <w:spacing w:before="0" w:after="0"/>
              <w:jc w:val="left"/>
              <w:rPr/>
            </w:pPr>
            <w:r>
              <w:rPr/>
              <w:drawing>
                <wp:inline distT="0" distB="0" distL="0" distR="0">
                  <wp:extent cx="457200" cy="457200"/>
                  <wp:effectExtent l="0" t="0" r="0" b="0"/>
                  <wp:docPr id="8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rPr>
            </w:pPr>
            <w:r>
              <w:rPr>
                <w:b/>
              </w:rPr>
              <w:t>The Board</w:t>
              <w:br/>
              <w:t>recommends a vote</w:t>
            </w:r>
          </w:p>
          <w:p>
            <w:pPr>
              <w:pStyle w:val="TableContents"/>
              <w:bidi w:val="0"/>
              <w:spacing w:lineRule="atLeast" w:line="180" w:before="40" w:after="283"/>
              <w:jc w:val="left"/>
              <w:rPr>
                <w:b/>
                <w:color w:val="1F2668"/>
                <w:sz w:val="16"/>
              </w:rPr>
            </w:pPr>
            <w:r>
              <w:rPr>
                <w:b/>
                <w:color w:val="1F2668"/>
                <w:sz w:val="24"/>
              </w:rPr>
              <w:t>FOR</w:t>
            </w:r>
            <w:r>
              <w:rPr>
                <w:b/>
                <w:color w:val="000000"/>
                <w:sz w:val="16"/>
              </w:rPr>
              <w:t xml:space="preserve"> </w:t>
            </w:r>
            <w:r>
              <w:rPr>
                <w:b/>
                <w:color w:val="000000"/>
                <w:sz w:val="18"/>
              </w:rPr>
              <w:t>this proposal.</w:t>
            </w:r>
            <w:r>
              <w:rPr>
                <w:b/>
                <w:color w:val="1F2668"/>
                <w:sz w:val="16"/>
              </w:rPr>
              <w:t xml:space="preserve"> </w:t>
              <w:br/>
              <w:t>SEE PAGE 41</w:t>
            </w:r>
            <w:r>
              <w:rPr>
                <w:b/>
                <w:color w:val="000000"/>
                <w:spacing w:val="-2"/>
                <w:sz w:val="16"/>
              </w:rPr>
              <w:t>   </w:t>
            </w:r>
            <w:r>
              <w:rPr>
                <w:b/>
                <w:color w:val="1F2668"/>
                <w:sz w:val="16"/>
              </w:rPr>
              <w:drawing>
                <wp:inline distT="0" distB="0" distL="0" distR="0">
                  <wp:extent cx="66675" cy="76200"/>
                  <wp:effectExtent l="0" t="0" r="0" b="0"/>
                  <wp:docPr id="9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 descr=""/>
                          <pic:cNvPicPr>
                            <a:picLocks noChangeAspect="1" noChangeArrowheads="1"/>
                          </pic:cNvPicPr>
                        </pic:nvPicPr>
                        <pic:blipFill>
                          <a:blip r:embed="rId9"/>
                          <a:stretch>
                            <a:fillRect/>
                          </a:stretch>
                        </pic:blipFill>
                        <pic:spPr bwMode="auto">
                          <a:xfrm>
                            <a:off x="0" y="0"/>
                            <a:ext cx="66675" cy="76200"/>
                          </a:xfrm>
                          <a:prstGeom prst="rect">
                            <a:avLst/>
                          </a:prstGeom>
                        </pic:spPr>
                      </pic:pic>
                    </a:graphicData>
                  </a:graphic>
                </wp:inline>
              </w:drawing>
            </w:r>
          </w:p>
        </w:tc>
        <w:tc>
          <w:tcPr>
            <w:tcW w:w="156" w:type="dxa"/>
            <w:tcBorders>
              <w:bottom w:val="single" w:sz="6"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53" w:type="dxa"/>
            <w:tcBorders/>
            <w:tcMar>
              <w:bottom w:w="0" w:type="dxa"/>
            </w:tcMar>
            <w:vAlign w:val="center"/>
          </w:tcPr>
          <w:p>
            <w:pPr>
              <w:pStyle w:val="TableContents"/>
              <w:bidi w:val="0"/>
              <w:spacing w:before="0" w:after="0"/>
              <w:jc w:val="left"/>
              <w:rPr/>
            </w:pPr>
            <w:r>
              <w:rPr/>
              <w:drawing>
                <wp:inline distT="0" distB="0" distL="0" distR="0">
                  <wp:extent cx="228600" cy="238125"/>
                  <wp:effectExtent l="0" t="0" r="0" b="0"/>
                  <wp:docPr id="9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 descr=""/>
                          <pic:cNvPicPr>
                            <a:picLocks noChangeAspect="1" noChangeArrowheads="1"/>
                          </pic:cNvPicPr>
                        </pic:nvPicPr>
                        <pic:blipFill>
                          <a:blip r:embed="rId10"/>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54" w:type="dxa"/>
            <w:gridSpan w:val="7"/>
            <w:tcBorders/>
            <w:tcMar>
              <w:bottom w:w="0" w:type="dxa"/>
            </w:tcMar>
            <w:vAlign w:val="center"/>
          </w:tcPr>
          <w:p>
            <w:pPr>
              <w:pStyle w:val="TableContents"/>
              <w:bidi w:val="0"/>
              <w:spacing w:lineRule="atLeast" w:line="300" w:before="0" w:after="0"/>
              <w:jc w:val="left"/>
              <w:rPr>
                <w:color w:val="1F2668"/>
                <w:sz w:val="26"/>
              </w:rPr>
            </w:pPr>
            <w:r>
              <w:rPr>
                <w:color w:val="1F2668"/>
                <w:spacing w:val="3"/>
                <w:sz w:val="26"/>
              </w:rPr>
              <w:t>Ratification of Independent Registered Public Accounting Firm</w:t>
            </w:r>
            <w:r>
              <w:rPr>
                <w:color w:val="1F2668"/>
                <w:sz w:val="26"/>
              </w:rPr>
              <w:t xml:space="preserve"> </w:t>
            </w:r>
          </w:p>
          <w:p>
            <w:pPr>
              <w:pStyle w:val="TableContents"/>
              <w:bidi w:val="0"/>
              <w:spacing w:lineRule="atLeast" w:line="220" w:before="160" w:after="0"/>
              <w:ind w:left="180" w:right="0" w:hanging="0"/>
              <w:jc w:val="left"/>
              <w:rPr/>
            </w:pPr>
            <w:r>
              <w:rPr>
                <w:spacing w:val="-2"/>
              </w:rPr>
              <w:t>The Audit Committee of the Board has appointed the accounting firm of Deloitte &amp; Touche LLP to serve as our independent registered public accounting firm for the fiscal year ending December 31, 2024.</w:t>
            </w:r>
            <w:r>
              <w:rPr/>
              <w:t xml:space="preserve"> </w:t>
            </w:r>
            <w:r>
              <mc:AlternateContent>
                <mc:Choice Requires="wps">
                  <w:drawing>
                    <wp:anchor behindDoc="0" distT="101600" distB="0" distL="0" distR="0" simplePos="0" locked="0" layoutInCell="1" allowOverlap="1" relativeHeight="417">
                      <wp:simplePos x="0" y="0"/>
                      <wp:positionH relativeFrom="column">
                        <wp:align>left</wp:align>
                      </wp:positionH>
                      <wp:positionV relativeFrom="line">
                        <wp:align>top</wp:align>
                      </wp:positionV>
                      <wp:extent cx="114300" cy="350520"/>
                      <wp:effectExtent l="0" t="0" r="0" b="0"/>
                      <wp:wrapSquare wrapText="right"/>
                      <wp:docPr id="92" name="Frame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0"/>
              <w:ind w:left="180" w:right="0" w:hanging="0"/>
              <w:jc w:val="left"/>
              <w:rPr>
                <w:spacing w:val="-2"/>
              </w:rPr>
            </w:pPr>
            <w:r>
              <w:rPr>
                <w:spacing w:val="-2"/>
              </w:rPr>
              <w:t xml:space="preserve">The Audit Committee and the Board believe that the appointment of Deloitte &amp; Touche LLP is in the best interest of the Company and its stockholders. </w:t>
            </w:r>
            <w:r>
              <mc:AlternateContent>
                <mc:Choice Requires="wps">
                  <w:drawing>
                    <wp:anchor behindDoc="0" distT="101600" distB="0" distL="0" distR="0" simplePos="0" locked="0" layoutInCell="1" allowOverlap="1" relativeHeight="418">
                      <wp:simplePos x="0" y="0"/>
                      <wp:positionH relativeFrom="column">
                        <wp:align>left</wp:align>
                      </wp:positionH>
                      <wp:positionV relativeFrom="line">
                        <wp:align>top</wp:align>
                      </wp:positionV>
                      <wp:extent cx="114300" cy="350520"/>
                      <wp:effectExtent l="0" t="0" r="0" b="0"/>
                      <wp:wrapSquare wrapText="right"/>
                      <wp:docPr id="93" name="Frame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2" w:type="dxa"/>
            <w:tcBorders/>
            <w:tcMar>
              <w:bottom w:w="0" w:type="dxa"/>
            </w:tcMar>
            <w:vAlign w:val="center"/>
          </w:tcPr>
          <w:p>
            <w:pPr>
              <w:pStyle w:val="TableContents"/>
              <w:bidi w:val="0"/>
              <w:spacing w:before="0" w:after="0"/>
              <w:jc w:val="left"/>
              <w:rPr/>
            </w:pPr>
            <w:r>
              <w:rPr/>
              <w:drawing>
                <wp:inline distT="0" distB="0" distL="0" distR="0">
                  <wp:extent cx="457200" cy="457200"/>
                  <wp:effectExtent l="0" t="0" r="0" b="0"/>
                  <wp:docPr id="9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0"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r>
              <w:rPr/>
              <w:t xml:space="preserve"> </w:t>
            </w:r>
          </w:p>
          <w:p>
            <w:pPr>
              <w:pStyle w:val="TableContents"/>
              <w:bidi w:val="0"/>
              <w:spacing w:lineRule="atLeast" w:line="220" w:before="199" w:after="283"/>
              <w:jc w:val="left"/>
              <w:rPr>
                <w:b/>
              </w:rPr>
            </w:pPr>
            <w:r>
              <w:rPr>
                <w:b/>
              </w:rPr>
              <w:t>The Board</w:t>
              <w:br/>
              <w:t xml:space="preserve">recommends a vote </w:t>
            </w:r>
          </w:p>
          <w:p>
            <w:pPr>
              <w:pStyle w:val="TableContents"/>
              <w:bidi w:val="0"/>
              <w:spacing w:lineRule="atLeast" w:line="180" w:before="40" w:after="283"/>
              <w:jc w:val="left"/>
              <w:rPr>
                <w:b/>
                <w:color w:val="1F2668"/>
                <w:sz w:val="16"/>
              </w:rPr>
            </w:pPr>
            <w:r>
              <w:rPr>
                <w:b/>
                <w:color w:val="1F2668"/>
                <w:sz w:val="24"/>
              </w:rPr>
              <w:t>FOR</w:t>
            </w:r>
            <w:r>
              <w:rPr>
                <w:b/>
                <w:color w:val="000000"/>
                <w:sz w:val="16"/>
              </w:rPr>
              <w:t xml:space="preserve"> </w:t>
            </w:r>
            <w:r>
              <w:rPr>
                <w:b/>
                <w:color w:val="000000"/>
                <w:sz w:val="18"/>
              </w:rPr>
              <w:t>this proposal.</w:t>
            </w:r>
            <w:r>
              <w:rPr>
                <w:b/>
                <w:color w:val="1F2668"/>
                <w:sz w:val="16"/>
              </w:rPr>
              <w:t xml:space="preserve"> </w:t>
              <w:br/>
              <w:t>SEE PAGE 83</w:t>
            </w:r>
            <w:r>
              <w:rPr>
                <w:b/>
                <w:color w:val="000000"/>
                <w:spacing w:val="-2"/>
                <w:sz w:val="16"/>
              </w:rPr>
              <w:t>   </w:t>
            </w:r>
            <w:r>
              <w:rPr>
                <w:b/>
                <w:color w:val="1F2668"/>
                <w:sz w:val="16"/>
              </w:rPr>
              <w:drawing>
                <wp:inline distT="0" distB="0" distL="0" distR="0">
                  <wp:extent cx="66675" cy="76200"/>
                  <wp:effectExtent l="0" t="0" r="0" b="0"/>
                  <wp:docPr id="9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1" descr=""/>
                          <pic:cNvPicPr>
                            <a:picLocks noChangeAspect="1" noChangeArrowheads="1"/>
                          </pic:cNvPicPr>
                        </pic:nvPicPr>
                        <pic:blipFill>
                          <a:blip r:embed="rId12"/>
                          <a:stretch>
                            <a:fillRect/>
                          </a:stretch>
                        </pic:blipFill>
                        <pic:spPr bwMode="auto">
                          <a:xfrm>
                            <a:off x="0" y="0"/>
                            <a:ext cx="66675" cy="76200"/>
                          </a:xfrm>
                          <a:prstGeom prst="rect">
                            <a:avLst/>
                          </a:prstGeom>
                        </pic:spPr>
                      </pic:pic>
                    </a:graphicData>
                  </a:graphic>
                </wp:inline>
              </w:drawing>
            </w:r>
          </w:p>
        </w:tc>
        <w:tc>
          <w:tcPr>
            <w:tcW w:w="156"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893" w:type="dxa"/>
        <w:jc w:val="left"/>
        <w:tblInd w:w="900" w:type="dxa"/>
        <w:tblLayout w:type="fixed"/>
        <w:tblCellMar>
          <w:top w:w="0" w:type="dxa"/>
          <w:left w:w="0" w:type="dxa"/>
          <w:bottom w:w="0" w:type="dxa"/>
          <w:right w:w="0" w:type="dxa"/>
        </w:tblCellMar>
      </w:tblPr>
      <w:tblGrid>
        <w:gridCol w:w="124"/>
        <w:gridCol w:w="22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BUSINESS OVERVIEW AND HIGHLIGHTS</w:t>
      </w:r>
      <w:r>
        <w:rPr>
          <w:rFonts w:ascii="Arial;Helvetica;sans-serif" w:hAnsi="Arial;Helvetica;sans-serif"/>
          <w:b/>
          <w:i w:val="false"/>
          <w:caps w:val="false"/>
          <w:smallCaps w:val="false"/>
          <w:color w:val="000000"/>
          <w:spacing w:val="6"/>
          <w:sz w:val="32"/>
        </w:rPr>
        <w:t xml:space="preserve"> </w:t>
      </w:r>
    </w:p>
    <w:p>
      <w:pPr>
        <w:pStyle w:val="TextBody"/>
        <w:bidi w:val="0"/>
        <w:spacing w:before="0" w:after="784"/>
        <w:jc w:val="left"/>
        <w:rPr>
          <w:caps w:val="false"/>
          <w:smallCaps w:val="false"/>
          <w:color w:val="000000"/>
        </w:rPr>
      </w:pPr>
      <w:r>
        <w:rPr>
          <w:caps w:val="false"/>
          <w:smallCaps w:val="false"/>
          <w:color w:val="000000"/>
        </w:rPr>
        <w:t>​</w:t>
      </w:r>
      <w:r>
        <mc:AlternateContent>
          <mc:Choice Requires="wps">
            <w:drawing>
              <wp:anchor behindDoc="0" distT="0" distB="0" distL="469900" distR="0" simplePos="0" locked="0" layoutInCell="1" allowOverlap="1" relativeHeight="333">
                <wp:simplePos x="0" y="0"/>
                <wp:positionH relativeFrom="column">
                  <wp:align>left</wp:align>
                </wp:positionH>
                <wp:positionV relativeFrom="line">
                  <wp:posOffset>635</wp:posOffset>
                </wp:positionV>
                <wp:extent cx="2286000" cy="8670290"/>
                <wp:effectExtent l="0" t="0" r="0" b="0"/>
                <wp:wrapSquare wrapText="right"/>
                <wp:docPr id="96" name="Frame85"/>
                <a:graphic xmlns:a="http://schemas.openxmlformats.org/drawingml/2006/main">
                  <a:graphicData uri="http://schemas.microsoft.com/office/word/2010/wordprocessingShape">
                    <wps:wsp>
                      <wps:cNvSpPr txBox="1"/>
                      <wps:spPr>
                        <a:xfrm>
                          <a:off x="0" y="0"/>
                          <a:ext cx="2286000" cy="867029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993" w:type="dxa"/>
                              <w:jc w:val="left"/>
                              <w:tblInd w:w="0" w:type="dxa"/>
                              <w:tblLayout w:type="fixed"/>
                              <w:tblCellMar>
                                <w:top w:w="0" w:type="dxa"/>
                                <w:left w:w="0" w:type="dxa"/>
                                <w:bottom w:w="0" w:type="dxa"/>
                                <w:right w:w="0" w:type="dxa"/>
                              </w:tblCellMar>
                            </w:tblPr>
                            <w:tblGrid>
                              <w:gridCol w:w="124"/>
                              <w:gridCol w:w="3606"/>
                              <w:gridCol w:w="109"/>
                              <w:gridCol w:w="154"/>
                            </w:tblGrid>
                            <w:tr>
                              <w:trPr/>
                              <w:tc>
                                <w:tcPr>
                                  <w:tcW w:w="124" w:type="dxa"/>
                                  <w:tcBorders/>
                                  <w:vAlign w:val="center"/>
                                </w:tcPr>
                                <w:p>
                                  <w:pPr>
                                    <w:pStyle w:val="TableContents"/>
                                    <w:bidi w:val="0"/>
                                    <w:spacing w:before="0" w:after="283"/>
                                    <w:jc w:val="left"/>
                                    <w:rPr/>
                                  </w:pPr>
                                  <w:r>
                                    <w:rPr/>
                                    <w:t>​</w:t>
                                  </w:r>
                                </w:p>
                              </w:tc>
                              <w:tc>
                                <w:tcPr>
                                  <w:tcW w:w="3606" w:type="dxa"/>
                                  <w:tcBorders/>
                                  <w:vAlign w:val="center"/>
                                </w:tcPr>
                                <w:p>
                                  <w:pPr>
                                    <w:pStyle w:val="TableContents"/>
                                    <w:bidi w:val="0"/>
                                    <w:spacing w:before="0" w:after="0"/>
                                    <w:ind w:left="0" w:right="160" w:hanging="0"/>
                                    <w:jc w:val="left"/>
                                    <w:rPr/>
                                  </w:pPr>
                                  <w:r>
                                    <w:rPr/>
                                    <w:drawing>
                                      <wp:inline distT="0" distB="0" distL="0" distR="0">
                                        <wp:extent cx="2095500" cy="7696200"/>
                                        <wp:effectExtent l="0" t="0" r="0" b="0"/>
                                        <wp:docPr id="9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2" descr=""/>
                                                <pic:cNvPicPr>
                                                  <a:picLocks noChangeAspect="1" noChangeArrowheads="1"/>
                                                </pic:cNvPicPr>
                                              </pic:nvPicPr>
                                              <pic:blipFill>
                                                <a:blip r:embed="rId13"/>
                                                <a:stretch>
                                                  <a:fillRect/>
                                                </a:stretch>
                                              </pic:blipFill>
                                              <pic:spPr bwMode="auto">
                                                <a:xfrm>
                                                  <a:off x="0" y="0"/>
                                                  <a:ext cx="2095500" cy="769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80pt;height:682.7pt;mso-wrap-distance-left:37pt;mso-wrap-distance-right:0pt;mso-wrap-distance-top:0pt;mso-wrap-distance-bottom:0pt;margin-top:0pt;mso-position-vertical:top;mso-position-vertical-relative:text;margin-left:37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993" w:type="dxa"/>
                        <w:jc w:val="left"/>
                        <w:tblInd w:w="0" w:type="dxa"/>
                        <w:tblLayout w:type="fixed"/>
                        <w:tblCellMar>
                          <w:top w:w="0" w:type="dxa"/>
                          <w:left w:w="0" w:type="dxa"/>
                          <w:bottom w:w="0" w:type="dxa"/>
                          <w:right w:w="0" w:type="dxa"/>
                        </w:tblCellMar>
                      </w:tblPr>
                      <w:tblGrid>
                        <w:gridCol w:w="124"/>
                        <w:gridCol w:w="3606"/>
                        <w:gridCol w:w="109"/>
                        <w:gridCol w:w="154"/>
                      </w:tblGrid>
                      <w:tr>
                        <w:trPr/>
                        <w:tc>
                          <w:tcPr>
                            <w:tcW w:w="124" w:type="dxa"/>
                            <w:tcBorders/>
                            <w:vAlign w:val="center"/>
                          </w:tcPr>
                          <w:p>
                            <w:pPr>
                              <w:pStyle w:val="TableContents"/>
                              <w:bidi w:val="0"/>
                              <w:spacing w:before="0" w:after="283"/>
                              <w:jc w:val="left"/>
                              <w:rPr/>
                            </w:pPr>
                            <w:r>
                              <w:rPr/>
                              <w:t>​</w:t>
                            </w:r>
                          </w:p>
                        </w:tc>
                        <w:tc>
                          <w:tcPr>
                            <w:tcW w:w="3606" w:type="dxa"/>
                            <w:tcBorders/>
                            <w:vAlign w:val="center"/>
                          </w:tcPr>
                          <w:p>
                            <w:pPr>
                              <w:pStyle w:val="TableContents"/>
                              <w:bidi w:val="0"/>
                              <w:spacing w:before="0" w:after="0"/>
                              <w:ind w:left="0" w:right="160" w:hanging="0"/>
                              <w:jc w:val="left"/>
                              <w:rPr/>
                            </w:pPr>
                            <w:r>
                              <w:rPr/>
                              <w:drawing>
                                <wp:inline distT="0" distB="0" distL="0" distR="0">
                                  <wp:extent cx="2095500" cy="7696200"/>
                                  <wp:effectExtent l="0" t="0" r="0" b="0"/>
                                  <wp:docPr id="9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2" descr=""/>
                                          <pic:cNvPicPr>
                                            <a:picLocks noChangeAspect="1" noChangeArrowheads="1"/>
                                          </pic:cNvPicPr>
                                        </pic:nvPicPr>
                                        <pic:blipFill>
                                          <a:blip r:embed="rId14"/>
                                          <a:stretch>
                                            <a:fillRect/>
                                          </a:stretch>
                                        </pic:blipFill>
                                        <pic:spPr bwMode="auto">
                                          <a:xfrm>
                                            <a:off x="0" y="0"/>
                                            <a:ext cx="2095500" cy="7696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419">
                <wp:simplePos x="0" y="0"/>
                <wp:positionH relativeFrom="column">
                  <wp:align>left</wp:align>
                </wp:positionH>
                <wp:positionV relativeFrom="line">
                  <wp:posOffset>635</wp:posOffset>
                </wp:positionV>
                <wp:extent cx="3962400" cy="9972040"/>
                <wp:effectExtent l="0" t="0" r="0" b="0"/>
                <wp:wrapSquare wrapText="right"/>
                <wp:docPr id="99" name="Frame86"/>
                <a:graphic xmlns:a="http://schemas.openxmlformats.org/drawingml/2006/main">
                  <a:graphicData uri="http://schemas.microsoft.com/office/word/2010/wordprocessingShape">
                    <wps:wsp>
                      <wps:cNvSpPr txBox="1"/>
                      <wps:spPr>
                        <a:xfrm>
                          <a:off x="0" y="0"/>
                          <a:ext cx="3962400" cy="9972040"/>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Exceptional 2023 Stock Performance</w:t>
                            </w:r>
                            <w:r>
                              <w:rPr>
                                <w:b/>
                                <w:color w:val="000000"/>
                                <w:spacing w:val="4"/>
                                <w:sz w:val="22"/>
                              </w:rPr>
                              <w:t xml:space="preserve"> </w:t>
                            </w:r>
                          </w:p>
                          <w:p>
                            <w:pPr>
                              <w:pStyle w:val="TextBody"/>
                              <w:bidi w:val="0"/>
                              <w:spacing w:lineRule="atLeast" w:line="220" w:before="58" w:after="0"/>
                              <w:ind w:left="200" w:right="0" w:hanging="0"/>
                              <w:jc w:val="left"/>
                              <w:rPr/>
                            </w:pPr>
                            <w:r>
                              <w:rPr>
                                <w:b/>
                              </w:rPr>
                              <w:t>Over 48% One-Year Total Shareholder Return</w:t>
                            </w:r>
                            <w:r>
                              <w:rPr>
                                <w:spacing w:val="-2"/>
                              </w:rPr>
                              <w:t>—leading the sector as #1 among Office REITs and NYC Peers</w:t>
                            </w:r>
                            <w:r>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 xml:space="preserve">Outperformed Dow Jones US Office Real Estate Index by </w:t>
                            </w:r>
                            <w:r>
                              <w:rPr>
                                <w:b/>
                              </w:rPr>
                              <w:t>nearly 5,000 basis points</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98" w:after="283"/>
                              <w:jc w:val="left"/>
                              <w:rPr>
                                <w:b/>
                                <w:color w:val="83AD40"/>
                                <w:sz w:val="22"/>
                              </w:rPr>
                            </w:pPr>
                            <w:r>
                              <w:rPr>
                                <w:b/>
                                <w:color w:val="83AD40"/>
                                <w:sz w:val="22"/>
                              </w:rPr>
                              <w:t>Active, Responsible and Engaged Business Strategy</w:t>
                            </w:r>
                            <w:r>
                              <w:rPr>
                                <w:b/>
                                <w:color w:val="000000"/>
                                <w:spacing w:val="4"/>
                                <w:sz w:val="22"/>
                              </w:rPr>
                              <w:t xml:space="preserve"> </w:t>
                            </w:r>
                          </w:p>
                          <w:p>
                            <w:pPr>
                              <w:pStyle w:val="TextBody"/>
                              <w:bidi w:val="0"/>
                              <w:spacing w:lineRule="atLeast" w:line="220" w:before="58" w:after="0"/>
                              <w:ind w:left="200" w:right="0" w:hanging="0"/>
                              <w:jc w:val="left"/>
                              <w:rPr/>
                            </w:pPr>
                            <w:r>
                              <w:rPr>
                                <w:spacing w:val="-2"/>
                              </w:rPr>
                              <w:t>SLG does not subscribe to a traditional “buy and hold” strategy and is a very active transaction-oriented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are focused principally on the Manhattan market, where we have significant experience and valuable insights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consider sustainability as a value driver and are committed to maintaining our ESG industry leadership while reducing our environmental impact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execute more transactions than many of our competitors over a much longer, multi-year period</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Accordingly, we frequently capitalize on opportunities in the market, maximizing returns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98" w:after="283"/>
                              <w:jc w:val="left"/>
                              <w:rPr>
                                <w:b/>
                                <w:color w:val="83AD40"/>
                                <w:sz w:val="22"/>
                              </w:rPr>
                            </w:pPr>
                            <w:r>
                              <w:rPr>
                                <w:b/>
                                <w:color w:val="83AD40"/>
                                <w:sz w:val="22"/>
                              </w:rPr>
                              <w:t>Delivering Sustained Value for All Our Stakeholders</w:t>
                            </w:r>
                            <w:r>
                              <w:rPr>
                                <w:b/>
                                <w:color w:val="000000"/>
                                <w:spacing w:val="4"/>
                                <w:sz w:val="22"/>
                              </w:rPr>
                              <w:t xml:space="preserve"> </w:t>
                            </w:r>
                          </w:p>
                          <w:p>
                            <w:pPr>
                              <w:pStyle w:val="TextBody"/>
                              <w:bidi w:val="0"/>
                              <w:spacing w:lineRule="atLeast" w:line="220" w:before="58" w:after="0"/>
                              <w:ind w:left="200" w:right="0" w:hanging="0"/>
                              <w:jc w:val="left"/>
                              <w:rPr/>
                            </w:pPr>
                            <w:r>
                              <w:rPr>
                                <w:spacing w:val="-2"/>
                              </w:rPr>
                              <w:t>We understand that mitigation of climate change risks and reducing emissions serve as opportunities to maximize the value of our portfolio for our stakeholders, including building tenants, investors and employees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have integrated our ESG framework throughout the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are governed by environmental and social policies that are intended to guide sustainable operations, contribute to effective risk management and positively impact our stockholders, employees, tenants, and community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have positioned ourselves as leaders in ESG, improving environmental performance through upgrades driven by energy efficiency and executing initiatives centered on the health and wellness of our tenants and occupants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tbl>
                            <w:tblPr>
                              <w:tblW w:w="7148" w:type="dxa"/>
                              <w:jc w:val="left"/>
                              <w:tblInd w:w="0" w:type="dxa"/>
                              <w:tblLayout w:type="fixed"/>
                              <w:tblCellMar>
                                <w:top w:w="0" w:type="dxa"/>
                                <w:left w:w="0" w:type="dxa"/>
                                <w:bottom w:w="28" w:type="dxa"/>
                                <w:right w:w="0" w:type="dxa"/>
                              </w:tblCellMar>
                            </w:tblPr>
                            <w:tblGrid>
                              <w:gridCol w:w="124"/>
                              <w:gridCol w:w="4652"/>
                              <w:gridCol w:w="109"/>
                              <w:gridCol w:w="109"/>
                              <w:gridCol w:w="200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652" w:type="dxa"/>
                                  <w:tcBorders>
                                    <w:bottom w:val="single" w:sz="2" w:space="0" w:color="83AD40"/>
                                  </w:tcBorders>
                                  <w:tcMar>
                                    <w:bottom w:w="90" w:type="dxa"/>
                                  </w:tcMar>
                                  <w:vAlign w:val="center"/>
                                </w:tcPr>
                                <w:p>
                                  <w:pPr>
                                    <w:pStyle w:val="TableContents"/>
                                    <w:bidi w:val="0"/>
                                    <w:spacing w:before="0" w:after="0"/>
                                    <w:jc w:val="center"/>
                                    <w:rPr/>
                                  </w:pPr>
                                  <w:r>
                                    <w:rPr/>
                                    <w:t>97%</w:t>
                                  </w:r>
                                  <w:r>
                                    <w:rPr>
                                      <w:color w:val="000000"/>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0" w:type="dxa"/>
                                  <w:tcBorders>
                                    <w:bottom w:val="single" w:sz="2" w:space="0" w:color="83AD40"/>
                                  </w:tcBorders>
                                  <w:tcMar>
                                    <w:bottom w:w="90" w:type="dxa"/>
                                  </w:tcMar>
                                  <w:vAlign w:val="center"/>
                                </w:tcPr>
                                <w:p>
                                  <w:pPr>
                                    <w:pStyle w:val="TableContents"/>
                                    <w:bidi w:val="0"/>
                                    <w:spacing w:before="0" w:after="0"/>
                                    <w:jc w:val="center"/>
                                    <w:rPr/>
                                  </w:pPr>
                                  <w:r>
                                    <w:rPr/>
                                    <w:t>23M</w:t>
                                  </w:r>
                                  <w:r>
                                    <w:rPr>
                                      <w:color w:val="000000"/>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52" w:type="dxa"/>
                                  <w:tcBorders/>
                                  <w:tcMar>
                                    <w:bottom w:w="0" w:type="dxa"/>
                                  </w:tcMar>
                                  <w:vAlign w:val="center"/>
                                </w:tcPr>
                                <w:p>
                                  <w:pPr>
                                    <w:pStyle w:val="TableContents"/>
                                    <w:bidi w:val="0"/>
                                    <w:spacing w:before="0" w:after="0"/>
                                    <w:jc w:val="center"/>
                                    <w:rPr/>
                                  </w:pPr>
                                  <w:r>
                                    <w:rPr>
                                      <w:spacing w:val="-2"/>
                                    </w:rPr>
                                    <w:t xml:space="preserve">Of Reporting </w:t>
                                    <w:br/>
                                    <w:t>Properties</w:t>
                                  </w:r>
                                  <w:r>
                                    <w:rPr>
                                      <w:spacing w:val="-1"/>
                                      <w:sz w:val="11"/>
                                    </w:rPr>
                                    <w:t>(1)</w:t>
                                  </w:r>
                                  <w:r>
                                    <w:rPr>
                                      <w:spacing w:val="-2"/>
                                    </w:rPr>
                                    <w:t xml:space="preserve"> Hold a </w:t>
                                    <w:br/>
                                    <w:t xml:space="preserve">Green Building Certification </w:t>
                                    <w:br/>
                                    <w:t>(LEED, ENERGY STAR, and/or BOMA 360)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0" w:type="dxa"/>
                                  <w:tcBorders/>
                                  <w:tcMar>
                                    <w:bottom w:w="0" w:type="dxa"/>
                                  </w:tcMar>
                                  <w:vAlign w:val="center"/>
                                </w:tcPr>
                                <w:p>
                                  <w:pPr>
                                    <w:pStyle w:val="TableContents"/>
                                    <w:bidi w:val="0"/>
                                    <w:spacing w:before="0" w:after="0"/>
                                    <w:jc w:val="center"/>
                                    <w:rPr/>
                                  </w:pPr>
                                  <w:r>
                                    <w:rPr>
                                      <w:spacing w:val="-2"/>
                                    </w:rPr>
                                    <w:t xml:space="preserve">Square Feet Earned </w:t>
                                    <w:br/>
                                    <w:t xml:space="preserve">the WELL Health- </w:t>
                                    <w:br/>
                                    <w:t>Safety Rating</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180" w:before="480" w:after="0"/>
                              <w:ind w:left="400" w:right="0" w:hanging="0"/>
                              <w:jc w:val="left"/>
                              <w:rPr>
                                <w:sz w:val="14"/>
                              </w:rPr>
                            </w:pPr>
                            <w:r>
                              <w:rPr>
                                <w:spacing w:val="-1"/>
                                <w:sz w:val="14"/>
                              </w:rPr>
                              <w:t>Reporting properties are listed on page 2 of SL Green’s 2023 ESG Report found under the “Sustainability—Reports and Resources” section of our corporate website at www.slgreen.com and include properties where SL Green maintained ownership and direct operational control for the full 2022 calendar year. The information found on our website or in our 2023 ESG Report is not incorporated into, and does not form a part of, this proxy statement or any other report or document we file with, or furnish to, the SEC.</w:t>
                            </w:r>
                            <w:r>
                              <w:rPr>
                                <w:sz w:val="1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12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Exceptional 2023 Stock Performance</w:t>
                      </w:r>
                      <w:r>
                        <w:rPr>
                          <w:b/>
                          <w:color w:val="000000"/>
                          <w:spacing w:val="4"/>
                          <w:sz w:val="22"/>
                        </w:rPr>
                        <w:t xml:space="preserve"> </w:t>
                      </w:r>
                    </w:p>
                    <w:p>
                      <w:pPr>
                        <w:pStyle w:val="TextBody"/>
                        <w:bidi w:val="0"/>
                        <w:spacing w:lineRule="atLeast" w:line="220" w:before="58" w:after="0"/>
                        <w:ind w:left="200" w:right="0" w:hanging="0"/>
                        <w:jc w:val="left"/>
                        <w:rPr/>
                      </w:pPr>
                      <w:r>
                        <w:rPr>
                          <w:b/>
                        </w:rPr>
                        <w:t>Over 48% One-Year Total Shareholder Return</w:t>
                      </w:r>
                      <w:r>
                        <w:rPr>
                          <w:spacing w:val="-2"/>
                        </w:rPr>
                        <w:t>—leading the sector as #1 among Office REITs and NYC Peers</w:t>
                      </w:r>
                      <w:r>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 xml:space="preserve">Outperformed Dow Jones US Office Real Estate Index by </w:t>
                      </w:r>
                      <w:r>
                        <w:rPr>
                          <w:b/>
                        </w:rPr>
                        <w:t>nearly 5,000 basis points</w:t>
                      </w:r>
                      <w:r>
                        <w:rPr>
                          <w:spacing w:val="4"/>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98" w:after="283"/>
                        <w:jc w:val="left"/>
                        <w:rPr>
                          <w:b/>
                          <w:color w:val="83AD40"/>
                          <w:sz w:val="22"/>
                        </w:rPr>
                      </w:pPr>
                      <w:r>
                        <w:rPr>
                          <w:b/>
                          <w:color w:val="83AD40"/>
                          <w:sz w:val="22"/>
                        </w:rPr>
                        <w:t>Active, Responsible and Engaged Business Strategy</w:t>
                      </w:r>
                      <w:r>
                        <w:rPr>
                          <w:b/>
                          <w:color w:val="000000"/>
                          <w:spacing w:val="4"/>
                          <w:sz w:val="22"/>
                        </w:rPr>
                        <w:t xml:space="preserve"> </w:t>
                      </w:r>
                    </w:p>
                    <w:p>
                      <w:pPr>
                        <w:pStyle w:val="TextBody"/>
                        <w:bidi w:val="0"/>
                        <w:spacing w:lineRule="atLeast" w:line="220" w:before="58" w:after="0"/>
                        <w:ind w:left="200" w:right="0" w:hanging="0"/>
                        <w:jc w:val="left"/>
                        <w:rPr/>
                      </w:pPr>
                      <w:r>
                        <w:rPr>
                          <w:spacing w:val="-2"/>
                        </w:rPr>
                        <w:t>SLG does not subscribe to a traditional “buy and hold” strategy and is a very active transaction-oriented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are focused principally on the Manhattan market, where we have significant experience and valuable insights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consider sustainability as a value driver and are committed to maintaining our ESG industry leadership while reducing our environmental impact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We execute more transactions than many of our competitors over a much longer, multi-year period</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58" w:after="0"/>
                        <w:ind w:left="200" w:right="0" w:hanging="0"/>
                        <w:jc w:val="left"/>
                        <w:rPr/>
                      </w:pPr>
                      <w:r>
                        <w:rPr>
                          <w:spacing w:val="-2"/>
                        </w:rPr>
                        <w:t>Accordingly, we frequently capitalize on opportunities in the market, maximizing returns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98" w:after="283"/>
                        <w:jc w:val="left"/>
                        <w:rPr>
                          <w:b/>
                          <w:color w:val="83AD40"/>
                          <w:sz w:val="22"/>
                        </w:rPr>
                      </w:pPr>
                      <w:r>
                        <w:rPr>
                          <w:b/>
                          <w:color w:val="83AD40"/>
                          <w:sz w:val="22"/>
                        </w:rPr>
                        <w:t>Delivering Sustained Value for All Our Stakeholders</w:t>
                      </w:r>
                      <w:r>
                        <w:rPr>
                          <w:b/>
                          <w:color w:val="000000"/>
                          <w:spacing w:val="4"/>
                          <w:sz w:val="22"/>
                        </w:rPr>
                        <w:t xml:space="preserve"> </w:t>
                      </w:r>
                    </w:p>
                    <w:p>
                      <w:pPr>
                        <w:pStyle w:val="TextBody"/>
                        <w:bidi w:val="0"/>
                        <w:spacing w:lineRule="atLeast" w:line="220" w:before="58" w:after="0"/>
                        <w:ind w:left="200" w:right="0" w:hanging="0"/>
                        <w:jc w:val="left"/>
                        <w:rPr/>
                      </w:pPr>
                      <w:r>
                        <w:rPr>
                          <w:spacing w:val="-2"/>
                        </w:rPr>
                        <w:t>We understand that mitigation of climate change risks and reducing emissions serve as opportunities to maximize the value of our portfolio for our stakeholders, including building tenants, investors and employees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have integrated our ESG framework throughout the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are governed by environmental and social policies that are intended to guide sustainable operations, contribute to effective risk management and positively impact our stockholders, employees, tenants, and community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We have positioned ourselves as leaders in ESG, improving environmental performance through upgrades driven by energy efficiency and executing initiatives centered on the health and wellness of our tenants and occupants</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tbl>
                      <w:tblPr>
                        <w:tblW w:w="7148" w:type="dxa"/>
                        <w:jc w:val="left"/>
                        <w:tblInd w:w="0" w:type="dxa"/>
                        <w:tblLayout w:type="fixed"/>
                        <w:tblCellMar>
                          <w:top w:w="0" w:type="dxa"/>
                          <w:left w:w="0" w:type="dxa"/>
                          <w:bottom w:w="28" w:type="dxa"/>
                          <w:right w:w="0" w:type="dxa"/>
                        </w:tblCellMar>
                      </w:tblPr>
                      <w:tblGrid>
                        <w:gridCol w:w="124"/>
                        <w:gridCol w:w="4652"/>
                        <w:gridCol w:w="109"/>
                        <w:gridCol w:w="109"/>
                        <w:gridCol w:w="200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652" w:type="dxa"/>
                            <w:tcBorders>
                              <w:bottom w:val="single" w:sz="2" w:space="0" w:color="83AD40"/>
                            </w:tcBorders>
                            <w:tcMar>
                              <w:bottom w:w="90" w:type="dxa"/>
                            </w:tcMar>
                            <w:vAlign w:val="center"/>
                          </w:tcPr>
                          <w:p>
                            <w:pPr>
                              <w:pStyle w:val="TableContents"/>
                              <w:bidi w:val="0"/>
                              <w:spacing w:before="0" w:after="0"/>
                              <w:jc w:val="center"/>
                              <w:rPr/>
                            </w:pPr>
                            <w:r>
                              <w:rPr/>
                              <w:t>97%</w:t>
                            </w:r>
                            <w:r>
                              <w:rPr>
                                <w:color w:val="000000"/>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0" w:type="dxa"/>
                            <w:tcBorders>
                              <w:bottom w:val="single" w:sz="2" w:space="0" w:color="83AD40"/>
                            </w:tcBorders>
                            <w:tcMar>
                              <w:bottom w:w="90" w:type="dxa"/>
                            </w:tcMar>
                            <w:vAlign w:val="center"/>
                          </w:tcPr>
                          <w:p>
                            <w:pPr>
                              <w:pStyle w:val="TableContents"/>
                              <w:bidi w:val="0"/>
                              <w:spacing w:before="0" w:after="0"/>
                              <w:jc w:val="center"/>
                              <w:rPr/>
                            </w:pPr>
                            <w:r>
                              <w:rPr/>
                              <w:t>23M</w:t>
                            </w:r>
                            <w:r>
                              <w:rPr>
                                <w:color w:val="000000"/>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52" w:type="dxa"/>
                            <w:tcBorders/>
                            <w:tcMar>
                              <w:bottom w:w="0" w:type="dxa"/>
                            </w:tcMar>
                            <w:vAlign w:val="center"/>
                          </w:tcPr>
                          <w:p>
                            <w:pPr>
                              <w:pStyle w:val="TableContents"/>
                              <w:bidi w:val="0"/>
                              <w:spacing w:before="0" w:after="0"/>
                              <w:jc w:val="center"/>
                              <w:rPr/>
                            </w:pPr>
                            <w:r>
                              <w:rPr>
                                <w:spacing w:val="-2"/>
                              </w:rPr>
                              <w:t xml:space="preserve">Of Reporting </w:t>
                              <w:br/>
                              <w:t>Properties</w:t>
                            </w:r>
                            <w:r>
                              <w:rPr>
                                <w:spacing w:val="-1"/>
                                <w:sz w:val="11"/>
                              </w:rPr>
                              <w:t>(1)</w:t>
                            </w:r>
                            <w:r>
                              <w:rPr>
                                <w:spacing w:val="-2"/>
                              </w:rPr>
                              <w:t xml:space="preserve"> Hold a </w:t>
                              <w:br/>
                              <w:t xml:space="preserve">Green Building Certification </w:t>
                              <w:br/>
                              <w:t>(LEED, ENERGY STAR, and/or BOMA 360)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0" w:type="dxa"/>
                            <w:tcBorders/>
                            <w:tcMar>
                              <w:bottom w:w="0" w:type="dxa"/>
                            </w:tcMar>
                            <w:vAlign w:val="center"/>
                          </w:tcPr>
                          <w:p>
                            <w:pPr>
                              <w:pStyle w:val="TableContents"/>
                              <w:bidi w:val="0"/>
                              <w:spacing w:before="0" w:after="0"/>
                              <w:jc w:val="center"/>
                              <w:rPr/>
                            </w:pPr>
                            <w:r>
                              <w:rPr>
                                <w:spacing w:val="-2"/>
                              </w:rPr>
                              <w:t xml:space="preserve">Square Feet Earned </w:t>
                              <w:br/>
                              <w:t xml:space="preserve">the WELL Health- </w:t>
                              <w:br/>
                              <w:t>Safety Rating</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180" w:before="480" w:after="0"/>
                        <w:ind w:left="400" w:right="0" w:hanging="0"/>
                        <w:jc w:val="left"/>
                        <w:rPr>
                          <w:sz w:val="14"/>
                        </w:rPr>
                      </w:pPr>
                      <w:r>
                        <w:rPr>
                          <w:spacing w:val="-1"/>
                          <w:sz w:val="14"/>
                        </w:rPr>
                        <w:t>Reporting properties are listed on page 2 of SL Green’s 2023 ESG Report found under the “Sustainability—Reports and Resources” section of our corporate website at www.slgreen.com and include properties where SL Green maintained ownership and direct operational control for the full 2022 calendar year. The information found on our website or in our 2023 ESG Report is not incorporated into, and does not form a part of, this proxy statement or any other report or document we file with, or furnish to, the SEC.</w:t>
                      </w:r>
                      <w:r>
                        <w:rPr>
                          <w:sz w:val="1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36830" distB="0" distL="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10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10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10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10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10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10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10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6830" distB="0" distL="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10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10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10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11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04800" distB="0" distL="0" distR="0" simplePos="0" locked="0" layoutInCell="1" allowOverlap="1" relativeHeight="431">
                <wp:simplePos x="0" y="0"/>
                <wp:positionH relativeFrom="column">
                  <wp:align>left</wp:align>
                </wp:positionH>
                <wp:positionV relativeFrom="line">
                  <wp:align>top</wp:align>
                </wp:positionV>
                <wp:extent cx="254000" cy="228600"/>
                <wp:effectExtent l="0" t="0" r="0" b="0"/>
                <wp:wrapSquare wrapText="right"/>
                <wp:docPr id="111" name="Frame9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68" w:type="dxa"/>
        <w:jc w:val="left"/>
        <w:tblInd w:w="900" w:type="dxa"/>
        <w:tblLayout w:type="fixed"/>
        <w:tblCellMar>
          <w:top w:w="0" w:type="dxa"/>
          <w:left w:w="0" w:type="dxa"/>
          <w:bottom w:w="0" w:type="dxa"/>
          <w:right w:w="0" w:type="dxa"/>
        </w:tblCellMar>
      </w:tblPr>
      <w:tblGrid>
        <w:gridCol w:w="124"/>
        <w:gridCol w:w="454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4546" w:type="dxa"/>
            <w:tcBorders/>
            <w:vAlign w:val="center"/>
          </w:tcPr>
          <w:p>
            <w:pPr>
              <w:pStyle w:val="TableContents"/>
              <w:bidi w:val="0"/>
              <w:spacing w:lineRule="atLeast" w:line="200" w:before="0" w:after="0"/>
              <w:jc w:val="left"/>
              <w:rPr/>
            </w:pPr>
            <w:r>
              <w:rPr/>
              <w:t>2024 PROXY STATEMENT HIGHLIGHTS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 xml:space="preserve">STOCKHOLDER-FRIENDLY CORPORATE </w:t>
        <w:br/>
        <w:t>GOVERNANCE &amp; INDEPENDENT OVERSIGHT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SL Green has a history of strong corporate governance and stockholder-friendly practices.</w:t>
      </w:r>
      <w:r>
        <w:rPr>
          <w:rFonts w:ascii="Arial;Helvetica;sans-serif" w:hAnsi="Arial;Helvetica;sans-serif"/>
          <w:b w:val="false"/>
          <w:i w:val="false"/>
          <w:caps w:val="false"/>
          <w:smallCaps w:val="false"/>
          <w:color w:val="000000"/>
          <w:sz w:val="18"/>
        </w:rPr>
        <w:t xml:space="preserve"> </w:t>
      </w:r>
    </w:p>
    <w:p>
      <w:pPr>
        <w:pStyle w:val="TextBody"/>
        <w:bidi w:val="0"/>
        <w:spacing w:before="0" w:after="283"/>
        <w:ind w:left="900" w:right="0" w:hanging="0"/>
        <w:jc w:val="left"/>
        <w:rPr>
          <w:caps w:val="false"/>
          <w:smallCaps w:val="false"/>
          <w:color w:val="000000"/>
          <w:bdr w:val="single" w:sz="8" w:space="1" w:color="83AD40"/>
        </w:rPr>
      </w:pPr>
      <w:r>
        <w:rPr>
          <w:caps w:val="false"/>
          <w:smallCaps w:val="false"/>
          <w:color w:val="000000"/>
          <w:bdr w:val="single" w:sz="8" w:space="1" w:color="83AD4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0800" distR="0" simplePos="0" locked="0" layoutInCell="1" allowOverlap="1" relativeHeight="269">
                <wp:simplePos x="0" y="0"/>
                <wp:positionH relativeFrom="column">
                  <wp:align>left</wp:align>
                </wp:positionH>
                <wp:positionV relativeFrom="line">
                  <wp:posOffset>635</wp:posOffset>
                </wp:positionV>
                <wp:extent cx="3759200" cy="5109210"/>
                <wp:effectExtent l="0" t="0" r="0" b="0"/>
                <wp:wrapSquare wrapText="right"/>
                <wp:docPr id="112" name="Frame100"/>
                <a:graphic xmlns:a="http://schemas.openxmlformats.org/drawingml/2006/main">
                  <a:graphicData uri="http://schemas.microsoft.com/office/word/2010/wordprocessingShape">
                    <wps:wsp>
                      <wps:cNvSpPr txBox="1"/>
                      <wps:spPr>
                        <a:xfrm>
                          <a:off x="0" y="0"/>
                          <a:ext cx="3759200" cy="51092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1433"/>
                              <w:gridCol w:w="109"/>
                              <w:gridCol w:w="109"/>
                              <w:gridCol w:w="8166"/>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52" w:type="dxa"/>
                                  </w:tcMar>
                                  <w:vAlign w:val="center"/>
                                </w:tcPr>
                                <w:p>
                                  <w:pPr>
                                    <w:pStyle w:val="TableContents"/>
                                    <w:bidi w:val="0"/>
                                    <w:spacing w:before="0" w:after="0"/>
                                    <w:jc w:val="left"/>
                                    <w:rPr>
                                      <w:b/>
                                      <w:sz w:val="26"/>
                                    </w:rPr>
                                  </w:pPr>
                                  <w:r>
                                    <w:rPr>
                                      <w:b/>
                                      <w:sz w:val="26"/>
                                    </w:rPr>
                                    <w:t>Annual Director Elections</w:t>
                                  </w:r>
                                </w:p>
                                <w:p>
                                  <w:pPr>
                                    <w:pStyle w:val="TableContents"/>
                                    <w:bidi w:val="0"/>
                                    <w:spacing w:before="120" w:after="283"/>
                                    <w:jc w:val="left"/>
                                    <w:rPr/>
                                  </w:pPr>
                                  <w:r>
                                    <w:rPr>
                                      <w:spacing w:val="-2"/>
                                    </w:rPr>
                                    <w:t>Our directors are elected for one-year terms.</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15" w:type="dxa"/>
                                  </w:tcMar>
                                  <w:vAlign w:val="center"/>
                                </w:tcPr>
                                <w:p>
                                  <w:pPr>
                                    <w:pStyle w:val="TableContents"/>
                                    <w:bidi w:val="0"/>
                                    <w:spacing w:before="0" w:after="0"/>
                                    <w:jc w:val="left"/>
                                    <w:rPr>
                                      <w:b/>
                                      <w:sz w:val="26"/>
                                    </w:rPr>
                                  </w:pPr>
                                  <w:r>
                                    <w:rPr>
                                      <w:b/>
                                      <w:sz w:val="26"/>
                                    </w:rPr>
                                    <w:t>Majority Vote Standard with Director Resignation Policy</w:t>
                                  </w:r>
                                </w:p>
                                <w:p>
                                  <w:pPr>
                                    <w:pStyle w:val="TableContents"/>
                                    <w:bidi w:val="0"/>
                                    <w:spacing w:lineRule="atLeast" w:line="220" w:before="120" w:after="283"/>
                                    <w:jc w:val="left"/>
                                    <w:rPr/>
                                  </w:pPr>
                                  <w:r>
                                    <w:rPr>
                                      <w:spacing w:val="-2"/>
                                    </w:rPr>
                                    <w:t>In an uncontested election (as is the case for this Annual Meeting), our bylaws provide that a majority of all the votes cast with respect to a nominee’s election is required for such nominee to be elected to serve on the Board.</w:t>
                                  </w:r>
                                  <w:r>
                                    <w:rPr/>
                                    <w:t xml:space="preserve"> </w:t>
                                  </w:r>
                                </w:p>
                                <w:p>
                                  <w:pPr>
                                    <w:pStyle w:val="TableContents"/>
                                    <w:bidi w:val="0"/>
                                    <w:spacing w:lineRule="atLeast" w:line="220" w:before="120" w:after="283"/>
                                    <w:jc w:val="left"/>
                                    <w:rPr/>
                                  </w:pPr>
                                  <w:r>
                                    <w:rPr>
                                      <w:spacing w:val="-2"/>
                                    </w:rPr>
                                    <w:t>Further, we have adopted a director resignation policy for directors who fail to receive majority support.</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847725" cy="800100"/>
                                        <wp:effectExtent l="0" t="0" r="0" b="0"/>
                                        <wp:docPr id="11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9" descr=""/>
                                                <pic:cNvPicPr>
                                                  <a:picLocks noChangeAspect="1" noChangeArrowheads="1"/>
                                                </pic:cNvPicPr>
                                              </pic:nvPicPr>
                                              <pic:blipFill>
                                                <a:blip r:embed="rId15"/>
                                                <a:stretch>
                                                  <a:fillRect/>
                                                </a:stretch>
                                              </pic:blipFill>
                                              <pic:spPr bwMode="auto">
                                                <a:xfrm>
                                                  <a:off x="0" y="0"/>
                                                  <a:ext cx="847725" cy="800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z w:val="22"/>
                                    </w:rPr>
                                    <w:t>Stockholder Amendments to Bylaws</w:t>
                                  </w:r>
                                </w:p>
                                <w:p>
                                  <w:pPr>
                                    <w:pStyle w:val="TableContents"/>
                                    <w:bidi w:val="0"/>
                                    <w:spacing w:lineRule="atLeast" w:line="220" w:before="60" w:after="283"/>
                                    <w:jc w:val="left"/>
                                    <w:rPr/>
                                  </w:pPr>
                                  <w:r>
                                    <w:rPr>
                                      <w:spacing w:val="-2"/>
                                    </w:rPr>
                                    <w:t>We provide stockholders the right to amend our bylaws by a majority vote without any ownership or holding period limitations.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790575" cy="914400"/>
                                        <wp:effectExtent l="0" t="0" r="0" b="0"/>
                                        <wp:docPr id="11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0" descr=""/>
                                                <pic:cNvPicPr>
                                                  <a:picLocks noChangeAspect="1" noChangeArrowheads="1"/>
                                                </pic:cNvPicPr>
                                              </pic:nvPicPr>
                                              <pic:blipFill>
                                                <a:blip r:embed="rId16"/>
                                                <a:stretch>
                                                  <a:fillRect/>
                                                </a:stretch>
                                              </pic:blipFill>
                                              <pic:spPr bwMode="auto">
                                                <a:xfrm>
                                                  <a:off x="0" y="0"/>
                                                  <a:ext cx="790575"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z w:val="22"/>
                                    </w:rPr>
                                    <w:t>Proxy Access</w:t>
                                  </w:r>
                                </w:p>
                                <w:p>
                                  <w:pPr>
                                    <w:pStyle w:val="TableContents"/>
                                    <w:bidi w:val="0"/>
                                    <w:spacing w:lineRule="atLeast" w:line="220" w:before="120" w:after="283"/>
                                    <w:jc w:val="left"/>
                                    <w:rPr/>
                                  </w:pPr>
                                  <w:r>
                                    <w:rPr>
                                      <w:spacing w:val="-2"/>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7" w:type="dxa"/>
                                  <w:gridSpan w:val="4"/>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96pt;height:402.3pt;mso-wrap-distance-left:4pt;mso-wrap-distance-right:0pt;mso-wrap-distance-top:0pt;mso-wrap-distance-bottom:0pt;margin-top:0pt;mso-position-vertical:top;mso-position-vertical-relative:text;margin-left: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1433"/>
                        <w:gridCol w:w="109"/>
                        <w:gridCol w:w="109"/>
                        <w:gridCol w:w="8166"/>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52" w:type="dxa"/>
                            </w:tcMar>
                            <w:vAlign w:val="center"/>
                          </w:tcPr>
                          <w:p>
                            <w:pPr>
                              <w:pStyle w:val="TableContents"/>
                              <w:bidi w:val="0"/>
                              <w:spacing w:before="0" w:after="0"/>
                              <w:jc w:val="left"/>
                              <w:rPr>
                                <w:b/>
                                <w:sz w:val="26"/>
                              </w:rPr>
                            </w:pPr>
                            <w:r>
                              <w:rPr>
                                <w:b/>
                                <w:sz w:val="26"/>
                              </w:rPr>
                              <w:t>Annual Director Elections</w:t>
                            </w:r>
                          </w:p>
                          <w:p>
                            <w:pPr>
                              <w:pStyle w:val="TableContents"/>
                              <w:bidi w:val="0"/>
                              <w:spacing w:before="120" w:after="283"/>
                              <w:jc w:val="left"/>
                              <w:rPr/>
                            </w:pPr>
                            <w:r>
                              <w:rPr>
                                <w:spacing w:val="-2"/>
                              </w:rPr>
                              <w:t>Our directors are elected for one-year terms.</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7" w:type="dxa"/>
                            <w:gridSpan w:val="4"/>
                            <w:tcBorders>
                              <w:bottom w:val="single" w:sz="2" w:space="0" w:color="83AD40"/>
                            </w:tcBorders>
                            <w:tcMar>
                              <w:bottom w:w="315" w:type="dxa"/>
                            </w:tcMar>
                            <w:vAlign w:val="center"/>
                          </w:tcPr>
                          <w:p>
                            <w:pPr>
                              <w:pStyle w:val="TableContents"/>
                              <w:bidi w:val="0"/>
                              <w:spacing w:before="0" w:after="0"/>
                              <w:jc w:val="left"/>
                              <w:rPr>
                                <w:b/>
                                <w:sz w:val="26"/>
                              </w:rPr>
                            </w:pPr>
                            <w:r>
                              <w:rPr>
                                <w:b/>
                                <w:sz w:val="26"/>
                              </w:rPr>
                              <w:t>Majority Vote Standard with Director Resignation Policy</w:t>
                            </w:r>
                          </w:p>
                          <w:p>
                            <w:pPr>
                              <w:pStyle w:val="TableContents"/>
                              <w:bidi w:val="0"/>
                              <w:spacing w:lineRule="atLeast" w:line="220" w:before="120" w:after="283"/>
                              <w:jc w:val="left"/>
                              <w:rPr/>
                            </w:pPr>
                            <w:r>
                              <w:rPr>
                                <w:spacing w:val="-2"/>
                              </w:rPr>
                              <w:t>In an uncontested election (as is the case for this Annual Meeting), our bylaws provide that a majority of all the votes cast with respect to a nominee’s election is required for such nominee to be elected to serve on the Board.</w:t>
                            </w:r>
                            <w:r>
                              <w:rPr/>
                              <w:t xml:space="preserve"> </w:t>
                            </w:r>
                          </w:p>
                          <w:p>
                            <w:pPr>
                              <w:pStyle w:val="TableContents"/>
                              <w:bidi w:val="0"/>
                              <w:spacing w:lineRule="atLeast" w:line="220" w:before="120" w:after="283"/>
                              <w:jc w:val="left"/>
                              <w:rPr/>
                            </w:pPr>
                            <w:r>
                              <w:rPr>
                                <w:spacing w:val="-2"/>
                              </w:rPr>
                              <w:t>Further, we have adopted a director resignation policy for directors who fail to receive majority support.</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847725" cy="800100"/>
                                  <wp:effectExtent l="0" t="0" r="0" b="0"/>
                                  <wp:docPr id="11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9" descr=""/>
                                          <pic:cNvPicPr>
                                            <a:picLocks noChangeAspect="1" noChangeArrowheads="1"/>
                                          </pic:cNvPicPr>
                                        </pic:nvPicPr>
                                        <pic:blipFill>
                                          <a:blip r:embed="rId17"/>
                                          <a:stretch>
                                            <a:fillRect/>
                                          </a:stretch>
                                        </pic:blipFill>
                                        <pic:spPr bwMode="auto">
                                          <a:xfrm>
                                            <a:off x="0" y="0"/>
                                            <a:ext cx="847725" cy="800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z w:val="22"/>
                              </w:rPr>
                              <w:t>Stockholder Amendments to Bylaws</w:t>
                            </w:r>
                          </w:p>
                          <w:p>
                            <w:pPr>
                              <w:pStyle w:val="TableContents"/>
                              <w:bidi w:val="0"/>
                              <w:spacing w:lineRule="atLeast" w:line="220" w:before="60" w:after="283"/>
                              <w:jc w:val="left"/>
                              <w:rPr/>
                            </w:pPr>
                            <w:r>
                              <w:rPr>
                                <w:spacing w:val="-2"/>
                              </w:rPr>
                              <w:t>We provide stockholders the right to amend our bylaws by a majority vote without any ownership or holding period limitations.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3" w:type="dxa"/>
                            <w:tcBorders/>
                            <w:vAlign w:val="center"/>
                          </w:tcPr>
                          <w:p>
                            <w:pPr>
                              <w:pStyle w:val="TableContents"/>
                              <w:bidi w:val="0"/>
                              <w:spacing w:before="0" w:after="0"/>
                              <w:jc w:val="left"/>
                              <w:rPr/>
                            </w:pPr>
                            <w:r>
                              <w:rPr/>
                              <w:drawing>
                                <wp:inline distT="0" distB="0" distL="0" distR="0">
                                  <wp:extent cx="790575" cy="914400"/>
                                  <wp:effectExtent l="0" t="0" r="0" b="0"/>
                                  <wp:docPr id="11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0" descr=""/>
                                          <pic:cNvPicPr>
                                            <a:picLocks noChangeAspect="1" noChangeArrowheads="1"/>
                                          </pic:cNvPicPr>
                                        </pic:nvPicPr>
                                        <pic:blipFill>
                                          <a:blip r:embed="rId18"/>
                                          <a:stretch>
                                            <a:fillRect/>
                                          </a:stretch>
                                        </pic:blipFill>
                                        <pic:spPr bwMode="auto">
                                          <a:xfrm>
                                            <a:off x="0" y="0"/>
                                            <a:ext cx="790575" cy="9144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66" w:type="dxa"/>
                            <w:tcBorders/>
                            <w:vAlign w:val="center"/>
                          </w:tcPr>
                          <w:p>
                            <w:pPr>
                              <w:pStyle w:val="TableContents"/>
                              <w:bidi w:val="0"/>
                              <w:spacing w:lineRule="atLeast" w:line="260" w:before="0" w:after="0"/>
                              <w:jc w:val="left"/>
                              <w:rPr>
                                <w:b/>
                                <w:color w:val="83AD40"/>
                                <w:sz w:val="22"/>
                              </w:rPr>
                            </w:pPr>
                            <w:r>
                              <w:rPr>
                                <w:b/>
                                <w:color w:val="83AD40"/>
                                <w:sz w:val="22"/>
                              </w:rPr>
                              <w:t>Proxy Access</w:t>
                            </w:r>
                          </w:p>
                          <w:p>
                            <w:pPr>
                              <w:pStyle w:val="TableContents"/>
                              <w:bidi w:val="0"/>
                              <w:spacing w:lineRule="atLeast" w:line="220" w:before="120" w:after="283"/>
                              <w:jc w:val="left"/>
                              <w:rPr/>
                            </w:pPr>
                            <w:r>
                              <w:rPr>
                                <w:spacing w:val="-2"/>
                              </w:rPr>
                              <w:t>A stockholder (or a group of up to 20 stockholders) owning 3% or more of outstanding common stock continuously for at least 3 years may nominate, and include in our proxy materials, director candidates constituting up to the greater of two individuals or 20% of the Board, if the nominating stockholder(s) and the nominee(s) satisfy the requirements specified in our bylaws.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17" w:type="dxa"/>
                            <w:gridSpan w:val="4"/>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274">
                <wp:simplePos x="0" y="0"/>
                <wp:positionH relativeFrom="column">
                  <wp:align>left</wp:align>
                </wp:positionH>
                <wp:positionV relativeFrom="line">
                  <wp:posOffset>635</wp:posOffset>
                </wp:positionV>
                <wp:extent cx="2590800" cy="5021580"/>
                <wp:effectExtent l="0" t="0" r="0" b="0"/>
                <wp:wrapSquare wrapText="right"/>
                <wp:docPr id="117" name="Frame99"/>
                <a:graphic xmlns:a="http://schemas.openxmlformats.org/drawingml/2006/main">
                  <a:graphicData uri="http://schemas.microsoft.com/office/word/2010/wordprocessingShape">
                    <wps:wsp>
                      <wps:cNvSpPr txBox="1"/>
                      <wps:spPr>
                        <a:xfrm>
                          <a:off x="0" y="0"/>
                          <a:ext cx="2590800" cy="50215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802"/>
                              <w:gridCol w:w="109"/>
                              <w:gridCol w:w="109"/>
                              <w:gridCol w:w="8906"/>
                              <w:gridCol w:w="155"/>
                            </w:tblGrid>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28625" cy="428625"/>
                                        <wp:effectExtent l="0" t="0" r="0" b="0"/>
                                        <wp:docPr id="1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3" descr=""/>
                                                <pic:cNvPicPr>
                                                  <a:picLocks noChangeAspect="1" noChangeArrowheads="1"/>
                                                </pic:cNvPicPr>
                                              </pic:nvPicPr>
                                              <pic:blipFill>
                                                <a:blip r:embed="rId19"/>
                                                <a:stretch>
                                                  <a:fillRect/>
                                                </a:stretch>
                                              </pic:blipFill>
                                              <pic:spPr bwMode="auto">
                                                <a:xfrm>
                                                  <a:off x="0" y="0"/>
                                                  <a:ext cx="42862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Diversity</w:t>
                                  </w:r>
                                </w:p>
                                <w:p>
                                  <w:pPr>
                                    <w:pStyle w:val="TableContents"/>
                                    <w:bidi w:val="0"/>
                                    <w:spacing w:lineRule="atLeast" w:line="220" w:before="60" w:after="283"/>
                                    <w:jc w:val="left"/>
                                    <w:rPr>
                                      <w:spacing w:val="-2"/>
                                    </w:rPr>
                                  </w:pPr>
                                  <w:r>
                                    <w:rPr>
                                      <w:spacing w:val="-2"/>
                                    </w:rPr>
                                    <w:t xml:space="preserve">Our Board nominees have a diversity of knowledge, skills, experience and perspectives, as well as diversity of age and gender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802" w:type="dxa"/>
                                  <w:tcBorders>
                                    <w:bottom w:val="single" w:sz="2" w:space="0" w:color="FFFFFF"/>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1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4" descr=""/>
                                                <pic:cNvPicPr>
                                                  <a:picLocks noChangeAspect="1" noChangeArrowheads="1"/>
                                                </pic:cNvPicPr>
                                              </pic:nvPicPr>
                                              <pic:blipFill>
                                                <a:blip r:embed="rId2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06" w:type="dxa"/>
                                  <w:tcBorders>
                                    <w:bottom w:val="single" w:sz="2" w:space="0" w:color="83AD40"/>
                                  </w:tcBorders>
                                  <w:tcMar>
                                    <w:bottom w:w="227" w:type="dxa"/>
                                  </w:tcMar>
                                  <w:vAlign w:val="center"/>
                                </w:tcPr>
                                <w:p>
                                  <w:pPr>
                                    <w:pStyle w:val="TableContents"/>
                                    <w:bidi w:val="0"/>
                                    <w:spacing w:lineRule="atLeast" w:line="400" w:before="0" w:after="0"/>
                                    <w:jc w:val="left"/>
                                    <w:rPr>
                                      <w:b w:val="false"/>
                                      <w:sz w:val="36"/>
                                    </w:rPr>
                                  </w:pPr>
                                  <w:r>
                                    <w:rPr>
                                      <w:b w:val="false"/>
                                      <w:sz w:val="36"/>
                                    </w:rPr>
                                    <w:t>50%</w:t>
                                  </w:r>
                                </w:p>
                                <w:p>
                                  <w:pPr>
                                    <w:pStyle w:val="TableContents"/>
                                    <w:bidi w:val="0"/>
                                    <w:spacing w:lineRule="atLeast" w:line="220" w:before="40" w:after="283"/>
                                    <w:jc w:val="left"/>
                                    <w:rPr/>
                                  </w:pPr>
                                  <w:r>
                                    <w:rPr/>
                                    <w:t>of our independent Board nominees are diverse, including gender and racial/ethnic diversity</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19100" cy="419100"/>
                                        <wp:effectExtent l="0" t="0" r="0" b="0"/>
                                        <wp:docPr id="1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5" descr=""/>
                                                <pic:cNvPicPr>
                                                  <a:picLocks noChangeAspect="1" noChangeArrowheads="1"/>
                                                </pic:cNvPicPr>
                                              </pic:nvPicPr>
                                              <pic:blipFill>
                                                <a:blip r:embed="rId21"/>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Experience</w:t>
                                  </w:r>
                                </w:p>
                                <w:p>
                                  <w:pPr>
                                    <w:pStyle w:val="TableContents"/>
                                    <w:bidi w:val="0"/>
                                    <w:spacing w:lineRule="atLeast" w:line="220" w:before="60" w:after="283"/>
                                    <w:jc w:val="left"/>
                                    <w:rPr/>
                                  </w:pPr>
                                  <w:r>
                                    <w:rPr>
                                      <w:spacing w:val="-2"/>
                                    </w:rPr>
                                    <w:t>Our Board nominees have broad experience serving on public boards in industries relevant to the Company</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802" w:type="dxa"/>
                                  <w:tcBorders>
                                    <w:bottom w:val="single" w:sz="2" w:space="0" w:color="FFFFFF"/>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1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6" descr=""/>
                                                <pic:cNvPicPr>
                                                  <a:picLocks noChangeAspect="1" noChangeArrowheads="1"/>
                                                </pic:cNvPicPr>
                                              </pic:nvPicPr>
                                              <pic:blipFill>
                                                <a:blip r:embed="rId22"/>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06" w:type="dxa"/>
                                  <w:tcBorders>
                                    <w:bottom w:val="single" w:sz="2" w:space="0" w:color="83AD40"/>
                                  </w:tcBorders>
                                  <w:tcMar>
                                    <w:bottom w:w="227" w:type="dxa"/>
                                  </w:tcMar>
                                  <w:vAlign w:val="center"/>
                                </w:tcPr>
                                <w:p>
                                  <w:pPr>
                                    <w:pStyle w:val="TableContents"/>
                                    <w:bidi w:val="0"/>
                                    <w:spacing w:lineRule="atLeast" w:line="400" w:before="0" w:after="0"/>
                                    <w:jc w:val="left"/>
                                    <w:rPr>
                                      <w:b w:val="false"/>
                                      <w:sz w:val="36"/>
                                    </w:rPr>
                                  </w:pPr>
                                  <w:r>
                                    <w:rPr>
                                      <w:b w:val="false"/>
                                      <w:sz w:val="36"/>
                                    </w:rPr>
                                    <w:t>43%</w:t>
                                  </w:r>
                                </w:p>
                                <w:p>
                                  <w:pPr>
                                    <w:pStyle w:val="TableContents"/>
                                    <w:bidi w:val="0"/>
                                    <w:spacing w:lineRule="atLeast" w:line="220" w:before="40" w:after="283"/>
                                    <w:jc w:val="left"/>
                                    <w:rPr/>
                                  </w:pPr>
                                  <w:r>
                                    <w:rPr/>
                                    <w:t>of our Board nominees currently serve or have served on the Boards of other publicly traded companies</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352425" cy="581025"/>
                                        <wp:effectExtent l="0" t="0" r="0" b="0"/>
                                        <wp:docPr id="1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7" descr=""/>
                                                <pic:cNvPicPr>
                                                  <a:picLocks noChangeAspect="1" noChangeArrowheads="1"/>
                                                </pic:cNvPicPr>
                                              </pic:nvPicPr>
                                              <pic:blipFill>
                                                <a:blip r:embed="rId23"/>
                                                <a:stretch>
                                                  <a:fillRect/>
                                                </a:stretch>
                                              </pic:blipFill>
                                              <pic:spPr bwMode="auto">
                                                <a:xfrm>
                                                  <a:off x="0" y="0"/>
                                                  <a:ext cx="352425" cy="581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Leadership</w:t>
                                  </w:r>
                                </w:p>
                                <w:p>
                                  <w:pPr>
                                    <w:pStyle w:val="TableContents"/>
                                    <w:bidi w:val="0"/>
                                    <w:spacing w:lineRule="atLeast" w:line="220" w:before="60" w:after="283"/>
                                    <w:jc w:val="left"/>
                                    <w:rPr/>
                                  </w:pPr>
                                  <w:r>
                                    <w:rPr>
                                      <w:spacing w:val="-2"/>
                                    </w:rPr>
                                    <w:t>Our Board nominees have strong corporate leadership backgrounds such as being CEO, CFO or holding other executive positions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19100" cy="419100"/>
                                        <wp:effectExtent l="0" t="0" r="0" b="0"/>
                                        <wp:docPr id="1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8" descr=""/>
                                                <pic:cNvPicPr>
                                                  <a:picLocks noChangeAspect="1" noChangeArrowheads="1"/>
                                                </pic:cNvPicPr>
                                              </pic:nvPicPr>
                                              <pic:blipFill>
                                                <a:blip r:embed="rId24"/>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400" w:before="0" w:after="0"/>
                                    <w:jc w:val="left"/>
                                    <w:rPr>
                                      <w:b w:val="false"/>
                                      <w:color w:val="1F2668"/>
                                      <w:sz w:val="36"/>
                                    </w:rPr>
                                  </w:pPr>
                                  <w:r>
                                    <w:rPr>
                                      <w:b w:val="false"/>
                                      <w:color w:val="1F2668"/>
                                      <w:sz w:val="36"/>
                                    </w:rPr>
                                    <w:t>86%</w:t>
                                  </w:r>
                                </w:p>
                                <w:p>
                                  <w:pPr>
                                    <w:pStyle w:val="TableContents"/>
                                    <w:bidi w:val="0"/>
                                    <w:spacing w:lineRule="atLeast" w:line="220" w:before="40" w:after="283"/>
                                    <w:jc w:val="left"/>
                                    <w:rPr/>
                                  </w:pPr>
                                  <w:r>
                                    <w:rPr/>
                                    <w:t>of our Board nominees currently serve or have served as CEO or in senior leadership positions</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04pt;height:395.4pt;mso-wrap-distance-left:45pt;mso-wrap-distance-right:0pt;mso-wrap-distance-top:0pt;mso-wrap-distance-bottom:0pt;margin-top:0pt;mso-position-vertical:top;mso-position-vertical-relative:text;margin-left:4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802"/>
                        <w:gridCol w:w="109"/>
                        <w:gridCol w:w="109"/>
                        <w:gridCol w:w="8906"/>
                        <w:gridCol w:w="155"/>
                      </w:tblGrid>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28625" cy="428625"/>
                                  <wp:effectExtent l="0" t="0" r="0" b="0"/>
                                  <wp:docPr id="1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3" descr=""/>
                                          <pic:cNvPicPr>
                                            <a:picLocks noChangeAspect="1" noChangeArrowheads="1"/>
                                          </pic:cNvPicPr>
                                        </pic:nvPicPr>
                                        <pic:blipFill>
                                          <a:blip r:embed="rId25"/>
                                          <a:stretch>
                                            <a:fillRect/>
                                          </a:stretch>
                                        </pic:blipFill>
                                        <pic:spPr bwMode="auto">
                                          <a:xfrm>
                                            <a:off x="0" y="0"/>
                                            <a:ext cx="42862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Diversity</w:t>
                            </w:r>
                          </w:p>
                          <w:p>
                            <w:pPr>
                              <w:pStyle w:val="TableContents"/>
                              <w:bidi w:val="0"/>
                              <w:spacing w:lineRule="atLeast" w:line="220" w:before="60" w:after="283"/>
                              <w:jc w:val="left"/>
                              <w:rPr>
                                <w:spacing w:val="-2"/>
                              </w:rPr>
                            </w:pPr>
                            <w:r>
                              <w:rPr>
                                <w:spacing w:val="-2"/>
                              </w:rPr>
                              <w:t xml:space="preserve">Our Board nominees have a diversity of knowledge, skills, experience and perspectives, as well as diversity of age and gender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802" w:type="dxa"/>
                            <w:tcBorders>
                              <w:bottom w:val="single" w:sz="2" w:space="0" w:color="FFFFFF"/>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1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4" descr=""/>
                                          <pic:cNvPicPr>
                                            <a:picLocks noChangeAspect="1" noChangeArrowheads="1"/>
                                          </pic:cNvPicPr>
                                        </pic:nvPicPr>
                                        <pic:blipFill>
                                          <a:blip r:embed="rId2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06" w:type="dxa"/>
                            <w:tcBorders>
                              <w:bottom w:val="single" w:sz="2" w:space="0" w:color="83AD40"/>
                            </w:tcBorders>
                            <w:tcMar>
                              <w:bottom w:w="227" w:type="dxa"/>
                            </w:tcMar>
                            <w:vAlign w:val="center"/>
                          </w:tcPr>
                          <w:p>
                            <w:pPr>
                              <w:pStyle w:val="TableContents"/>
                              <w:bidi w:val="0"/>
                              <w:spacing w:lineRule="atLeast" w:line="400" w:before="0" w:after="0"/>
                              <w:jc w:val="left"/>
                              <w:rPr>
                                <w:b w:val="false"/>
                                <w:sz w:val="36"/>
                              </w:rPr>
                            </w:pPr>
                            <w:r>
                              <w:rPr>
                                <w:b w:val="false"/>
                                <w:sz w:val="36"/>
                              </w:rPr>
                              <w:t>50%</w:t>
                            </w:r>
                          </w:p>
                          <w:p>
                            <w:pPr>
                              <w:pStyle w:val="TableContents"/>
                              <w:bidi w:val="0"/>
                              <w:spacing w:lineRule="atLeast" w:line="220" w:before="40" w:after="283"/>
                              <w:jc w:val="left"/>
                              <w:rPr/>
                            </w:pPr>
                            <w:r>
                              <w:rPr/>
                              <w:t>of our independent Board nominees are diverse, including gender and racial/ethnic diversity</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19100" cy="419100"/>
                                  <wp:effectExtent l="0" t="0" r="0" b="0"/>
                                  <wp:docPr id="1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5" descr=""/>
                                          <pic:cNvPicPr>
                                            <a:picLocks noChangeAspect="1" noChangeArrowheads="1"/>
                                          </pic:cNvPicPr>
                                        </pic:nvPicPr>
                                        <pic:blipFill>
                                          <a:blip r:embed="rId27"/>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Experience</w:t>
                            </w:r>
                          </w:p>
                          <w:p>
                            <w:pPr>
                              <w:pStyle w:val="TableContents"/>
                              <w:bidi w:val="0"/>
                              <w:spacing w:lineRule="atLeast" w:line="220" w:before="60" w:after="283"/>
                              <w:jc w:val="left"/>
                              <w:rPr/>
                            </w:pPr>
                            <w:r>
                              <w:rPr>
                                <w:spacing w:val="-2"/>
                              </w:rPr>
                              <w:t>Our Board nominees have broad experience serving on public boards in industries relevant to the Company</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802" w:type="dxa"/>
                            <w:tcBorders>
                              <w:bottom w:val="single" w:sz="2" w:space="0" w:color="FFFFFF"/>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1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6" descr=""/>
                                          <pic:cNvPicPr>
                                            <a:picLocks noChangeAspect="1" noChangeArrowheads="1"/>
                                          </pic:cNvPicPr>
                                        </pic:nvPicPr>
                                        <pic:blipFill>
                                          <a:blip r:embed="rId28"/>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06" w:type="dxa"/>
                            <w:tcBorders>
                              <w:bottom w:val="single" w:sz="2" w:space="0" w:color="83AD40"/>
                            </w:tcBorders>
                            <w:tcMar>
                              <w:bottom w:w="227" w:type="dxa"/>
                            </w:tcMar>
                            <w:vAlign w:val="center"/>
                          </w:tcPr>
                          <w:p>
                            <w:pPr>
                              <w:pStyle w:val="TableContents"/>
                              <w:bidi w:val="0"/>
                              <w:spacing w:lineRule="atLeast" w:line="400" w:before="0" w:after="0"/>
                              <w:jc w:val="left"/>
                              <w:rPr>
                                <w:b w:val="false"/>
                                <w:sz w:val="36"/>
                              </w:rPr>
                            </w:pPr>
                            <w:r>
                              <w:rPr>
                                <w:b w:val="false"/>
                                <w:sz w:val="36"/>
                              </w:rPr>
                              <w:t>43%</w:t>
                            </w:r>
                          </w:p>
                          <w:p>
                            <w:pPr>
                              <w:pStyle w:val="TableContents"/>
                              <w:bidi w:val="0"/>
                              <w:spacing w:lineRule="atLeast" w:line="220" w:before="40" w:after="283"/>
                              <w:jc w:val="left"/>
                              <w:rPr/>
                            </w:pPr>
                            <w:r>
                              <w:rPr/>
                              <w:t>of our Board nominees currently serve or have served on the Boards of other publicly traded companies</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352425" cy="581025"/>
                                  <wp:effectExtent l="0" t="0" r="0" b="0"/>
                                  <wp:docPr id="1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7" descr=""/>
                                          <pic:cNvPicPr>
                                            <a:picLocks noChangeAspect="1" noChangeArrowheads="1"/>
                                          </pic:cNvPicPr>
                                        </pic:nvPicPr>
                                        <pic:blipFill>
                                          <a:blip r:embed="rId29"/>
                                          <a:stretch>
                                            <a:fillRect/>
                                          </a:stretch>
                                        </pic:blipFill>
                                        <pic:spPr bwMode="auto">
                                          <a:xfrm>
                                            <a:off x="0" y="0"/>
                                            <a:ext cx="352425" cy="581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300" w:before="0" w:after="0"/>
                              <w:jc w:val="left"/>
                              <w:rPr>
                                <w:b/>
                                <w:color w:val="1F2668"/>
                                <w:sz w:val="26"/>
                              </w:rPr>
                            </w:pPr>
                            <w:r>
                              <w:rPr>
                                <w:b/>
                                <w:color w:val="1F2668"/>
                                <w:sz w:val="26"/>
                              </w:rPr>
                              <w:t>Leadership</w:t>
                            </w:r>
                          </w:p>
                          <w:p>
                            <w:pPr>
                              <w:pStyle w:val="TableContents"/>
                              <w:bidi w:val="0"/>
                              <w:spacing w:lineRule="atLeast" w:line="220" w:before="60" w:after="283"/>
                              <w:jc w:val="left"/>
                              <w:rPr/>
                            </w:pPr>
                            <w:r>
                              <w:rPr>
                                <w:spacing w:val="-2"/>
                              </w:rPr>
                              <w:t>Our Board nominees have strong corporate leadership backgrounds such as being CEO, CFO or holding other executive positions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02" w:type="dxa"/>
                            <w:tcBorders/>
                            <w:vAlign w:val="center"/>
                          </w:tcPr>
                          <w:p>
                            <w:pPr>
                              <w:pStyle w:val="TableContents"/>
                              <w:bidi w:val="0"/>
                              <w:spacing w:before="0" w:after="0"/>
                              <w:jc w:val="left"/>
                              <w:rPr/>
                            </w:pPr>
                            <w:r>
                              <w:rPr/>
                              <w:drawing>
                                <wp:inline distT="0" distB="0" distL="0" distR="0">
                                  <wp:extent cx="419100" cy="419100"/>
                                  <wp:effectExtent l="0" t="0" r="0" b="0"/>
                                  <wp:docPr id="1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8" descr=""/>
                                          <pic:cNvPicPr>
                                            <a:picLocks noChangeAspect="1" noChangeArrowheads="1"/>
                                          </pic:cNvPicPr>
                                        </pic:nvPicPr>
                                        <pic:blipFill>
                                          <a:blip r:embed="rId3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906" w:type="dxa"/>
                            <w:tcBorders/>
                            <w:vAlign w:val="center"/>
                          </w:tcPr>
                          <w:p>
                            <w:pPr>
                              <w:pStyle w:val="TableContents"/>
                              <w:bidi w:val="0"/>
                              <w:spacing w:lineRule="atLeast" w:line="400" w:before="0" w:after="0"/>
                              <w:jc w:val="left"/>
                              <w:rPr>
                                <w:b w:val="false"/>
                                <w:color w:val="1F2668"/>
                                <w:sz w:val="36"/>
                              </w:rPr>
                            </w:pPr>
                            <w:r>
                              <w:rPr>
                                <w:b w:val="false"/>
                                <w:color w:val="1F2668"/>
                                <w:sz w:val="36"/>
                              </w:rPr>
                              <w:t>86%</w:t>
                            </w:r>
                          </w:p>
                          <w:p>
                            <w:pPr>
                              <w:pStyle w:val="TableContents"/>
                              <w:bidi w:val="0"/>
                              <w:spacing w:lineRule="atLeast" w:line="220" w:before="40" w:after="283"/>
                              <w:jc w:val="left"/>
                              <w:rPr/>
                            </w:pPr>
                            <w:r>
                              <w:rPr/>
                              <w:t>of our Board nominees currently serve or have served as CEO or in senior leadership positions</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283"/>
        <w:ind w:left="900" w:right="0" w:hanging="0"/>
        <w:jc w:val="left"/>
        <w:rPr>
          <w:caps w:val="false"/>
          <w:smallCaps w:val="false"/>
          <w:color w:val="000000"/>
          <w:bdr w:val="single" w:sz="8" w:space="1" w:color="83AD40"/>
        </w:rPr>
      </w:pPr>
      <w:r>
        <w:rPr>
          <w:caps w:val="false"/>
          <w:smallCaps w:val="false"/>
          <w:color w:val="000000"/>
          <w:bdr w:val="single" w:sz="8" w:space="1" w:color="83AD4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893" w:type="dxa"/>
        <w:jc w:val="left"/>
        <w:tblInd w:w="900" w:type="dxa"/>
        <w:tblLayout w:type="fixed"/>
        <w:tblCellMar>
          <w:top w:w="0" w:type="dxa"/>
          <w:left w:w="0" w:type="dxa"/>
          <w:bottom w:w="0" w:type="dxa"/>
          <w:right w:w="0" w:type="dxa"/>
        </w:tblCellMar>
      </w:tblPr>
      <w:tblGrid>
        <w:gridCol w:w="124"/>
        <w:gridCol w:w="22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Compensation Program Highlights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Simplified Pay Elements with Continued Emphasis on At-Risk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To align with stockholder feedback, our compensation structure has been updated in recent years to include just four pay elements: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3586"/>
        <w:gridCol w:w="109"/>
        <w:gridCol w:w="109"/>
        <w:gridCol w:w="2180"/>
        <w:gridCol w:w="109"/>
        <w:gridCol w:w="109"/>
        <w:gridCol w:w="2824"/>
        <w:gridCol w:w="155"/>
      </w:tblGrid>
      <w:tr>
        <w:trPr/>
        <w:tc>
          <w:tcPr>
            <w:tcW w:w="124" w:type="dxa"/>
            <w:tcBorders>
              <w:bottom w:val="single" w:sz="8" w:space="0" w:color="1F2668"/>
            </w:tcBorders>
            <w:vAlign w:val="center"/>
          </w:tcPr>
          <w:p>
            <w:pPr>
              <w:pStyle w:val="TableContents"/>
              <w:bidi w:val="0"/>
              <w:spacing w:before="0" w:after="283"/>
              <w:jc w:val="left"/>
              <w:rPr/>
            </w:pPr>
            <w:r>
              <w:rPr/>
              <w:t>​</w:t>
            </w:r>
          </w:p>
        </w:tc>
        <w:tc>
          <w:tcPr>
            <w:tcW w:w="3586"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180" w:type="dxa"/>
            <w:tcBorders>
              <w:bottom w:val="single" w:sz="8" w:space="0" w:color="1F2668"/>
            </w:tcBorders>
            <w:tcMar>
              <w:bottom w:w="50" w:type="dxa"/>
            </w:tcMar>
            <w:vAlign w:val="center"/>
          </w:tcPr>
          <w:p>
            <w:pPr>
              <w:pStyle w:val="TableContents"/>
              <w:bidi w:val="0"/>
              <w:spacing w:before="0" w:after="0"/>
              <w:ind w:left="200" w:right="0" w:hanging="0"/>
              <w:jc w:val="left"/>
              <w:rPr>
                <w:spacing w:val="2"/>
              </w:rPr>
            </w:pPr>
            <w:r>
              <w:rPr>
                <w:spacing w:val="2"/>
              </w:rPr>
              <w:t xml:space="preserve">Pay Element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824"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Key Characteristics </w:t>
            </w:r>
          </w:p>
        </w:tc>
        <w:tc>
          <w:tcPr>
            <w:tcW w:w="155" w:type="dxa"/>
            <w:tcBorders>
              <w:bottom w:val="single" w:sz="8" w:space="0" w:color="1F2668"/>
            </w:tcBorders>
            <w:vAlign w:val="center"/>
          </w:tcPr>
          <w:p>
            <w:pPr>
              <w:pStyle w:val="TableContents"/>
              <w:bidi w:val="0"/>
              <w:spacing w:before="0" w:after="283"/>
              <w:jc w:val="left"/>
              <w:rPr/>
            </w:pPr>
            <w:r>
              <w:rPr/>
              <w:t>​</w:t>
            </w:r>
          </w:p>
        </w:tc>
      </w:tr>
      <w:tr>
        <w:trPr/>
        <w:tc>
          <w:tcPr>
            <w:tcW w:w="124" w:type="dxa"/>
            <w:vMerge w:val="restart"/>
            <w:tcBorders>
              <w:bottom w:val="single" w:sz="6" w:space="0" w:color="1F2668"/>
            </w:tcBorders>
            <w:shd w:fill="1F2668" w:val="clear"/>
            <w:vAlign w:val="center"/>
          </w:tcPr>
          <w:p>
            <w:pPr>
              <w:pStyle w:val="TableContents"/>
              <w:bidi w:val="0"/>
              <w:spacing w:before="0" w:after="283"/>
              <w:jc w:val="left"/>
              <w:rPr/>
            </w:pPr>
            <w:r>
              <w:rPr/>
              <w:t>​</w:t>
            </w:r>
          </w:p>
        </w:tc>
        <w:tc>
          <w:tcPr>
            <w:tcW w:w="3586" w:type="dxa"/>
            <w:vMerge w:val="restart"/>
            <w:tcBorders>
              <w:bottom w:val="single" w:sz="6" w:space="0" w:color="1F2668"/>
            </w:tcBorders>
            <w:shd w:fill="1F2668"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38150" cy="355600"/>
                      <wp:effectExtent l="0" t="0" r="0" b="0"/>
                      <wp:wrapNone/>
                      <wp:docPr id="130" name="Frame101"/>
                      <a:graphic xmlns:a="http://schemas.openxmlformats.org/drawingml/2006/main">
                        <a:graphicData uri="http://schemas.microsoft.com/office/word/2010/wordprocessingShape">
                          <wps:wsp>
                            <wps:cNvSpPr txBox="1"/>
                            <wps:spPr>
                              <a:xfrm>
                                <a:off x="0" y="0"/>
                                <a:ext cx="438150" cy="355600"/>
                              </a:xfrm>
                              <a:prstGeom prst="rect"/>
                              <a:solidFill>
                                <a:srgbClr val="FFFFFF"/>
                              </a:solidFill>
                            </wps:spPr>
                            <wps:txbx>
                              <w:txbxContent>
                                <w:p>
                                  <w:pPr>
                                    <w:pStyle w:val="TextBody"/>
                                    <w:bidi w:val="0"/>
                                    <w:spacing w:before="0" w:after="283"/>
                                    <w:jc w:val="left"/>
                                    <w:rPr>
                                      <w:b/>
                                      <w:color w:val="FFFFFF"/>
                                    </w:rPr>
                                  </w:pPr>
                                  <w:r>
                                    <w:rPr>
                                      <w:b/>
                                      <w:color w:val="FFFFFF"/>
                                    </w:rPr>
                                    <w:t xml:space="preserve">FIXED </w:t>
                                  </w:r>
                                </w:p>
                              </w:txbxContent>
                            </wps:txbx>
                            <wps:bodyPr anchor="t" lIns="0" tIns="0" rIns="0" bIns="0">
                              <a:noAutofit/>
                            </wps:bodyPr>
                          </wps:wsp>
                        </a:graphicData>
                      </a:graphic>
                    </wp:anchor>
                  </w:drawing>
                </mc:Choice>
                <mc:Fallback>
                  <w:pict>
                    <v:rect style="position:absolute;rotation:-0;width:34.5pt;height: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FFFFFF"/>
                              </w:rPr>
                            </w:pPr>
                            <w:r>
                              <w:rPr>
                                <w:b/>
                                <w:color w:val="FFFFFF"/>
                              </w:rPr>
                              <w:t xml:space="preserve">FIXED </w:t>
                            </w:r>
                          </w:p>
                        </w:txbxContent>
                      </v:textbox>
                      <w10:wrap type="none"/>
                    </v:rect>
                  </w:pict>
                </mc:Fallback>
              </mc:AlternateContent>
            </w:r>
          </w:p>
        </w:tc>
        <w:tc>
          <w:tcPr>
            <w:tcW w:w="109" w:type="dxa"/>
            <w:vMerge w:val="restart"/>
            <w:tcBorders>
              <w:bottom w:val="single" w:sz="6" w:space="0" w:color="1F2668"/>
            </w:tcBorders>
            <w:shd w:fill="1F2668" w:val="clear"/>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180" w:type="dxa"/>
            <w:vMerge w:val="restart"/>
            <w:tcBorders>
              <w:bottom w:val="single" w:sz="6" w:space="0" w:color="1F2668"/>
            </w:tcBorders>
            <w:vAlign w:val="center"/>
          </w:tcPr>
          <w:p>
            <w:pPr>
              <w:pStyle w:val="TableContents"/>
              <w:bidi w:val="0"/>
              <w:spacing w:lineRule="atLeast" w:line="220" w:before="0" w:after="0"/>
              <w:ind w:left="200" w:right="0" w:hanging="0"/>
              <w:jc w:val="left"/>
              <w:rPr>
                <w:b/>
                <w:color w:val="1F2668"/>
              </w:rPr>
            </w:pPr>
            <w:r>
              <w:rPr>
                <w:b/>
                <w:color w:val="1F2668"/>
              </w:rPr>
              <w:t>Annual Base Salary</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824" w:type="dxa"/>
            <w:tcBorders>
              <w:bottom w:val="single" w:sz="6" w:space="0" w:color="1F2668"/>
            </w:tcBorders>
            <w:tcMar>
              <w:bottom w:w="40" w:type="dxa"/>
            </w:tcMar>
            <w:vAlign w:val="center"/>
          </w:tcPr>
          <w:p>
            <w:pPr>
              <w:pStyle w:val="TableContents"/>
              <w:bidi w:val="0"/>
              <w:spacing w:lineRule="atLeast" w:line="220" w:before="0" w:after="0"/>
              <w:jc w:val="left"/>
              <w:rPr>
                <w:spacing w:val="-2"/>
              </w:rPr>
            </w:pPr>
            <w:r>
              <w:rPr>
                <w:spacing w:val="-2"/>
              </w:rPr>
              <w:t xml:space="preserve">Represents the only fixed pay element </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6" w:space="0" w:color="1F2668"/>
            </w:tcBorders>
            <w:shd w:fill="1F2668" w:val="clear"/>
            <w:vAlign w:val="center"/>
          </w:tcPr>
          <w:p>
            <w:pPr>
              <w:pStyle w:val="Normal"/>
              <w:bidi w:val="0"/>
              <w:jc w:val="left"/>
              <w:rPr/>
            </w:pPr>
            <w:r>
              <w:rPr/>
            </w:r>
          </w:p>
        </w:tc>
        <w:tc>
          <w:tcPr>
            <w:tcW w:w="3586" w:type="dxa"/>
            <w:vMerge w:val="continue"/>
            <w:tcBorders>
              <w:bottom w:val="single" w:sz="6" w:space="0" w:color="1F2668"/>
            </w:tcBorders>
            <w:shd w:fill="1F2668" w:val="clear"/>
            <w:vAlign w:val="center"/>
          </w:tcPr>
          <w:p>
            <w:pPr>
              <w:pStyle w:val="Normal"/>
              <w:bidi w:val="0"/>
              <w:jc w:val="left"/>
              <w:rPr/>
            </w:pPr>
            <w:r>
              <w:rPr/>
            </w:r>
          </w:p>
        </w:tc>
        <w:tc>
          <w:tcPr>
            <w:tcW w:w="109" w:type="dxa"/>
            <w:vMerge w:val="continue"/>
            <w:tcBorders>
              <w:bottom w:val="single" w:sz="6" w:space="0" w:color="1F2668"/>
            </w:tcBorders>
            <w:shd w:fill="1F2668"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180"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824" w:type="dxa"/>
            <w:tcBorders>
              <w:bottom w:val="single" w:sz="6" w:space="0" w:color="1F2668"/>
            </w:tcBorders>
            <w:shd w:fill="E9F9D8" w:val="clear"/>
            <w:tcMar>
              <w:bottom w:w="40" w:type="dxa"/>
            </w:tcMar>
            <w:vAlign w:val="center"/>
          </w:tcPr>
          <w:p>
            <w:pPr>
              <w:pStyle w:val="TableContents"/>
              <w:bidi w:val="0"/>
              <w:spacing w:before="0" w:after="283"/>
              <w:jc w:val="left"/>
              <w:rPr/>
            </w:pPr>
            <w:r>
              <w:rPr/>
              <w:t>No change in CEO base salary since 2018</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restart"/>
            <w:tcBorders>
              <w:bottom w:val="single" w:sz="12" w:space="0" w:color="1F2668"/>
            </w:tcBorders>
            <w:shd w:fill="83AD40" w:val="clear"/>
            <w:vAlign w:val="center"/>
          </w:tcPr>
          <w:p>
            <w:pPr>
              <w:pStyle w:val="TableContents"/>
              <w:bidi w:val="0"/>
              <w:spacing w:before="0" w:after="283"/>
              <w:jc w:val="left"/>
              <w:rPr/>
            </w:pPr>
            <w:r>
              <w:rPr/>
              <w:t>​</w:t>
            </w:r>
          </w:p>
        </w:tc>
        <w:tc>
          <w:tcPr>
            <w:tcW w:w="3586" w:type="dxa"/>
            <w:vMerge w:val="restart"/>
            <w:tcBorders>
              <w:bottom w:val="single" w:sz="12" w:space="0" w:color="1F2668"/>
            </w:tcBorders>
            <w:shd w:fill="83AD40"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222500" cy="355600"/>
                      <wp:effectExtent l="0" t="0" r="0" b="0"/>
                      <wp:wrapNone/>
                      <wp:docPr id="131" name="Frame102"/>
                      <a:graphic xmlns:a="http://schemas.openxmlformats.org/drawingml/2006/main">
                        <a:graphicData uri="http://schemas.microsoft.com/office/word/2010/wordprocessingShape">
                          <wps:wsp>
                            <wps:cNvSpPr txBox="1"/>
                            <wps:spPr>
                              <a:xfrm>
                                <a:off x="0" y="0"/>
                                <a:ext cx="2222500" cy="355600"/>
                              </a:xfrm>
                              <a:prstGeom prst="rect"/>
                              <a:solidFill>
                                <a:srgbClr val="FFFFFF"/>
                              </a:solidFill>
                            </wps:spPr>
                            <wps:txbx>
                              <w:txbxContent>
                                <w:p>
                                  <w:pPr>
                                    <w:pStyle w:val="TextBody"/>
                                    <w:bidi w:val="0"/>
                                    <w:spacing w:before="0" w:after="283"/>
                                    <w:jc w:val="left"/>
                                    <w:rPr>
                                      <w:b/>
                                      <w:color w:val="FFFFFF"/>
                                    </w:rPr>
                                  </w:pPr>
                                  <w:r>
                                    <w:rPr>
                                      <w:b/>
                                      <w:color w:val="FFFFFF"/>
                                    </w:rPr>
                                    <w:t xml:space="preserve">AT-RISK </w:t>
                                  </w:r>
                                </w:p>
                              </w:txbxContent>
                            </wps:txbx>
                            <wps:bodyPr anchor="t" lIns="0" tIns="0" rIns="0" bIns="0">
                              <a:noAutofit/>
                            </wps:bodyPr>
                          </wps:wsp>
                        </a:graphicData>
                      </a:graphic>
                    </wp:anchor>
                  </w:drawing>
                </mc:Choice>
                <mc:Fallback>
                  <w:pict>
                    <v:rect style="position:absolute;rotation:-0;width:175pt;height: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FFFFFF"/>
                              </w:rPr>
                            </w:pPr>
                            <w:r>
                              <w:rPr>
                                <w:b/>
                                <w:color w:val="FFFFFF"/>
                              </w:rPr>
                              <w:t xml:space="preserve">AT-RISK </w:t>
                            </w:r>
                          </w:p>
                        </w:txbxContent>
                      </v:textbox>
                      <w10:wrap type="none"/>
                    </v:rect>
                  </w:pict>
                </mc:Fallback>
              </mc:AlternateContent>
            </w:r>
          </w:p>
        </w:tc>
        <w:tc>
          <w:tcPr>
            <w:tcW w:w="109" w:type="dxa"/>
            <w:vMerge w:val="restart"/>
            <w:tcBorders>
              <w:bottom w:val="single" w:sz="12" w:space="0" w:color="1F2668"/>
            </w:tcBorders>
            <w:shd w:fill="83AD40" w:val="clear"/>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180" w:type="dxa"/>
            <w:vMerge w:val="restart"/>
            <w:tcBorders>
              <w:bottom w:val="single" w:sz="6" w:space="0" w:color="1F2668"/>
            </w:tcBorders>
            <w:vAlign w:val="center"/>
          </w:tcPr>
          <w:p>
            <w:pPr>
              <w:pStyle w:val="TableContents"/>
              <w:bidi w:val="0"/>
              <w:spacing w:lineRule="atLeast" w:line="220" w:before="0" w:after="0"/>
              <w:ind w:left="200" w:right="0" w:hanging="0"/>
              <w:jc w:val="left"/>
              <w:rPr>
                <w:b/>
                <w:color w:val="1F2668"/>
              </w:rPr>
            </w:pPr>
            <w:r>
              <w:rPr>
                <w:b/>
                <w:color w:val="1F2668"/>
              </w:rPr>
              <w:t>Annual Bonus</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824" w:type="dxa"/>
            <w:tcBorders>
              <w:bottom w:val="single" w:sz="6" w:space="0" w:color="1F2668"/>
            </w:tcBorders>
            <w:vAlign w:val="center"/>
          </w:tcPr>
          <w:p>
            <w:pPr>
              <w:pStyle w:val="TableContents"/>
              <w:bidi w:val="0"/>
              <w:spacing w:lineRule="atLeast" w:line="220" w:before="0" w:after="0"/>
              <w:jc w:val="left"/>
              <w:rPr/>
            </w:pPr>
            <w:r>
              <w:rPr>
                <w:spacing w:val="-2"/>
              </w:rPr>
              <w:t>Determined 100% formulaically for our CEO based on metrics that directly correspond to our strategy</w:t>
            </w:r>
            <w:r>
              <w:rPr/>
              <w:t xml:space="preserve"> </w:t>
            </w:r>
          </w:p>
          <w:p>
            <w:pPr>
              <w:pStyle w:val="TableContents"/>
              <w:bidi w:val="0"/>
              <w:spacing w:lineRule="atLeast" w:line="220" w:before="60" w:after="283"/>
              <w:jc w:val="left"/>
              <w:rPr>
                <w:spacing w:val="-2"/>
              </w:rPr>
            </w:pPr>
            <w:r>
              <w:rPr>
                <w:spacing w:val="-2"/>
              </w:rPr>
              <w:t xml:space="preserve">Up to 100% of annual incentive can be received in equity that remains subject to a three-year no-sell restriction </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35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180"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824" w:type="dxa"/>
            <w:tcBorders>
              <w:bottom w:val="single" w:sz="6" w:space="0" w:color="1F2668"/>
            </w:tcBorders>
            <w:shd w:fill="E9F9D8" w:val="clear"/>
            <w:vAlign w:val="center"/>
          </w:tcPr>
          <w:p>
            <w:pPr>
              <w:pStyle w:val="TableContents"/>
              <w:bidi w:val="0"/>
              <w:spacing w:before="0" w:after="283"/>
              <w:jc w:val="left"/>
              <w:rPr/>
            </w:pPr>
            <w:r>
              <w:rPr/>
              <w:t>For 2023, CFO annual bonus determined 60% formulaically based on same metrics used to determine CEO annual bonus</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35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180" w:type="dxa"/>
            <w:vMerge w:val="restart"/>
            <w:tcBorders>
              <w:bottom w:val="single" w:sz="6" w:space="0" w:color="1F2668"/>
            </w:tcBorders>
            <w:vAlign w:val="center"/>
          </w:tcPr>
          <w:p>
            <w:pPr>
              <w:pStyle w:val="TableContents"/>
              <w:bidi w:val="0"/>
              <w:spacing w:lineRule="atLeast" w:line="220" w:before="0" w:after="0"/>
              <w:ind w:left="200" w:right="0" w:hanging="0"/>
              <w:jc w:val="left"/>
              <w:rPr>
                <w:b/>
                <w:color w:val="1F2668"/>
              </w:rPr>
            </w:pPr>
            <w:r>
              <w:rPr>
                <w:b/>
                <w:color w:val="1F2668"/>
              </w:rPr>
              <w:t>Performance-Based Equity Awards</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824" w:type="dxa"/>
            <w:tcBorders>
              <w:bottom w:val="single" w:sz="6" w:space="0" w:color="1F2668"/>
            </w:tcBorders>
            <w:vAlign w:val="center"/>
          </w:tcPr>
          <w:p>
            <w:pPr>
              <w:pStyle w:val="TableContents"/>
              <w:bidi w:val="0"/>
              <w:spacing w:lineRule="atLeast" w:line="220" w:before="0" w:after="0"/>
              <w:jc w:val="left"/>
              <w:rPr>
                <w:spacing w:val="-2"/>
              </w:rPr>
            </w:pPr>
            <w:r>
              <w:rPr>
                <w:spacing w:val="-2"/>
              </w:rPr>
              <w:t xml:space="preserve">Awards are based (i) 50% on performance against annual operating goals, subject to an absolute TSR modifier over a three-year performance period, and (ii) 50% on relative TSR over a three-year performance period, subject to a vesting cap if absolute TSR is negative </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35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180"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824" w:type="dxa"/>
            <w:tcBorders>
              <w:bottom w:val="single" w:sz="6" w:space="0" w:color="1F2668"/>
            </w:tcBorders>
            <w:shd w:fill="E9F9D8" w:val="clear"/>
            <w:vAlign w:val="center"/>
          </w:tcPr>
          <w:p>
            <w:pPr>
              <w:pStyle w:val="TableContents"/>
              <w:bidi w:val="0"/>
              <w:spacing w:before="0" w:after="283"/>
              <w:jc w:val="left"/>
              <w:rPr/>
            </w:pPr>
            <w:r>
              <w:rPr/>
              <w:t>Greater than 60% of CEO’s target equity incentives are in the form of performance-based equity incentives</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35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2180" w:type="dxa"/>
            <w:tcBorders/>
            <w:tcMar>
              <w:top w:w="28" w:type="dxa"/>
              <w:left w:w="28" w:type="dxa"/>
              <w:right w:w="28" w:type="dxa"/>
            </w:tcMar>
            <w:vAlign w:val="center"/>
          </w:tcPr>
          <w:p>
            <w:pPr>
              <w:pStyle w:val="TableContents"/>
              <w:bidi w:val="0"/>
              <w:spacing w:before="0" w:after="0"/>
              <w:ind w:left="200" w:right="0" w:hanging="0"/>
              <w:jc w:val="left"/>
              <w:rPr>
                <w:b/>
                <w:color w:val="1F2668"/>
              </w:rPr>
            </w:pPr>
            <w:r>
              <w:rPr>
                <w:b/>
                <w:color w:val="1F2668"/>
              </w:rPr>
              <w:t>Time-Based Equity Awards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24" w:type="dxa"/>
            <w:tcBorders/>
            <w:tcMar>
              <w:bottom w:w="0" w:type="dxa"/>
            </w:tcMar>
            <w:vAlign w:val="center"/>
          </w:tcPr>
          <w:p>
            <w:pPr>
              <w:pStyle w:val="TableContents"/>
              <w:bidi w:val="0"/>
              <w:spacing w:before="0" w:after="283"/>
              <w:jc w:val="left"/>
              <w:rPr/>
            </w:pPr>
            <w:r>
              <w:rPr>
                <w:spacing w:val="-2"/>
              </w:rPr>
              <w:t>Multi-year time-based equity awards that vest based on continued service, and are subject to a no-sell restriction for three years after grant date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24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Majority of 2023 Pay at Risk</w:t>
      </w:r>
      <w:r>
        <w:rPr>
          <w:rFonts w:ascii="Arial;Helvetica;sans-serif" w:hAnsi="Arial;Helvetica;sans-serif"/>
          <w:b/>
          <w:i w:val="false"/>
          <w:caps w:val="false"/>
          <w:smallCaps w:val="false"/>
          <w:color w:val="000000"/>
          <w:spacing w:val="4"/>
          <w:sz w:val="2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791200" cy="2505075"/>
            <wp:effectExtent l="0" t="0" r="0" b="0"/>
            <wp:docPr id="1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1" descr=""/>
                    <pic:cNvPicPr>
                      <a:picLocks noChangeAspect="1" noChangeArrowheads="1"/>
                    </pic:cNvPicPr>
                  </pic:nvPicPr>
                  <pic:blipFill>
                    <a:blip r:embed="rId31"/>
                    <a:stretch>
                      <a:fillRect/>
                    </a:stretch>
                  </pic:blipFill>
                  <pic:spPr bwMode="auto">
                    <a:xfrm>
                      <a:off x="0" y="0"/>
                      <a:ext cx="5791200" cy="2505075"/>
                    </a:xfrm>
                    <a:prstGeom prst="rect">
                      <a:avLst/>
                    </a:prstGeom>
                  </pic:spPr>
                </pic:pic>
              </a:graphicData>
            </a:graphic>
          </wp:inline>
        </w:drawing>
      </w:r>
      <w:r>
        <w:rPr>
          <w:caps w:val="false"/>
          <w:smallCaps w:val="false"/>
          <w:color w:val="000000"/>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t>92.3% of Mr. Holliday’s Total Direct Compensation was at risk and approximately 12.5% lower than the total compensation amount set forth in the Summary Compensation Table.</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268" w:type="dxa"/>
        <w:jc w:val="left"/>
        <w:tblInd w:w="900" w:type="dxa"/>
        <w:tblLayout w:type="fixed"/>
        <w:tblCellMar>
          <w:top w:w="0" w:type="dxa"/>
          <w:left w:w="0" w:type="dxa"/>
          <w:bottom w:w="0" w:type="dxa"/>
          <w:right w:w="0" w:type="dxa"/>
        </w:tblCellMar>
      </w:tblPr>
      <w:tblGrid>
        <w:gridCol w:w="124"/>
        <w:gridCol w:w="4546"/>
        <w:gridCol w:w="109"/>
        <w:gridCol w:w="109"/>
        <w:gridCol w:w="226"/>
        <w:gridCol w:w="154"/>
      </w:tblGrid>
      <w:tr>
        <w:trPr/>
        <w:tc>
          <w:tcPr>
            <w:tcW w:w="124" w:type="dxa"/>
            <w:tcBorders/>
            <w:vAlign w:val="center"/>
          </w:tcPr>
          <w:p>
            <w:pPr>
              <w:pStyle w:val="TableContents"/>
              <w:bidi w:val="0"/>
              <w:spacing w:before="0" w:after="283"/>
              <w:jc w:val="left"/>
              <w:rPr/>
            </w:pPr>
            <w:r>
              <w:rPr/>
              <w:t>​</w:t>
            </w:r>
          </w:p>
        </w:tc>
        <w:tc>
          <w:tcPr>
            <w:tcW w:w="4546" w:type="dxa"/>
            <w:tcBorders/>
            <w:vAlign w:val="center"/>
          </w:tcPr>
          <w:p>
            <w:pPr>
              <w:pStyle w:val="TableContents"/>
              <w:bidi w:val="0"/>
              <w:spacing w:lineRule="atLeast" w:line="200" w:before="0" w:after="0"/>
              <w:jc w:val="left"/>
              <w:rPr/>
            </w:pPr>
            <w:r>
              <w:rPr/>
              <w:t>2024 PROXY STATEMENT HIGHLIGHTS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color w:val="1F2668"/>
                <w:sz w:val="24"/>
              </w:rPr>
            </w:pPr>
            <w:r>
              <w:rPr>
                <w:color w:val="1F2668"/>
                <w:sz w:val="24"/>
              </w:rPr>
              <w:t>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color w:val="83AD40"/>
          <w:sz w:val="32"/>
        </w:rPr>
      </w:pPr>
      <w:r>
        <w:rPr>
          <w:rFonts w:ascii="Arial;Helvetica;sans-serif" w:hAnsi="Arial;Helvetica;sans-serif"/>
          <w:b/>
          <w:i w:val="false"/>
          <w:caps/>
          <w:color w:val="83AD40"/>
          <w:sz w:val="32"/>
        </w:rPr>
        <w:t>ESG HIGHLIGHTS</w:t>
      </w:r>
    </w:p>
    <w:p>
      <w:pPr>
        <w:pStyle w:val="TextBody"/>
        <w:bidi w:val="0"/>
        <w:spacing w:before="0" w:after="283"/>
        <w:ind w:left="900" w:right="0" w:hanging="0"/>
        <w:jc w:val="left"/>
        <w:rPr>
          <w:caps w:val="false"/>
          <w:smallCaps w:val="false"/>
          <w:color w:val="000000"/>
          <w:bdr w:val="single" w:sz="20" w:space="1" w:color="83AD40"/>
        </w:rPr>
      </w:pPr>
      <w:r>
        <w:rPr>
          <w:caps w:val="false"/>
          <w:smallCaps w:val="false"/>
          <w:color w:val="000000"/>
          <w:bdr w:val="single" w:sz="20" w:space="1" w:color="83AD40"/>
        </w:rPr>
        <w:t>​</w:t>
      </w:r>
    </w:p>
    <w:p>
      <w:pPr>
        <w:pStyle w:val="TextBody"/>
        <w:bidi w:val="0"/>
        <w:spacing w:lineRule="atLeast" w:line="300" w:before="40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ESG Oversight</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Given the importance of ESG, the Board has specifically designated the oversight of ESG matters, including related strategy and risk to the Nominating and Corporate Governance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220" w:after="283"/>
        <w:jc w:val="center"/>
        <w:rPr>
          <w:caps w:val="false"/>
          <w:smallCaps w:val="false"/>
          <w:color w:val="000000"/>
        </w:rPr>
      </w:pPr>
      <w:r>
        <w:rPr>
          <w:caps w:val="false"/>
          <w:smallCaps w:val="false"/>
          <w:color w:val="000000"/>
        </w:rPr>
        <w:drawing>
          <wp:inline distT="0" distB="0" distL="0" distR="0">
            <wp:extent cx="5972175" cy="1781175"/>
            <wp:effectExtent l="0" t="0" r="0" b="0"/>
            <wp:docPr id="1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2" descr=""/>
                    <pic:cNvPicPr>
                      <a:picLocks noChangeAspect="1" noChangeArrowheads="1"/>
                    </pic:cNvPicPr>
                  </pic:nvPicPr>
                  <pic:blipFill>
                    <a:blip r:embed="rId32"/>
                    <a:stretch>
                      <a:fillRect/>
                    </a:stretch>
                  </pic:blipFill>
                  <pic:spPr bwMode="auto">
                    <a:xfrm>
                      <a:off x="0" y="0"/>
                      <a:ext cx="5972175" cy="1781175"/>
                    </a:xfrm>
                    <a:prstGeom prst="rect">
                      <a:avLst/>
                    </a:prstGeom>
                  </pic:spPr>
                </pic:pic>
              </a:graphicData>
            </a:graphic>
          </wp:inline>
        </w:drawing>
      </w:r>
      <w:r>
        <w:rPr>
          <w:caps w:val="false"/>
          <w:smallCaps w:val="false"/>
          <w:color w:val="00000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5829300" cy="3886200"/>
            <wp:effectExtent l="0" t="0" r="0" b="0"/>
            <wp:docPr id="1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3" descr=""/>
                    <pic:cNvPicPr>
                      <a:picLocks noChangeAspect="1" noChangeArrowheads="1"/>
                    </pic:cNvPicPr>
                  </pic:nvPicPr>
                  <pic:blipFill>
                    <a:blip r:embed="rId33"/>
                    <a:stretch>
                      <a:fillRect/>
                    </a:stretch>
                  </pic:blipFill>
                  <pic:spPr bwMode="auto">
                    <a:xfrm>
                      <a:off x="0" y="0"/>
                      <a:ext cx="5829300" cy="38862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893" w:type="dxa"/>
        <w:jc w:val="left"/>
        <w:tblInd w:w="900" w:type="dxa"/>
        <w:tblLayout w:type="fixed"/>
        <w:tblCellMar>
          <w:top w:w="0" w:type="dxa"/>
          <w:left w:w="0" w:type="dxa"/>
          <w:bottom w:w="0" w:type="dxa"/>
          <w:right w:w="0" w:type="dxa"/>
        </w:tblCellMar>
      </w:tblPr>
      <w:tblGrid>
        <w:gridCol w:w="124"/>
        <w:gridCol w:w="22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left"/>
              <w:rPr/>
            </w:pPr>
            <w:r>
              <w:rPr/>
              <w:t>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83AD40"/>
          <w:sz w:val="26"/>
        </w:rPr>
      </w:pPr>
      <w:r>
        <w:rPr>
          <w:rFonts w:ascii="Arial;Helvetica;sans-serif" w:hAnsi="Arial;Helvetica;sans-serif"/>
          <w:b/>
          <w:i w:val="false"/>
          <w:caps w:val="false"/>
          <w:smallCaps w:val="false"/>
          <w:color w:val="83AD40"/>
          <w:sz w:val="26"/>
        </w:rPr>
        <w:t>Key ESG Achievements</w:t>
      </w:r>
      <w:r>
        <w:rPr>
          <w:rFonts w:ascii="Arial;Helvetica;sans-serif" w:hAnsi="Arial;Helvetica;sans-serif"/>
          <w:b/>
          <w:i w:val="false"/>
          <w:caps w:val="false"/>
          <w:smallCaps w:val="false"/>
          <w:color w:val="000000"/>
          <w:spacing w:val="5"/>
          <w:sz w:val="26"/>
        </w:rPr>
        <w:t xml:space="preserve"> </w:t>
      </w:r>
    </w:p>
    <w:tbl>
      <w:tblPr>
        <w:tblW w:w="10856" w:type="dxa"/>
        <w:jc w:val="left"/>
        <w:tblInd w:w="900" w:type="dxa"/>
        <w:tblLayout w:type="fixed"/>
        <w:tblCellMar>
          <w:top w:w="0" w:type="dxa"/>
          <w:left w:w="0" w:type="dxa"/>
          <w:bottom w:w="117" w:type="dxa"/>
          <w:right w:w="0" w:type="dxa"/>
        </w:tblCellMar>
      </w:tblPr>
      <w:tblGrid>
        <w:gridCol w:w="1194"/>
        <w:gridCol w:w="109"/>
        <w:gridCol w:w="109"/>
        <w:gridCol w:w="851"/>
        <w:gridCol w:w="109"/>
        <w:gridCol w:w="109"/>
        <w:gridCol w:w="1477"/>
        <w:gridCol w:w="109"/>
        <w:gridCol w:w="109"/>
        <w:gridCol w:w="1346"/>
        <w:gridCol w:w="109"/>
        <w:gridCol w:w="109"/>
        <w:gridCol w:w="1176"/>
        <w:gridCol w:w="109"/>
        <w:gridCol w:w="109"/>
        <w:gridCol w:w="866"/>
        <w:gridCol w:w="109"/>
        <w:gridCol w:w="109"/>
        <w:gridCol w:w="1355"/>
        <w:gridCol w:w="109"/>
        <w:gridCol w:w="109"/>
        <w:gridCol w:w="911"/>
        <w:gridCol w:w="154"/>
      </w:tblGrid>
      <w:tr>
        <w:trPr/>
        <w:tc>
          <w:tcPr>
            <w:tcW w:w="2263" w:type="dxa"/>
            <w:gridSpan w:val="4"/>
            <w:tcBorders>
              <w:bottom w:val="single" w:sz="4" w:space="0" w:color="1F2668"/>
            </w:tcBorders>
            <w:vAlign w:val="center"/>
          </w:tcPr>
          <w:p>
            <w:pPr>
              <w:pStyle w:val="TableContents"/>
              <w:bidi w:val="0"/>
              <w:spacing w:before="0" w:after="0"/>
              <w:jc w:val="left"/>
              <w:rPr/>
            </w:pPr>
            <w:r>
              <w:rPr/>
              <w:t>ESG Leadership</w:t>
            </w:r>
            <w:r>
              <w:rPr>
                <w:color w:val="000000"/>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041" w:type="dxa"/>
            <w:gridSpan w:val="4"/>
            <w:tcBorders>
              <w:bottom w:val="single" w:sz="4" w:space="0" w:color="1F2668"/>
            </w:tcBorders>
            <w:vAlign w:val="center"/>
          </w:tcPr>
          <w:p>
            <w:pPr>
              <w:pStyle w:val="TableContents"/>
              <w:bidi w:val="0"/>
              <w:spacing w:before="0" w:after="283"/>
              <w:jc w:val="left"/>
              <w:rPr/>
            </w:pPr>
            <w:r>
              <w:rPr/>
              <w:t>Industry</w:t>
              <w:br/>
              <w:t>Leadership</w:t>
            </w:r>
            <w:r>
              <w:rPr>
                <w:color w:val="000000"/>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260" w:type="dxa"/>
            <w:gridSpan w:val="4"/>
            <w:tcBorders>
              <w:bottom w:val="single" w:sz="4" w:space="0" w:color="1F2668"/>
            </w:tcBorders>
            <w:vAlign w:val="center"/>
          </w:tcPr>
          <w:p>
            <w:pPr>
              <w:pStyle w:val="TableContents"/>
              <w:bidi w:val="0"/>
              <w:spacing w:before="0" w:after="283"/>
              <w:jc w:val="left"/>
              <w:rPr/>
            </w:pPr>
            <w:r>
              <w:rPr/>
              <w:t>Building</w:t>
              <w:br/>
              <w:t>Certifications</w:t>
            </w:r>
            <w:r>
              <w:rPr>
                <w:color w:val="000000"/>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2484" w:type="dxa"/>
            <w:gridSpan w:val="4"/>
            <w:tcBorders>
              <w:bottom w:val="single" w:sz="4" w:space="0" w:color="1F2668"/>
            </w:tcBorders>
            <w:vAlign w:val="center"/>
          </w:tcPr>
          <w:p>
            <w:pPr>
              <w:pStyle w:val="TableContents"/>
              <w:bidi w:val="0"/>
              <w:spacing w:before="0" w:after="283"/>
              <w:jc w:val="left"/>
              <w:rPr/>
            </w:pPr>
            <w:r>
              <w:rPr/>
              <w:t>Awards &amp;</w:t>
              <w:br/>
              <w:t>Accolades</w:t>
            </w:r>
            <w:r>
              <w:rPr>
                <w:color w:val="000000"/>
              </w:rPr>
              <w:t>​</w:t>
            </w:r>
          </w:p>
        </w:tc>
        <w:tc>
          <w:tcPr>
            <w:tcW w:w="154"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1194"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Highest Scoring </w:t>
              <w:br/>
              <w:t xml:space="preserve">U.S. Office REIT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5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47675" cy="152400"/>
                  <wp:effectExtent l="0" t="0" r="0" b="0"/>
                  <wp:docPr id="1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4" descr=""/>
                          <pic:cNvPicPr>
                            <a:picLocks noChangeAspect="1" noChangeArrowheads="1"/>
                          </pic:cNvPicPr>
                        </pic:nvPicPr>
                        <pic:blipFill>
                          <a:blip r:embed="rId34"/>
                          <a:stretch>
                            <a:fillRect/>
                          </a:stretch>
                        </pic:blipFill>
                        <pic:spPr bwMode="auto">
                          <a:xfrm>
                            <a:off x="0" y="0"/>
                            <a:ext cx="447675" cy="1524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Validated </w:t>
              <w:br/>
              <w:t xml:space="preserve">Science-Based </w:t>
              <w:br/>
              <w:t xml:space="preserve">Targets with </w:t>
              <w:br/>
              <w:t xml:space="preserve">SBTi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34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257175"/>
                  <wp:effectExtent l="0" t="0" r="0" b="0"/>
                  <wp:docPr id="1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5" descr=""/>
                          <pic:cNvPicPr>
                            <a:picLocks noChangeAspect="1" noChangeArrowheads="1"/>
                          </pic:cNvPicPr>
                        </pic:nvPicPr>
                        <pic:blipFill>
                          <a:blip r:embed="rId35"/>
                          <a:stretch>
                            <a:fillRect/>
                          </a:stretch>
                        </pic:blipFill>
                        <pic:spPr bwMode="auto">
                          <a:xfrm>
                            <a:off x="0" y="0"/>
                            <a:ext cx="466725" cy="25717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6"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12 Buildings Certified — </w:t>
              <w:br/>
              <w:t xml:space="preserve">11.4M SF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6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57200" cy="466725"/>
                  <wp:effectExtent l="0" t="0" r="0" b="0"/>
                  <wp:docPr id="1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6" descr=""/>
                          <pic:cNvPicPr>
                            <a:picLocks noChangeAspect="1" noChangeArrowheads="1"/>
                          </pic:cNvPicPr>
                        </pic:nvPicPr>
                        <pic:blipFill>
                          <a:blip r:embed="rId36"/>
                          <a:stretch>
                            <a:fillRect/>
                          </a:stretch>
                        </pic:blipFill>
                        <pic:spPr bwMode="auto">
                          <a:xfrm>
                            <a:off x="0" y="0"/>
                            <a:ext cx="457200" cy="4667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5"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Partner of the </w:t>
              <w:br/>
              <w:t xml:space="preserve">Year Sustained Excellence </w:t>
              <w:br/>
              <w:t xml:space="preserve">2018-2023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91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228600"/>
                  <wp:effectExtent l="0" t="0" r="0" b="0"/>
                  <wp:docPr id="1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7" descr=""/>
                          <pic:cNvPicPr>
                            <a:picLocks noChangeAspect="1" noChangeArrowheads="1"/>
                          </pic:cNvPicPr>
                        </pic:nvPicPr>
                        <pic:blipFill>
                          <a:blip r:embed="rId37"/>
                          <a:stretch>
                            <a:fillRect/>
                          </a:stretch>
                        </pic:blipFill>
                        <pic:spPr bwMode="auto">
                          <a:xfrm>
                            <a:off x="0" y="0"/>
                            <a:ext cx="466725" cy="228600"/>
                          </a:xfrm>
                          <a:prstGeom prst="rect">
                            <a:avLst/>
                          </a:prstGeom>
                        </pic:spPr>
                      </pic:pic>
                    </a:graphicData>
                  </a:graphic>
                </wp:inline>
              </w:drawing>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4"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Top 20% of </w:t>
              <w:br/>
              <w:t xml:space="preserve">all GRESB Participants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5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57200" cy="304800"/>
                  <wp:effectExtent l="0" t="0" r="0" b="0"/>
                  <wp:docPr id="1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8" descr=""/>
                          <pic:cNvPicPr>
                            <a:picLocks noChangeAspect="1" noChangeArrowheads="1"/>
                          </pic:cNvPicPr>
                        </pic:nvPicPr>
                        <pic:blipFill>
                          <a:blip r:embed="rId38"/>
                          <a:stretch>
                            <a:fillRect/>
                          </a:stretch>
                        </pic:blipFill>
                        <pic:spPr bwMode="auto">
                          <a:xfrm>
                            <a:off x="0" y="0"/>
                            <a:ext cx="457200" cy="3048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83AD40"/>
            </w:tcBorders>
            <w:tcMar>
              <w:bottom w:w="130" w:type="dxa"/>
            </w:tcMar>
            <w:vAlign w:val="center"/>
          </w:tcPr>
          <w:p>
            <w:pPr>
              <w:pStyle w:val="TableContents"/>
              <w:bidi w:val="0"/>
              <w:spacing w:lineRule="atLeast" w:line="210" w:before="0" w:after="0"/>
              <w:jc w:val="left"/>
              <w:rPr/>
            </w:pPr>
            <w:r>
              <w:rPr>
                <w:spacing w:val="-2"/>
              </w:rPr>
              <w:t xml:space="preserve">Early Adopter </w:t>
              <w:br/>
              <w:t xml:space="preserve">for TCFD </w:t>
              <w:br/>
              <w:t xml:space="preserve">Global Risk </w:t>
              <w:br/>
              <w:t>Disclosure</w:t>
            </w:r>
            <w:r>
              <w:rPr/>
              <w:t xml:space="preserve">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34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57200" cy="180975"/>
                  <wp:effectExtent l="0" t="0" r="0" b="0"/>
                  <wp:docPr id="1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9" descr=""/>
                          <pic:cNvPicPr>
                            <a:picLocks noChangeAspect="1" noChangeArrowheads="1"/>
                          </pic:cNvPicPr>
                        </pic:nvPicPr>
                        <pic:blipFill>
                          <a:blip r:embed="rId39"/>
                          <a:stretch>
                            <a:fillRect/>
                          </a:stretch>
                        </pic:blipFill>
                        <pic:spPr bwMode="auto">
                          <a:xfrm>
                            <a:off x="0" y="0"/>
                            <a:ext cx="457200" cy="18097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6"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22 Buildings Certified — </w:t>
              <w:br/>
              <w:t xml:space="preserve">20M SF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6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304800"/>
                  <wp:effectExtent l="0" t="0" r="0" b="0"/>
                  <wp:docPr id="1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0" descr=""/>
                          <pic:cNvPicPr>
                            <a:picLocks noChangeAspect="1" noChangeArrowheads="1"/>
                          </pic:cNvPicPr>
                        </pic:nvPicPr>
                        <pic:blipFill>
                          <a:blip r:embed="rId40"/>
                          <a:stretch>
                            <a:fillRect/>
                          </a:stretch>
                        </pic:blipFill>
                        <pic:spPr bwMode="auto">
                          <a:xfrm>
                            <a:off x="0" y="0"/>
                            <a:ext cx="466725" cy="3048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5"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Green Lease </w:t>
              <w:br/>
              <w:t xml:space="preserve">Leader Platinum </w:t>
              <w:br/>
              <w:t xml:space="preserve">2023-2026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91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1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1" descr=""/>
                          <pic:cNvPicPr>
                            <a:picLocks noChangeAspect="1" noChangeArrowheads="1"/>
                          </pic:cNvPicPr>
                        </pic:nvPicPr>
                        <pic:blipFill>
                          <a:blip r:embed="rId41"/>
                          <a:stretch>
                            <a:fillRect/>
                          </a:stretch>
                        </pic:blipFill>
                        <pic:spPr bwMode="auto">
                          <a:xfrm>
                            <a:off x="0" y="0"/>
                            <a:ext cx="457200" cy="457200"/>
                          </a:xfrm>
                          <a:prstGeom prst="rect">
                            <a:avLst/>
                          </a:prstGeom>
                        </pic:spPr>
                      </pic:pic>
                    </a:graphicData>
                  </a:graphic>
                </wp:inline>
              </w:drawing>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4" w:type="dxa"/>
            <w:tcBorders>
              <w:bottom w:val="single" w:sz="2" w:space="0" w:color="83AD40"/>
            </w:tcBorders>
            <w:tcMar>
              <w:bottom w:w="130" w:type="dxa"/>
            </w:tcMar>
            <w:vAlign w:val="center"/>
          </w:tcPr>
          <w:p>
            <w:pPr>
              <w:pStyle w:val="TableContents"/>
              <w:bidi w:val="0"/>
              <w:spacing w:lineRule="atLeast" w:line="210" w:before="0" w:after="0"/>
              <w:jc w:val="left"/>
              <w:rPr/>
            </w:pPr>
            <w:r>
              <w:rPr>
                <w:spacing w:val="-2"/>
              </w:rPr>
              <w:t>R-Factor</w:t>
            </w:r>
            <w:r>
              <w:rPr>
                <w:spacing w:val="-1"/>
                <w:szCs w:val="11"/>
              </w:rPr>
              <w:t>﻿</w:t>
            </w:r>
            <w:r>
              <w:rPr>
                <w:spacing w:val="-1"/>
                <w:sz w:val="11"/>
              </w:rPr>
              <w:t>TM</w:t>
            </w:r>
            <w:r>
              <w:rPr>
                <w:spacing w:val="-2"/>
              </w:rPr>
              <w:t xml:space="preserve"> Score </w:t>
              <w:br/>
              <w:t xml:space="preserve">Leader </w:t>
              <w:br/>
              <w:t xml:space="preserve">(Top 10%)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5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466725"/>
                  <wp:effectExtent l="0" t="0" r="0" b="0"/>
                  <wp:docPr id="1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2" descr=""/>
                          <pic:cNvPicPr>
                            <a:picLocks noChangeAspect="1" noChangeArrowheads="1"/>
                          </pic:cNvPicPr>
                        </pic:nvPicPr>
                        <pic:blipFill>
                          <a:blip r:embed="rId42"/>
                          <a:stretch>
                            <a:fillRect/>
                          </a:stretch>
                        </pic:blipFill>
                        <pic:spPr bwMode="auto">
                          <a:xfrm>
                            <a:off x="0" y="0"/>
                            <a:ext cx="466725" cy="4667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Mayor’s Carbon </w:t>
              <w:br/>
              <w:t xml:space="preserve">Challenge </w:t>
              <w:br/>
              <w:t xml:space="preserve">Participant — </w:t>
              <w:br/>
              <w:t xml:space="preserve">Goal </w:t>
              <w:br/>
              <w:t xml:space="preserve">Achieved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34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800100" cy="276225"/>
                  <wp:effectExtent l="0" t="0" r="0" b="0"/>
                  <wp:docPr id="1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3" descr=""/>
                          <pic:cNvPicPr>
                            <a:picLocks noChangeAspect="1" noChangeArrowheads="1"/>
                          </pic:cNvPicPr>
                        </pic:nvPicPr>
                        <pic:blipFill>
                          <a:blip r:embed="rId43"/>
                          <a:stretch>
                            <a:fillRect/>
                          </a:stretch>
                        </pic:blipFill>
                        <pic:spPr bwMode="auto">
                          <a:xfrm>
                            <a:off x="0" y="0"/>
                            <a:ext cx="800100" cy="2762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6"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29 Buildings Certified — </w:t>
              <w:br/>
              <w:t xml:space="preserve">26M SF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6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95300" cy="428625"/>
                  <wp:effectExtent l="0" t="0" r="0" b="0"/>
                  <wp:docPr id="1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4" descr=""/>
                          <pic:cNvPicPr>
                            <a:picLocks noChangeAspect="1" noChangeArrowheads="1"/>
                          </pic:cNvPicPr>
                        </pic:nvPicPr>
                        <pic:blipFill>
                          <a:blip r:embed="rId44"/>
                          <a:stretch>
                            <a:fillRect/>
                          </a:stretch>
                        </pic:blipFill>
                        <pic:spPr bwMode="auto">
                          <a:xfrm>
                            <a:off x="0" y="0"/>
                            <a:ext cx="495300" cy="4286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5"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Newsweek </w:t>
              <w:br/>
              <w:t xml:space="preserve">America’s </w:t>
              <w:br/>
              <w:t xml:space="preserve">Most </w:t>
              <w:br/>
              <w:t xml:space="preserve">Responsible </w:t>
              <w:br/>
              <w:t xml:space="preserve">Companies 2023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91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95300" cy="76200"/>
                  <wp:effectExtent l="0" t="0" r="0" b="0"/>
                  <wp:docPr id="1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5" descr=""/>
                          <pic:cNvPicPr>
                            <a:picLocks noChangeAspect="1" noChangeArrowheads="1"/>
                          </pic:cNvPicPr>
                        </pic:nvPicPr>
                        <pic:blipFill>
                          <a:blip r:embed="rId45"/>
                          <a:stretch>
                            <a:fillRect/>
                          </a:stretch>
                        </pic:blipFill>
                        <pic:spPr bwMode="auto">
                          <a:xfrm>
                            <a:off x="0" y="0"/>
                            <a:ext cx="495300" cy="76200"/>
                          </a:xfrm>
                          <a:prstGeom prst="rect">
                            <a:avLst/>
                          </a:prstGeom>
                        </pic:spPr>
                      </pic:pic>
                    </a:graphicData>
                  </a:graphic>
                </wp:inline>
              </w:drawing>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4" w:type="dxa"/>
            <w:tcBorders>
              <w:bottom w:val="single" w:sz="2" w:space="0" w:color="83AD40"/>
            </w:tcBorders>
            <w:tcMar>
              <w:bottom w:w="130" w:type="dxa"/>
            </w:tcMar>
            <w:vAlign w:val="center"/>
          </w:tcPr>
          <w:p>
            <w:pPr>
              <w:pStyle w:val="TableContents"/>
              <w:bidi w:val="0"/>
              <w:spacing w:lineRule="atLeast" w:line="210" w:before="0" w:after="0"/>
              <w:jc w:val="left"/>
              <w:rPr/>
            </w:pPr>
            <w:r>
              <w:rPr>
                <w:spacing w:val="-2"/>
              </w:rPr>
              <w:t>95</w:t>
            </w:r>
            <w:r>
              <w:rPr>
                <w:spacing w:val="-1"/>
                <w:szCs w:val="11"/>
              </w:rPr>
              <w:t>﻿</w:t>
            </w:r>
            <w:r>
              <w:rPr>
                <w:spacing w:val="-1"/>
                <w:sz w:val="11"/>
              </w:rPr>
              <w:t>th</w:t>
            </w:r>
            <w:r>
              <w:rPr>
                <w:spacing w:val="-2"/>
              </w:rPr>
              <w:t xml:space="preserve"> Percentile Ranking of Global Peer Set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5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85775" cy="276225"/>
                  <wp:effectExtent l="0" t="0" r="0" b="0"/>
                  <wp:docPr id="1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6" descr=""/>
                          <pic:cNvPicPr>
                            <a:picLocks noChangeAspect="1" noChangeArrowheads="1"/>
                          </pic:cNvPicPr>
                        </pic:nvPicPr>
                        <pic:blipFill>
                          <a:blip r:embed="rId46"/>
                          <a:stretch>
                            <a:fillRect/>
                          </a:stretch>
                        </pic:blipFill>
                        <pic:spPr bwMode="auto">
                          <a:xfrm>
                            <a:off x="0" y="0"/>
                            <a:ext cx="485775" cy="2762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Net Zero by 2050 Goal − Aligned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34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19100" cy="419100"/>
                  <wp:effectExtent l="0" t="0" r="0" b="0"/>
                  <wp:docPr id="1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7" descr=""/>
                          <pic:cNvPicPr>
                            <a:picLocks noChangeAspect="1" noChangeArrowheads="1"/>
                          </pic:cNvPicPr>
                        </pic:nvPicPr>
                        <pic:blipFill>
                          <a:blip r:embed="rId47"/>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6"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25 LEED Certified Buildings — 25M SF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6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533400"/>
                  <wp:effectExtent l="0" t="0" r="0" b="0"/>
                  <wp:docPr id="1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8" descr=""/>
                          <pic:cNvPicPr>
                            <a:picLocks noChangeAspect="1" noChangeArrowheads="1"/>
                          </pic:cNvPicPr>
                        </pic:nvPicPr>
                        <pic:blipFill>
                          <a:blip r:embed="rId48"/>
                          <a:stretch>
                            <a:fillRect/>
                          </a:stretch>
                        </pic:blipFill>
                        <pic:spPr bwMode="auto">
                          <a:xfrm>
                            <a:off x="0" y="0"/>
                            <a:ext cx="466725" cy="533400"/>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5"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S&amp;P Global </w:t>
              <w:br/>
              <w:t xml:space="preserve">Sustainability </w:t>
              <w:br/>
              <w:t xml:space="preserve">Yearbook </w:t>
              <w:br/>
              <w:t xml:space="preserve">Member </w:t>
              <w:br/>
              <w:t xml:space="preserve">2022-2024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91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523875" cy="114300"/>
                  <wp:effectExtent l="0" t="0" r="0" b="0"/>
                  <wp:docPr id="1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9" descr=""/>
                          <pic:cNvPicPr>
                            <a:picLocks noChangeAspect="1" noChangeArrowheads="1"/>
                          </pic:cNvPicPr>
                        </pic:nvPicPr>
                        <pic:blipFill>
                          <a:blip r:embed="rId49"/>
                          <a:stretch>
                            <a:fillRect/>
                          </a:stretch>
                        </pic:blipFill>
                        <pic:spPr bwMode="auto">
                          <a:xfrm>
                            <a:off x="0" y="0"/>
                            <a:ext cx="523875" cy="114300"/>
                          </a:xfrm>
                          <a:prstGeom prst="rect">
                            <a:avLst/>
                          </a:prstGeom>
                        </pic:spPr>
                      </pic:pic>
                    </a:graphicData>
                  </a:graphic>
                </wp:inline>
              </w:drawing>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94"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Top 10 ESG Disclosure Score Among REITs Listed on Russell 1000 Index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5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66725" cy="104775"/>
                  <wp:effectExtent l="0" t="0" r="0" b="0"/>
                  <wp:docPr id="1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0" descr=""/>
                          <pic:cNvPicPr>
                            <a:picLocks noChangeAspect="1" noChangeArrowheads="1"/>
                          </pic:cNvPicPr>
                        </pic:nvPicPr>
                        <pic:blipFill>
                          <a:blip r:embed="rId50"/>
                          <a:stretch>
                            <a:fillRect/>
                          </a:stretch>
                        </pic:blipFill>
                        <pic:spPr bwMode="auto">
                          <a:xfrm>
                            <a:off x="0" y="0"/>
                            <a:ext cx="466725" cy="10477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NYSERDA Partnership for Workforce Training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34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695325" cy="200025"/>
                  <wp:effectExtent l="0" t="0" r="0" b="0"/>
                  <wp:docPr id="1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1" descr=""/>
                          <pic:cNvPicPr>
                            <a:picLocks noChangeAspect="1" noChangeArrowheads="1"/>
                          </pic:cNvPicPr>
                        </pic:nvPicPr>
                        <pic:blipFill>
                          <a:blip r:embed="rId51"/>
                          <a:stretch>
                            <a:fillRect/>
                          </a:stretch>
                        </pic:blipFill>
                        <pic:spPr bwMode="auto">
                          <a:xfrm>
                            <a:off x="0" y="0"/>
                            <a:ext cx="695325" cy="20002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6"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8 Buildings Certified — 10M SF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866"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457200" cy="142875"/>
                  <wp:effectExtent l="0" t="0" r="0" b="0"/>
                  <wp:docPr id="1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2" descr=""/>
                          <pic:cNvPicPr>
                            <a:picLocks noChangeAspect="1" noChangeArrowheads="1"/>
                          </pic:cNvPicPr>
                        </pic:nvPicPr>
                        <pic:blipFill>
                          <a:blip r:embed="rId52"/>
                          <a:stretch>
                            <a:fillRect/>
                          </a:stretch>
                        </pic:blipFill>
                        <pic:spPr bwMode="auto">
                          <a:xfrm>
                            <a:off x="0" y="0"/>
                            <a:ext cx="457200" cy="142875"/>
                          </a:xfrm>
                          <a:prstGeom prst="rect">
                            <a:avLst/>
                          </a:prstGeom>
                        </pic:spPr>
                      </pic:pic>
                    </a:graphicData>
                  </a:graphic>
                </wp:inline>
              </w:drawing>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5" w:type="dxa"/>
            <w:tcBorders>
              <w:bottom w:val="single" w:sz="2" w:space="0" w:color="83AD40"/>
            </w:tcBorders>
            <w:tcMar>
              <w:bottom w:w="130" w:type="dxa"/>
            </w:tcMar>
            <w:vAlign w:val="center"/>
          </w:tcPr>
          <w:p>
            <w:pPr>
              <w:pStyle w:val="TableContents"/>
              <w:bidi w:val="0"/>
              <w:spacing w:lineRule="atLeast" w:line="210" w:before="0" w:after="0"/>
              <w:jc w:val="left"/>
              <w:rPr>
                <w:spacing w:val="-2"/>
              </w:rPr>
            </w:pPr>
            <w:r>
              <w:rPr>
                <w:spacing w:val="-2"/>
              </w:rPr>
              <w:t xml:space="preserve">Great Place to Work Certified 2019, 2022-2023 </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tcMar>
              <w:bottom w:w="28" w:type="dxa"/>
            </w:tcMar>
            <w:vAlign w:val="center"/>
          </w:tcPr>
          <w:p>
            <w:pPr>
              <w:pStyle w:val="TableContents"/>
              <w:bidi w:val="0"/>
              <w:spacing w:before="0" w:after="283"/>
              <w:jc w:val="left"/>
              <w:rPr/>
            </w:pPr>
            <w:r>
              <w:rPr/>
              <w:t>​</w:t>
            </w:r>
          </w:p>
        </w:tc>
        <w:tc>
          <w:tcPr>
            <w:tcW w:w="911" w:type="dxa"/>
            <w:tcBorders>
              <w:bottom w:val="single" w:sz="2" w:space="0" w:color="83AD40"/>
            </w:tcBorders>
            <w:tcMar>
              <w:bottom w:w="28" w:type="dxa"/>
            </w:tcMar>
            <w:vAlign w:val="center"/>
          </w:tcPr>
          <w:p>
            <w:pPr>
              <w:pStyle w:val="TableContents"/>
              <w:bidi w:val="0"/>
              <w:spacing w:before="0" w:after="0"/>
              <w:jc w:val="center"/>
              <w:rPr/>
            </w:pPr>
            <w:r>
              <w:rPr/>
              <w:drawing>
                <wp:inline distT="0" distB="0" distL="0" distR="0">
                  <wp:extent cx="314325" cy="542925"/>
                  <wp:effectExtent l="0" t="0" r="0" b="0"/>
                  <wp:docPr id="1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3" descr=""/>
                          <pic:cNvPicPr>
                            <a:picLocks noChangeAspect="1" noChangeArrowheads="1"/>
                          </pic:cNvPicPr>
                        </pic:nvPicPr>
                        <pic:blipFill>
                          <a:blip r:embed="rId53"/>
                          <a:stretch>
                            <a:fillRect/>
                          </a:stretch>
                        </pic:blipFill>
                        <pic:spPr bwMode="auto">
                          <a:xfrm>
                            <a:off x="0" y="0"/>
                            <a:ext cx="314325" cy="542925"/>
                          </a:xfrm>
                          <a:prstGeom prst="rect">
                            <a:avLst/>
                          </a:prstGeom>
                        </pic:spPr>
                      </pic:pic>
                    </a:graphicData>
                  </a:graphic>
                </wp:inline>
              </w:drawing>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NOAM"/>
      <w:bookmarkEnd w:id="4"/>
      <w:r>
        <w:rPr>
          <w:rFonts w:ascii="calibri;arial;sans-serif" w:hAnsi="calibri;arial;sans-serif"/>
          <w:b w:val="false"/>
          <w:i w:val="false"/>
          <w:caps w:val="false"/>
          <w:smallCaps w:val="false"/>
          <w:color w:val="000000"/>
          <w:sz w:val="16"/>
        </w:rPr>
        <w:t xml:space="preserve">​ </w:t>
      </w:r>
    </w:p>
    <w:tbl>
      <w:tblPr>
        <w:tblW w:w="10205" w:type="dxa"/>
        <w:jc w:val="left"/>
        <w:tblInd w:w="0" w:type="dxa"/>
        <w:tblLayout w:type="fixed"/>
        <w:tblCellMar>
          <w:top w:w="0" w:type="dxa"/>
          <w:left w:w="0" w:type="dxa"/>
          <w:bottom w:w="0" w:type="dxa"/>
          <w:right w:w="0" w:type="dxa"/>
        </w:tblCellMar>
      </w:tblPr>
      <w:tblGrid>
        <w:gridCol w:w="124"/>
        <w:gridCol w:w="2350"/>
        <w:gridCol w:w="109"/>
        <w:gridCol w:w="109"/>
        <w:gridCol w:w="6914"/>
        <w:gridCol w:w="109"/>
        <w:gridCol w:w="109"/>
        <w:gridCol w:w="226"/>
        <w:gridCol w:w="155"/>
      </w:tblGrid>
      <w:tr>
        <w:trPr/>
        <w:tc>
          <w:tcPr>
            <w:tcW w:w="124" w:type="dxa"/>
            <w:tcBorders/>
            <w:vAlign w:val="center"/>
          </w:tcPr>
          <w:p>
            <w:pPr>
              <w:pStyle w:val="TableContents"/>
              <w:bidi w:val="0"/>
              <w:spacing w:before="0" w:after="283"/>
              <w:jc w:val="left"/>
              <w:rPr/>
            </w:pPr>
            <w:r>
              <w:rPr/>
              <w:t>​</w:t>
            </w:r>
          </w:p>
        </w:tc>
        <w:tc>
          <w:tcPr>
            <w:tcW w:w="2350" w:type="dxa"/>
            <w:tcBorders/>
            <w:vAlign w:val="center"/>
          </w:tcPr>
          <w:p>
            <w:pPr>
              <w:pStyle w:val="TableContents"/>
              <w:bidi w:val="0"/>
              <w:spacing w:before="0" w:after="0"/>
              <w:jc w:val="left"/>
              <w:rPr/>
            </w:pPr>
            <w:r>
              <w:rPr/>
              <w:drawing>
                <wp:inline distT="0" distB="0" distL="0" distR="0">
                  <wp:extent cx="1409700" cy="409575"/>
                  <wp:effectExtent l="0" t="0" r="0" b="0"/>
                  <wp:docPr id="1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4" descr=""/>
                          <pic:cNvPicPr>
                            <a:picLocks noChangeAspect="1" noChangeArrowheads="1"/>
                          </pic:cNvPicPr>
                        </pic:nvPicPr>
                        <pic:blipFill>
                          <a:blip r:embed="rId54"/>
                          <a:stretch>
                            <a:fillRect/>
                          </a:stretch>
                        </pic:blipFill>
                        <pic:spPr bwMode="auto">
                          <a:xfrm>
                            <a:off x="0" y="0"/>
                            <a:ext cx="1409700"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4" w:type="dxa"/>
            <w:tcBorders/>
            <w:vAlign w:val="center"/>
          </w:tcPr>
          <w:p>
            <w:pPr>
              <w:pStyle w:val="TableContents"/>
              <w:bidi w:val="0"/>
              <w:spacing w:lineRule="atLeast" w:line="225" w:before="0" w:after="0"/>
              <w:jc w:val="left"/>
              <w:rPr/>
            </w:pPr>
            <w:r>
              <w:rPr>
                <w:b/>
              </w:rPr>
              <w:t>SL GREEN REALTY CORP.</w:t>
            </w:r>
            <w:r>
              <w:rPr>
                <w:spacing w:val="-2"/>
              </w:rPr>
              <w:t>One Vanderbilt AvenueNew York, New York 10017-3852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lineRule="atLeast" w:line="280" w:before="0" w:after="0"/>
              <w:jc w:val="right"/>
              <w:rPr>
                <w:b/>
                <w:color w:val="1F2668"/>
                <w:sz w:val="24"/>
              </w:rPr>
            </w:pPr>
            <w:r>
              <w:rPr>
                <w:b/>
                <w:color w:val="1F2668"/>
                <w:sz w:val="24"/>
              </w:rPr>
              <w:t>9</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520" w:before="48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 xml:space="preserve">NOTICE OF ANNUAL MEETING </w:t>
        <w:br/>
        <w:t>OF STOCKHOLDERS</w:t>
      </w:r>
      <w:r>
        <w:rPr>
          <w:rFonts w:ascii="Arial;Helvetica;sans-serif" w:hAnsi="Arial;Helvetica;sans-serif"/>
          <w:b/>
          <w:i w:val="false"/>
          <w:caps w:val="false"/>
          <w:smallCaps w:val="false"/>
          <w:color w:val="000000"/>
          <w:spacing w:val="8"/>
          <w:sz w:val="42"/>
        </w:rPr>
        <w:t xml:space="preserve"> </w:t>
      </w:r>
    </w:p>
    <w:tbl>
      <w:tblPr>
        <w:tblW w:w="9305" w:type="dxa"/>
        <w:jc w:val="left"/>
        <w:tblInd w:w="900" w:type="dxa"/>
        <w:tblLayout w:type="fixed"/>
        <w:tblCellMar>
          <w:top w:w="0" w:type="dxa"/>
          <w:left w:w="0" w:type="dxa"/>
          <w:bottom w:w="0" w:type="dxa"/>
          <w:right w:w="0" w:type="dxa"/>
        </w:tblCellMar>
      </w:tblPr>
      <w:tblGrid>
        <w:gridCol w:w="124"/>
        <w:gridCol w:w="648"/>
        <w:gridCol w:w="109"/>
        <w:gridCol w:w="109"/>
        <w:gridCol w:w="1650"/>
        <w:gridCol w:w="109"/>
        <w:gridCol w:w="109"/>
        <w:gridCol w:w="633"/>
        <w:gridCol w:w="109"/>
        <w:gridCol w:w="109"/>
        <w:gridCol w:w="3066"/>
        <w:gridCol w:w="109"/>
        <w:gridCol w:w="109"/>
        <w:gridCol w:w="648"/>
        <w:gridCol w:w="109"/>
        <w:gridCol w:w="109"/>
        <w:gridCol w:w="1290"/>
        <w:gridCol w:w="156"/>
      </w:tblGrid>
      <w:tr>
        <w:trPr/>
        <w:tc>
          <w:tcPr>
            <w:tcW w:w="124"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0"/>
              <w:jc w:val="left"/>
              <w:rPr/>
            </w:pPr>
            <w:r>
              <w:rPr/>
              <w:drawing>
                <wp:inline distT="0" distB="0" distL="0" distR="0">
                  <wp:extent cx="342900" cy="342900"/>
                  <wp:effectExtent l="0" t="0" r="0" b="0"/>
                  <wp:docPr id="1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5" descr=""/>
                          <pic:cNvPicPr>
                            <a:picLocks noChangeAspect="1" noChangeArrowheads="1"/>
                          </pic:cNvPicPr>
                        </pic:nvPicPr>
                        <pic:blipFill>
                          <a:blip r:embed="rId55"/>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lineRule="atLeast" w:line="220" w:before="0" w:after="0"/>
              <w:jc w:val="left"/>
              <w:rPr>
                <w:b/>
                <w:color w:val="1F2668"/>
              </w:rPr>
            </w:pPr>
            <w:r>
              <w:rPr>
                <w:b/>
                <w:color w:val="1F2668"/>
              </w:rPr>
              <w:t>Date &amp; Time</w:t>
            </w:r>
          </w:p>
          <w:p>
            <w:pPr>
              <w:pStyle w:val="TableContents"/>
              <w:bidi w:val="0"/>
              <w:spacing w:lineRule="atLeast" w:line="220" w:before="120" w:after="283"/>
              <w:jc w:val="left"/>
              <w:rPr>
                <w:spacing w:val="-2"/>
              </w:rPr>
            </w:pPr>
            <w:r>
              <w:rPr>
                <w:spacing w:val="-2"/>
              </w:rPr>
              <w:t xml:space="preserve">June 3, 2024 </w:t>
              <w:br/>
              <w:t xml:space="preserve">10:00 AM, Eastern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3" w:type="dxa"/>
            <w:tcBorders/>
            <w:vAlign w:val="center"/>
          </w:tcPr>
          <w:p>
            <w:pPr>
              <w:pStyle w:val="TableContents"/>
              <w:bidi w:val="0"/>
              <w:spacing w:before="0" w:after="0"/>
              <w:jc w:val="left"/>
              <w:rPr/>
            </w:pPr>
            <w:r>
              <w:rPr/>
              <w:drawing>
                <wp:inline distT="0" distB="0" distL="0" distR="0">
                  <wp:extent cx="333375" cy="304800"/>
                  <wp:effectExtent l="0" t="0" r="0" b="0"/>
                  <wp:docPr id="1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6" descr=""/>
                          <pic:cNvPicPr>
                            <a:picLocks noChangeAspect="1" noChangeArrowheads="1"/>
                          </pic:cNvPicPr>
                        </pic:nvPicPr>
                        <pic:blipFill>
                          <a:blip r:embed="rId56"/>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66" w:type="dxa"/>
            <w:tcBorders/>
            <w:vAlign w:val="center"/>
          </w:tcPr>
          <w:p>
            <w:pPr>
              <w:pStyle w:val="TableContents"/>
              <w:bidi w:val="0"/>
              <w:spacing w:lineRule="atLeast" w:line="220" w:before="0" w:after="0"/>
              <w:jc w:val="left"/>
              <w:rPr>
                <w:b/>
                <w:color w:val="1F2668"/>
              </w:rPr>
            </w:pPr>
            <w:r>
              <w:rPr>
                <w:b/>
                <w:color w:val="1F2668"/>
              </w:rPr>
              <w:t>Location</w:t>
            </w:r>
          </w:p>
          <w:p>
            <w:pPr>
              <w:pStyle w:val="TableContents"/>
              <w:bidi w:val="0"/>
              <w:spacing w:lineRule="atLeast" w:line="220" w:before="120" w:after="283"/>
              <w:jc w:val="left"/>
              <w:rPr>
                <w:spacing w:val="-2"/>
              </w:rPr>
            </w:pPr>
            <w:r>
              <w:rPr>
                <w:spacing w:val="-2"/>
              </w:rPr>
              <w:t xml:space="preserve">The auditorium at One Vanderbilt Avenue, New York, New York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8" w:type="dxa"/>
            <w:tcBorders/>
            <w:vAlign w:val="center"/>
          </w:tcPr>
          <w:p>
            <w:pPr>
              <w:pStyle w:val="TableContents"/>
              <w:bidi w:val="0"/>
              <w:spacing w:before="0" w:after="0"/>
              <w:jc w:val="left"/>
              <w:rPr/>
            </w:pPr>
            <w:r>
              <w:rPr/>
              <w:drawing>
                <wp:inline distT="0" distB="0" distL="0" distR="0">
                  <wp:extent cx="342900" cy="342900"/>
                  <wp:effectExtent l="0" t="0" r="0" b="0"/>
                  <wp:docPr id="1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7" descr=""/>
                          <pic:cNvPicPr>
                            <a:picLocks noChangeAspect="1" noChangeArrowheads="1"/>
                          </pic:cNvPicPr>
                        </pic:nvPicPr>
                        <pic:blipFill>
                          <a:blip r:embed="rId57"/>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0" w:type="dxa"/>
            <w:tcBorders/>
            <w:vAlign w:val="center"/>
          </w:tcPr>
          <w:p>
            <w:pPr>
              <w:pStyle w:val="TableContents"/>
              <w:bidi w:val="0"/>
              <w:spacing w:lineRule="atLeast" w:line="220" w:before="0" w:after="0"/>
              <w:jc w:val="left"/>
              <w:rPr>
                <w:b/>
                <w:color w:val="1F2668"/>
              </w:rPr>
            </w:pPr>
            <w:r>
              <w:rPr>
                <w:b/>
                <w:color w:val="1F2668"/>
              </w:rPr>
              <w:t>Record Date</w:t>
            </w:r>
          </w:p>
          <w:p>
            <w:pPr>
              <w:pStyle w:val="TableContents"/>
              <w:bidi w:val="0"/>
              <w:spacing w:lineRule="atLeast" w:line="220" w:before="120" w:after="283"/>
              <w:jc w:val="left"/>
              <w:rPr/>
            </w:pPr>
            <w:r>
              <w:rPr>
                <w:spacing w:val="-2"/>
              </w:rPr>
              <w:t>March 28, 2024</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300" w:before="32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Dear Stockholder:</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You are invited to attend the 2024 Annual Meeting of stockholders of SL Green Realty Corp., a Maryland corporation, which will be held on June 3, 2024 at 10:00 a.m., Eastern Time in the auditorium at One Vanderbilt Avenue, New York, New York. We strongly encourage you to vote your shares by proxy prior to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1F2668"/>
          <w:sz w:val="18"/>
        </w:rPr>
        <w:t>Items of Business</w:t>
      </w:r>
      <w:r>
        <w:rPr>
          <w:rFonts w:ascii="Arial;Helvetica;sans-serif" w:hAnsi="Arial;Helvetica;sans-serif"/>
          <w:b w:val="false"/>
          <w:i w:val="false"/>
          <w:caps w:val="false"/>
          <w:smallCaps w:val="false"/>
          <w:color w:val="000000"/>
          <w:spacing w:val="-2"/>
          <w:sz w:val="18"/>
        </w:rPr>
        <w:t>—the Annual Meeting will be held for the following purposes: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26"/>
        <w:gridCol w:w="103"/>
        <w:gridCol w:w="252"/>
        <w:gridCol w:w="252"/>
        <w:gridCol w:w="2484"/>
        <w:gridCol w:w="109"/>
        <w:gridCol w:w="109"/>
        <w:gridCol w:w="109"/>
        <w:gridCol w:w="599"/>
        <w:gridCol w:w="128"/>
        <w:gridCol w:w="128"/>
        <w:gridCol w:w="128"/>
        <w:gridCol w:w="915"/>
        <w:gridCol w:w="109"/>
        <w:gridCol w:w="109"/>
        <w:gridCol w:w="109"/>
        <w:gridCol w:w="923"/>
        <w:gridCol w:w="192"/>
        <w:gridCol w:w="192"/>
        <w:gridCol w:w="192"/>
        <w:gridCol w:w="1575"/>
        <w:gridCol w:w="162"/>
      </w:tblGrid>
      <w:tr>
        <w:trPr/>
        <w:tc>
          <w:tcPr>
            <w:tcW w:w="426" w:type="dxa"/>
            <w:tcBorders/>
            <w:vAlign w:val="center"/>
          </w:tcPr>
          <w:p>
            <w:pPr>
              <w:pStyle w:val="TableContents"/>
              <w:bidi w:val="0"/>
              <w:spacing w:before="0" w:after="283"/>
              <w:jc w:val="left"/>
              <w:rPr/>
            </w:pPr>
            <w:r>
              <w:rPr/>
              <w:t>​</w:t>
            </w:r>
          </w:p>
        </w:tc>
        <w:tc>
          <w:tcPr>
            <w:tcW w:w="3091" w:type="dxa"/>
            <w:gridSpan w:val="4"/>
            <w:tcBorders/>
            <w:vAlign w:val="center"/>
          </w:tcPr>
          <w:p>
            <w:pPr>
              <w:pStyle w:val="TableContents"/>
              <w:bidi w:val="0"/>
              <w:spacing w:before="0" w:after="0"/>
              <w:jc w:val="left"/>
              <w:rPr/>
            </w:pPr>
            <w:r>
              <w:rPr/>
              <w:drawing>
                <wp:inline distT="0" distB="0" distL="0" distR="0">
                  <wp:extent cx="228600" cy="238125"/>
                  <wp:effectExtent l="0" t="0" r="0" b="0"/>
                  <wp:docPr id="1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48" descr=""/>
                          <pic:cNvPicPr>
                            <a:picLocks noChangeAspect="1" noChangeArrowheads="1"/>
                          </pic:cNvPicPr>
                        </pic:nvPicPr>
                        <pic:blipFill>
                          <a:blip r:embed="rId58"/>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8" w:type="dxa"/>
            <w:gridSpan w:val="5"/>
            <w:tcBorders/>
            <w:vAlign w:val="center"/>
          </w:tcPr>
          <w:p>
            <w:pPr>
              <w:pStyle w:val="TableContents"/>
              <w:bidi w:val="0"/>
              <w:spacing w:before="0" w:after="0"/>
              <w:jc w:val="left"/>
              <w:rPr/>
            </w:pPr>
            <w:r>
              <w:rPr/>
              <w:drawing>
                <wp:inline distT="0" distB="0" distL="0" distR="0">
                  <wp:extent cx="228600" cy="238125"/>
                  <wp:effectExtent l="0" t="0" r="0" b="0"/>
                  <wp:docPr id="1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9" descr=""/>
                          <pic:cNvPicPr>
                            <a:picLocks noChangeAspect="1" noChangeArrowheads="1"/>
                          </pic:cNvPicPr>
                        </pic:nvPicPr>
                        <pic:blipFill>
                          <a:blip r:embed="rId59"/>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74" w:type="dxa"/>
            <w:gridSpan w:val="5"/>
            <w:tcBorders/>
            <w:vAlign w:val="center"/>
          </w:tcPr>
          <w:p>
            <w:pPr>
              <w:pStyle w:val="TableContents"/>
              <w:bidi w:val="0"/>
              <w:spacing w:before="0" w:after="0"/>
              <w:jc w:val="left"/>
              <w:rPr/>
            </w:pPr>
            <w:r>
              <w:rPr/>
              <w:drawing>
                <wp:inline distT="0" distB="0" distL="0" distR="0">
                  <wp:extent cx="228600" cy="238125"/>
                  <wp:effectExtent l="0" t="0" r="0" b="0"/>
                  <wp:docPr id="1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0" descr=""/>
                          <pic:cNvPicPr>
                            <a:picLocks noChangeAspect="1" noChangeArrowheads="1"/>
                          </pic:cNvPicPr>
                        </pic:nvPicPr>
                        <pic:blipFill>
                          <a:blip r:embed="rId60"/>
                          <a:stretch>
                            <a:fillRect/>
                          </a:stretch>
                        </pic:blipFill>
                        <pic:spPr bwMode="auto">
                          <a:xfrm>
                            <a:off x="0" y="0"/>
                            <a:ext cx="228600" cy="238125"/>
                          </a:xfrm>
                          <a:prstGeom prst="rect">
                            <a:avLst/>
                          </a:prstGeom>
                        </pic:spPr>
                      </pic:pic>
                    </a:graphicData>
                  </a:graphic>
                </wp:inline>
              </w:drawing>
            </w:r>
            <w:r>
              <w:rPr/>
              <w:t xml:space="preserve"> </w:t>
            </w:r>
          </w:p>
        </w:tc>
        <w:tc>
          <w:tcPr>
            <w:tcW w:w="162" w:type="dxa"/>
            <w:tcBorders/>
            <w:vAlign w:val="center"/>
          </w:tcPr>
          <w:p>
            <w:pPr>
              <w:pStyle w:val="TableContents"/>
              <w:bidi w:val="0"/>
              <w:spacing w:before="0" w:after="283"/>
              <w:jc w:val="left"/>
              <w:rPr/>
            </w:pPr>
            <w:r>
              <w:rPr/>
              <w:t>​</w:t>
            </w:r>
          </w:p>
        </w:tc>
      </w:tr>
      <w:tr>
        <w:trPr/>
        <w:tc>
          <w:tcPr>
            <w:tcW w:w="426" w:type="dxa"/>
            <w:tcBorders/>
            <w:vAlign w:val="center"/>
          </w:tcPr>
          <w:p>
            <w:pPr>
              <w:pStyle w:val="TableContents"/>
              <w:bidi w:val="0"/>
              <w:spacing w:before="0" w:after="283"/>
              <w:jc w:val="left"/>
              <w:rPr/>
            </w:pPr>
            <w:r>
              <w:rPr/>
              <w:t>​</w:t>
            </w:r>
          </w:p>
        </w:tc>
        <w:tc>
          <w:tcPr>
            <w:tcW w:w="3091" w:type="dxa"/>
            <w:gridSpan w:val="4"/>
            <w:tcBorders/>
            <w:vAlign w:val="center"/>
          </w:tcPr>
          <w:p>
            <w:pPr>
              <w:pStyle w:val="TableContents"/>
              <w:bidi w:val="0"/>
              <w:spacing w:lineRule="atLeast" w:line="210" w:before="0" w:after="0"/>
              <w:jc w:val="left"/>
              <w:rPr/>
            </w:pPr>
            <w:r>
              <w:rPr>
                <w:spacing w:val="-2"/>
              </w:rPr>
              <w:t>To elect the seven director nominees named in the proxy statement to serve on the Board of Directors for a one-year term and until their successors are duly elected and qualify</w:t>
            </w:r>
            <w:r>
              <w:rPr/>
              <w:t xml:space="preserve"> </w:t>
              <w:br/>
            </w:r>
            <w:r>
              <w:rPr>
                <w:b/>
                <w:color w:val="1F2668"/>
                <w:sz w:val="16"/>
              </w:rPr>
              <w:t>PAGE 11</w:t>
            </w:r>
            <w:r>
              <w:rPr>
                <w:spacing w:val="-2"/>
              </w:rPr>
              <w:t> </w:t>
            </w:r>
            <w:r>
              <w:rPr/>
              <w:drawing>
                <wp:inline distT="0" distB="0" distL="0" distR="0">
                  <wp:extent cx="66675" cy="76200"/>
                  <wp:effectExtent l="0" t="0" r="0" b="0"/>
                  <wp:docPr id="1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1" descr=""/>
                          <pic:cNvPicPr>
                            <a:picLocks noChangeAspect="1" noChangeArrowheads="1"/>
                          </pic:cNvPicPr>
                        </pic:nvPicPr>
                        <pic:blipFill>
                          <a:blip r:embed="rId61"/>
                          <a:stretch>
                            <a:fillRect/>
                          </a:stretch>
                        </pic:blipFill>
                        <pic:spPr bwMode="auto">
                          <a:xfrm>
                            <a:off x="0" y="0"/>
                            <a:ext cx="66675" cy="76200"/>
                          </a:xfrm>
                          <a:prstGeom prst="rect">
                            <a:avLst/>
                          </a:prstGeom>
                        </pic:spPr>
                      </pic:pic>
                    </a:graphicData>
                  </a:graphic>
                </wp:inline>
              </w:drawing>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8" w:type="dxa"/>
            <w:gridSpan w:val="5"/>
            <w:tcBorders/>
            <w:vAlign w:val="center"/>
          </w:tcPr>
          <w:p>
            <w:pPr>
              <w:pStyle w:val="TableContents"/>
              <w:bidi w:val="0"/>
              <w:spacing w:lineRule="atLeast" w:line="210" w:before="0" w:after="0"/>
              <w:jc w:val="left"/>
              <w:rPr/>
            </w:pPr>
            <w:r>
              <w:rPr>
                <w:spacing w:val="-2"/>
              </w:rPr>
              <w:t>To hold an advisory vote on executive compensation</w:t>
            </w:r>
            <w:r>
              <w:rPr/>
              <w:t xml:space="preserve"> </w:t>
              <w:br/>
            </w:r>
            <w:r>
              <w:rPr>
                <w:b/>
                <w:color w:val="1F2668"/>
                <w:sz w:val="16"/>
              </w:rPr>
              <w:t>PAGE 41</w:t>
            </w:r>
            <w:r>
              <w:rPr>
                <w:spacing w:val="-2"/>
              </w:rPr>
              <w:t> </w:t>
            </w:r>
            <w:r>
              <w:rPr/>
              <w:drawing>
                <wp:inline distT="0" distB="0" distL="0" distR="0">
                  <wp:extent cx="66675" cy="76200"/>
                  <wp:effectExtent l="0" t="0" r="0" b="0"/>
                  <wp:docPr id="1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2" descr=""/>
                          <pic:cNvPicPr>
                            <a:picLocks noChangeAspect="1" noChangeArrowheads="1"/>
                          </pic:cNvPicPr>
                        </pic:nvPicPr>
                        <pic:blipFill>
                          <a:blip r:embed="rId62"/>
                          <a:stretch>
                            <a:fillRect/>
                          </a:stretch>
                        </pic:blipFill>
                        <pic:spPr bwMode="auto">
                          <a:xfrm>
                            <a:off x="0" y="0"/>
                            <a:ext cx="66675" cy="76200"/>
                          </a:xfrm>
                          <a:prstGeom prst="rect">
                            <a:avLst/>
                          </a:prstGeom>
                        </pic:spPr>
                      </pic:pic>
                    </a:graphicData>
                  </a:graphic>
                </wp:inline>
              </w:drawing>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74" w:type="dxa"/>
            <w:gridSpan w:val="5"/>
            <w:tcBorders/>
            <w:vAlign w:val="center"/>
          </w:tcPr>
          <w:p>
            <w:pPr>
              <w:pStyle w:val="TableContents"/>
              <w:bidi w:val="0"/>
              <w:spacing w:lineRule="atLeast" w:line="210" w:before="0" w:after="0"/>
              <w:jc w:val="left"/>
              <w:rPr/>
            </w:pPr>
            <w:r>
              <w:rPr>
                <w:spacing w:val="-2"/>
              </w:rPr>
              <w:t>To ratify the appointment of Deloitte &amp; Touche LLP as our independent registered public accounting firm for the fiscal year ending December 31, 2024</w:t>
            </w:r>
            <w:r>
              <w:rPr/>
              <w:t xml:space="preserve"> </w:t>
              <w:br/>
            </w:r>
            <w:r>
              <w:rPr>
                <w:b/>
                <w:color w:val="1F2668"/>
                <w:sz w:val="16"/>
              </w:rPr>
              <w:t>PAGE 83</w:t>
            </w:r>
            <w:r>
              <w:rPr>
                <w:spacing w:val="-2"/>
              </w:rPr>
              <w:t> </w:t>
            </w:r>
            <w:r>
              <w:rPr/>
              <w:drawing>
                <wp:inline distT="0" distB="0" distL="0" distR="0">
                  <wp:extent cx="66675" cy="76200"/>
                  <wp:effectExtent l="0" t="0" r="0" b="0"/>
                  <wp:docPr id="1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3" descr=""/>
                          <pic:cNvPicPr>
                            <a:picLocks noChangeAspect="1" noChangeArrowheads="1"/>
                          </pic:cNvPicPr>
                        </pic:nvPicPr>
                        <pic:blipFill>
                          <a:blip r:embed="rId63"/>
                          <a:stretch>
                            <a:fillRect/>
                          </a:stretch>
                        </pic:blipFill>
                        <pic:spPr bwMode="auto">
                          <a:xfrm>
                            <a:off x="0" y="0"/>
                            <a:ext cx="66675" cy="76200"/>
                          </a:xfrm>
                          <a:prstGeom prst="rect">
                            <a:avLst/>
                          </a:prstGeom>
                        </pic:spPr>
                      </pic:pic>
                    </a:graphicData>
                  </a:graphic>
                </wp:inline>
              </w:drawing>
            </w:r>
          </w:p>
        </w:tc>
        <w:tc>
          <w:tcPr>
            <w:tcW w:w="162" w:type="dxa"/>
            <w:tcBorders/>
            <w:vAlign w:val="center"/>
          </w:tcPr>
          <w:p>
            <w:pPr>
              <w:pStyle w:val="TableContents"/>
              <w:bidi w:val="0"/>
              <w:spacing w:before="0" w:after="283"/>
              <w:jc w:val="left"/>
              <w:rPr/>
            </w:pPr>
            <w:r>
              <w:rPr/>
              <w:t>​</w:t>
            </w:r>
          </w:p>
        </w:tc>
      </w:tr>
      <w:tr>
        <w:trPr/>
        <w:tc>
          <w:tcPr>
            <w:tcW w:w="529" w:type="dxa"/>
            <w:gridSpan w:val="2"/>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1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4" descr=""/>
                          <pic:cNvPicPr>
                            <a:picLocks noChangeAspect="1" noChangeArrowheads="1"/>
                          </pic:cNvPicPr>
                        </pic:nvPicPr>
                        <pic:blipFill>
                          <a:blip r:embed="rId64"/>
                          <a:stretch>
                            <a:fillRect/>
                          </a:stretch>
                        </pic:blipFill>
                        <pic:spPr bwMode="auto">
                          <a:xfrm>
                            <a:off x="0" y="0"/>
                            <a:ext cx="257175" cy="257175"/>
                          </a:xfrm>
                          <a:prstGeom prst="rect">
                            <a:avLst/>
                          </a:prstGeom>
                        </pic:spPr>
                      </pic:pic>
                    </a:graphicData>
                  </a:graphic>
                </wp:inline>
              </w:drawing>
            </w:r>
            <w:r>
              <w:rPr/>
              <w:t xml:space="preserve"> </w:t>
            </w:r>
          </w:p>
        </w:tc>
        <w:tc>
          <w:tcPr>
            <w:tcW w:w="252" w:type="dxa"/>
            <w:tcBorders>
              <w:bottom w:val="single" w:sz="6" w:space="0" w:color="83AD40"/>
            </w:tcBorders>
            <w:tcMar>
              <w:bottom w:w="28" w:type="dxa"/>
            </w:tcMar>
            <w:vAlign w:val="center"/>
          </w:tcPr>
          <w:p>
            <w:pPr>
              <w:pStyle w:val="TableContents"/>
              <w:bidi w:val="0"/>
              <w:spacing w:before="0" w:after="283"/>
              <w:jc w:val="left"/>
              <w:rPr/>
            </w:pPr>
            <w:r>
              <w:rPr/>
              <w:t>​</w:t>
            </w:r>
          </w:p>
        </w:tc>
        <w:tc>
          <w:tcPr>
            <w:tcW w:w="252" w:type="dxa"/>
            <w:tcBorders>
              <w:bottom w:val="single" w:sz="6" w:space="0" w:color="83AD40"/>
            </w:tcBorders>
            <w:tcMar>
              <w:bottom w:w="28" w:type="dxa"/>
            </w:tcMar>
            <w:vAlign w:val="center"/>
          </w:tcPr>
          <w:p>
            <w:pPr>
              <w:pStyle w:val="TableContents"/>
              <w:bidi w:val="0"/>
              <w:spacing w:before="0" w:after="283"/>
              <w:jc w:val="left"/>
              <w:rPr/>
            </w:pPr>
            <w:r>
              <w:rPr/>
              <w:t>​</w:t>
            </w:r>
          </w:p>
        </w:tc>
        <w:tc>
          <w:tcPr>
            <w:tcW w:w="2484" w:type="dxa"/>
            <w:tcBorders>
              <w:bottom w:val="single" w:sz="6" w:space="0" w:color="83AD40"/>
            </w:tcBorders>
            <w:tcMar>
              <w:bottom w:w="28" w:type="dxa"/>
            </w:tcMar>
            <w:vAlign w:val="center"/>
          </w:tcPr>
          <w:p>
            <w:pPr>
              <w:pStyle w:val="TableContents"/>
              <w:bidi w:val="0"/>
              <w:spacing w:lineRule="atLeast" w:line="210" w:before="0" w:after="0"/>
              <w:jc w:val="left"/>
              <w:rPr/>
            </w:pPr>
            <w:r>
              <w:rPr>
                <w:b/>
              </w:rPr>
              <w:t>Vote</w:t>
            </w:r>
            <w:r>
              <w:rPr>
                <w:spacing w:val="-2"/>
              </w:rPr>
              <w:t xml:space="preserve"> </w:t>
            </w:r>
            <w:r>
              <w:rPr>
                <w:b/>
                <w:color w:val="1F2668"/>
                <w:sz w:val="24"/>
              </w:rPr>
              <w:t>FOR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599"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1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5" descr=""/>
                          <pic:cNvPicPr>
                            <a:picLocks noChangeAspect="1" noChangeArrowheads="1"/>
                          </pic:cNvPicPr>
                        </pic:nvPicPr>
                        <pic:blipFill>
                          <a:blip r:embed="rId65"/>
                          <a:stretch>
                            <a:fillRect/>
                          </a:stretch>
                        </pic:blipFill>
                        <pic:spPr bwMode="auto">
                          <a:xfrm>
                            <a:off x="0" y="0"/>
                            <a:ext cx="257175" cy="257175"/>
                          </a:xfrm>
                          <a:prstGeom prst="rect">
                            <a:avLst/>
                          </a:prstGeom>
                        </pic:spPr>
                      </pic:pic>
                    </a:graphicData>
                  </a:graphic>
                </wp:inline>
              </w:drawing>
            </w:r>
            <w:r>
              <w:rPr/>
              <w:t xml:space="preserve"> </w:t>
            </w:r>
          </w:p>
        </w:tc>
        <w:tc>
          <w:tcPr>
            <w:tcW w:w="128" w:type="dxa"/>
            <w:tcBorders>
              <w:bottom w:val="single" w:sz="6" w:space="0" w:color="83AD40"/>
            </w:tcBorders>
            <w:tcMar>
              <w:bottom w:w="28" w:type="dxa"/>
            </w:tcMar>
            <w:vAlign w:val="center"/>
          </w:tcPr>
          <w:p>
            <w:pPr>
              <w:pStyle w:val="TableContents"/>
              <w:bidi w:val="0"/>
              <w:spacing w:before="0" w:after="283"/>
              <w:jc w:val="left"/>
              <w:rPr/>
            </w:pPr>
            <w:r>
              <w:rPr/>
              <w:t>​</w:t>
            </w:r>
          </w:p>
        </w:tc>
        <w:tc>
          <w:tcPr>
            <w:tcW w:w="128" w:type="dxa"/>
            <w:tcBorders>
              <w:bottom w:val="single" w:sz="6" w:space="0" w:color="83AD40"/>
            </w:tcBorders>
            <w:tcMar>
              <w:bottom w:w="28" w:type="dxa"/>
            </w:tcMar>
            <w:vAlign w:val="center"/>
          </w:tcPr>
          <w:p>
            <w:pPr>
              <w:pStyle w:val="TableContents"/>
              <w:bidi w:val="0"/>
              <w:spacing w:before="0" w:after="283"/>
              <w:jc w:val="left"/>
              <w:rPr/>
            </w:pPr>
            <w:r>
              <w:rPr/>
              <w:t>​</w:t>
            </w:r>
          </w:p>
        </w:tc>
        <w:tc>
          <w:tcPr>
            <w:tcW w:w="128" w:type="dxa"/>
            <w:tcBorders>
              <w:bottom w:val="single" w:sz="6" w:space="0" w:color="83AD40"/>
            </w:tcBorders>
            <w:tcMar>
              <w:bottom w:w="28" w:type="dxa"/>
            </w:tcMar>
            <w:vAlign w:val="center"/>
          </w:tcPr>
          <w:p>
            <w:pPr>
              <w:pStyle w:val="TableContents"/>
              <w:bidi w:val="0"/>
              <w:spacing w:before="0" w:after="283"/>
              <w:jc w:val="left"/>
              <w:rPr/>
            </w:pPr>
            <w:r>
              <w:rPr/>
              <w:t>​</w:t>
            </w:r>
          </w:p>
        </w:tc>
        <w:tc>
          <w:tcPr>
            <w:tcW w:w="915" w:type="dxa"/>
            <w:tcBorders>
              <w:bottom w:val="single" w:sz="6" w:space="0" w:color="83AD40"/>
            </w:tcBorders>
            <w:tcMar>
              <w:bottom w:w="28" w:type="dxa"/>
            </w:tcMar>
            <w:vAlign w:val="center"/>
          </w:tcPr>
          <w:p>
            <w:pPr>
              <w:pStyle w:val="TableContents"/>
              <w:bidi w:val="0"/>
              <w:spacing w:lineRule="atLeast" w:line="210" w:before="0" w:after="0"/>
              <w:jc w:val="left"/>
              <w:rPr/>
            </w:pPr>
            <w:r>
              <w:rPr>
                <w:b/>
              </w:rPr>
              <w:t>Vote</w:t>
            </w:r>
            <w:r>
              <w:rPr>
                <w:spacing w:val="-2"/>
              </w:rPr>
              <w:t xml:space="preserve"> </w:t>
            </w:r>
            <w:r>
              <w:rPr>
                <w:b/>
                <w:color w:val="1F2668"/>
                <w:sz w:val="24"/>
              </w:rPr>
              <w:t>FOR</w:t>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923"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257175" cy="257175"/>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66"/>
                          <a:stretch>
                            <a:fillRect/>
                          </a:stretch>
                        </pic:blipFill>
                        <pic:spPr bwMode="auto">
                          <a:xfrm>
                            <a:off x="0" y="0"/>
                            <a:ext cx="257175" cy="257175"/>
                          </a:xfrm>
                          <a:prstGeom prst="rect">
                            <a:avLst/>
                          </a:prstGeom>
                        </pic:spPr>
                      </pic:pic>
                    </a:graphicData>
                  </a:graphic>
                </wp:inline>
              </w:drawing>
            </w:r>
            <w:r>
              <w:rPr/>
              <w:t xml:space="preserve"> </w:t>
            </w:r>
          </w:p>
        </w:tc>
        <w:tc>
          <w:tcPr>
            <w:tcW w:w="192" w:type="dxa"/>
            <w:tcBorders>
              <w:bottom w:val="single" w:sz="6" w:space="0" w:color="83AD40"/>
            </w:tcBorders>
            <w:tcMar>
              <w:bottom w:w="28" w:type="dxa"/>
            </w:tcMar>
            <w:vAlign w:val="center"/>
          </w:tcPr>
          <w:p>
            <w:pPr>
              <w:pStyle w:val="TableContents"/>
              <w:bidi w:val="0"/>
              <w:spacing w:before="0" w:after="283"/>
              <w:jc w:val="left"/>
              <w:rPr/>
            </w:pPr>
            <w:r>
              <w:rPr/>
              <w:t>​</w:t>
            </w:r>
          </w:p>
        </w:tc>
        <w:tc>
          <w:tcPr>
            <w:tcW w:w="192" w:type="dxa"/>
            <w:tcBorders>
              <w:bottom w:val="single" w:sz="6" w:space="0" w:color="83AD40"/>
            </w:tcBorders>
            <w:tcMar>
              <w:bottom w:w="28" w:type="dxa"/>
            </w:tcMar>
            <w:vAlign w:val="center"/>
          </w:tcPr>
          <w:p>
            <w:pPr>
              <w:pStyle w:val="TableContents"/>
              <w:bidi w:val="0"/>
              <w:spacing w:before="0" w:after="283"/>
              <w:jc w:val="left"/>
              <w:rPr/>
            </w:pPr>
            <w:r>
              <w:rPr/>
              <w:t>​</w:t>
            </w:r>
          </w:p>
        </w:tc>
        <w:tc>
          <w:tcPr>
            <w:tcW w:w="192" w:type="dxa"/>
            <w:tcBorders>
              <w:bottom w:val="single" w:sz="6" w:space="0" w:color="83AD40"/>
            </w:tcBorders>
            <w:tcMar>
              <w:bottom w:w="28" w:type="dxa"/>
            </w:tcMar>
            <w:vAlign w:val="center"/>
          </w:tcPr>
          <w:p>
            <w:pPr>
              <w:pStyle w:val="TableContents"/>
              <w:bidi w:val="0"/>
              <w:spacing w:before="0" w:after="283"/>
              <w:jc w:val="left"/>
              <w:rPr/>
            </w:pPr>
            <w:r>
              <w:rPr/>
              <w:t>​</w:t>
            </w:r>
          </w:p>
        </w:tc>
        <w:tc>
          <w:tcPr>
            <w:tcW w:w="1575" w:type="dxa"/>
            <w:tcBorders>
              <w:bottom w:val="single" w:sz="6" w:space="0" w:color="83AD40"/>
            </w:tcBorders>
            <w:tcMar>
              <w:bottom w:w="28" w:type="dxa"/>
            </w:tcMar>
            <w:vAlign w:val="center"/>
          </w:tcPr>
          <w:p>
            <w:pPr>
              <w:pStyle w:val="TableContents"/>
              <w:bidi w:val="0"/>
              <w:spacing w:lineRule="atLeast" w:line="210" w:before="0" w:after="0"/>
              <w:jc w:val="left"/>
              <w:rPr>
                <w:b/>
              </w:rPr>
            </w:pPr>
            <w:r>
              <w:rPr>
                <w:b/>
              </w:rPr>
              <w:t>Vote</w:t>
            </w:r>
            <w:r>
              <w:rPr>
                <w:b/>
                <w:spacing w:val="-2"/>
              </w:rPr>
              <w:t xml:space="preserve"> </w:t>
            </w:r>
            <w:r>
              <w:rPr>
                <w:b/>
                <w:color w:val="1F2668"/>
                <w:sz w:val="24"/>
              </w:rPr>
              <w:t>FOR</w:t>
            </w:r>
          </w:p>
        </w:tc>
        <w:tc>
          <w:tcPr>
            <w:tcW w:w="162"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10283" w:type="dxa"/>
        <w:jc w:val="left"/>
        <w:tblInd w:w="900" w:type="dxa"/>
        <w:tblLayout w:type="fixed"/>
        <w:tblCellMar>
          <w:top w:w="0" w:type="dxa"/>
          <w:left w:w="0" w:type="dxa"/>
          <w:bottom w:w="0" w:type="dxa"/>
          <w:right w:w="0" w:type="dxa"/>
        </w:tblCellMar>
      </w:tblPr>
      <w:tblGrid>
        <w:gridCol w:w="124"/>
        <w:gridCol w:w="1541"/>
        <w:gridCol w:w="109"/>
        <w:gridCol w:w="109"/>
        <w:gridCol w:w="109"/>
        <w:gridCol w:w="2215"/>
        <w:gridCol w:w="109"/>
        <w:gridCol w:w="109"/>
        <w:gridCol w:w="109"/>
        <w:gridCol w:w="671"/>
        <w:gridCol w:w="109"/>
        <w:gridCol w:w="109"/>
        <w:gridCol w:w="109"/>
        <w:gridCol w:w="2206"/>
        <w:gridCol w:w="109"/>
        <w:gridCol w:w="109"/>
        <w:gridCol w:w="109"/>
        <w:gridCol w:w="566"/>
        <w:gridCol w:w="109"/>
        <w:gridCol w:w="109"/>
        <w:gridCol w:w="109"/>
        <w:gridCol w:w="1171"/>
        <w:gridCol w:w="154"/>
      </w:tblGrid>
      <w:tr>
        <w:trPr/>
        <w:tc>
          <w:tcPr>
            <w:tcW w:w="124" w:type="dxa"/>
            <w:vMerge w:val="restart"/>
            <w:tcBorders/>
            <w:vAlign w:val="center"/>
          </w:tcPr>
          <w:p>
            <w:pPr>
              <w:pStyle w:val="TableContents"/>
              <w:bidi w:val="0"/>
              <w:spacing w:before="0" w:after="283"/>
              <w:jc w:val="left"/>
              <w:rPr/>
            </w:pPr>
            <w:r>
              <w:rPr/>
              <w:t>​</w:t>
            </w:r>
          </w:p>
        </w:tc>
        <w:tc>
          <w:tcPr>
            <w:tcW w:w="4083" w:type="dxa"/>
            <w:gridSpan w:val="5"/>
            <w:vMerge w:val="restart"/>
            <w:tcBorders/>
            <w:vAlign w:val="center"/>
          </w:tcPr>
          <w:p>
            <w:pPr>
              <w:pStyle w:val="TableContents"/>
              <w:bidi w:val="0"/>
              <w:spacing w:lineRule="atLeast" w:line="210" w:before="0" w:after="0"/>
              <w:jc w:val="left"/>
              <w:rPr>
                <w:spacing w:val="-2"/>
              </w:rPr>
            </w:pPr>
            <w:r>
              <w:rPr>
                <w:spacing w:val="-2"/>
              </w:rPr>
              <w:t xml:space="preserve">In addition, stockholders may be asked to consider and vote upon any other matters that may properly be brought before the Annual Meeting and at any adjournments or postponements thereof. </w:t>
            </w:r>
          </w:p>
          <w:p>
            <w:pPr>
              <w:pStyle w:val="TableContents"/>
              <w:bidi w:val="0"/>
              <w:spacing w:lineRule="atLeast" w:line="210" w:before="120" w:after="283"/>
              <w:jc w:val="left"/>
              <w:rPr>
                <w:spacing w:val="-2"/>
              </w:rPr>
            </w:pPr>
            <w:r>
              <w:rPr>
                <w:spacing w:val="-2"/>
              </w:rPr>
              <w:t xml:space="preserve">Any action may be taken on the foregoing matters at the Annual Meeting on the date specified above, or on any date or dates to which the annual meeting may be adjourned, or to which the annual meeting may be postponed. </w:t>
            </w:r>
          </w:p>
          <w:p>
            <w:pPr>
              <w:pStyle w:val="TableContents"/>
              <w:bidi w:val="0"/>
              <w:spacing w:lineRule="atLeast" w:line="210" w:before="120" w:after="283"/>
              <w:jc w:val="left"/>
              <w:rPr>
                <w:spacing w:val="-2"/>
              </w:rPr>
            </w:pPr>
            <w:r>
              <w:rPr>
                <w:spacing w:val="-2"/>
              </w:rPr>
              <w:t xml:space="preserve">The Board of Directors has fixed the close of business on March 28, 2024 as the record date for determining the stockholders entitled to notice of, and to vote at, the Annual Meeting and at any adjournments or postponements thereof. </w:t>
            </w:r>
          </w:p>
          <w:p>
            <w:pPr>
              <w:pStyle w:val="TableContents"/>
              <w:bidi w:val="0"/>
              <w:spacing w:lineRule="atLeast" w:line="210" w:before="120" w:after="283"/>
              <w:jc w:val="left"/>
              <w:rPr>
                <w:spacing w:val="-2"/>
              </w:rPr>
            </w:pPr>
            <w:r>
              <w:rPr>
                <w:spacing w:val="-2"/>
              </w:rPr>
              <w:t xml:space="preserve">By Order of the Board of Directors, </w:t>
            </w:r>
          </w:p>
        </w:tc>
        <w:tc>
          <w:tcPr>
            <w:tcW w:w="109"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595" w:type="dxa"/>
            <w:gridSpan w:val="13"/>
            <w:tcBorders/>
            <w:vAlign w:val="center"/>
          </w:tcPr>
          <w:p>
            <w:pPr>
              <w:pStyle w:val="TableContents"/>
              <w:bidi w:val="0"/>
              <w:spacing w:before="0" w:after="0"/>
              <w:jc w:val="left"/>
              <w:rPr>
                <w:b/>
                <w:color w:val="83AD40"/>
                <w:sz w:val="22"/>
              </w:rPr>
            </w:pPr>
            <w:r>
              <w:rPr>
                <w:b/>
                <w:color w:val="83AD40"/>
                <w:sz w:val="22"/>
              </w:rPr>
              <w:t>Voting</w:t>
            </w:r>
            <w:r>
              <w:rPr>
                <w:b/>
                <w:color w:val="000000"/>
                <w:sz w:val="22"/>
              </w:rPr>
              <w:t>​</w:t>
            </w:r>
          </w:p>
          <w:p>
            <w:pPr>
              <w:pStyle w:val="TableContents"/>
              <w:bidi w:val="0"/>
              <w:spacing w:lineRule="atLeast" w:line="210" w:before="60" w:after="283"/>
              <w:jc w:val="left"/>
              <w:rPr>
                <w:spacing w:val="-2"/>
              </w:rPr>
            </w:pPr>
            <w:r>
              <w:rPr>
                <w:spacing w:val="-2"/>
              </w:rPr>
              <w:t xml:space="preserve">Your vote is very important to us. Please vote as soon as possible by one of the methods shown below: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0"/>
              <w:jc w:val="left"/>
              <w:rPr/>
            </w:pPr>
            <w:r>
              <w:rPr/>
              <w:drawing>
                <wp:inline distT="0" distB="0" distL="0" distR="0">
                  <wp:extent cx="371475" cy="314325"/>
                  <wp:effectExtent l="0" t="0" r="0" b="0"/>
                  <wp:docPr id="1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7" descr=""/>
                          <pic:cNvPicPr>
                            <a:picLocks noChangeAspect="1" noChangeArrowheads="1"/>
                          </pic:cNvPicPr>
                        </pic:nvPicPr>
                        <pic:blipFill>
                          <a:blip r:embed="rId67"/>
                          <a:stretch>
                            <a:fillRect/>
                          </a:stretch>
                        </pic:blipFill>
                        <pic:spPr bwMode="auto">
                          <a:xfrm>
                            <a:off x="0" y="0"/>
                            <a:ext cx="371475" cy="3143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6" w:type="dxa"/>
            <w:tcBorders/>
            <w:vAlign w:val="center"/>
          </w:tcPr>
          <w:p>
            <w:pPr>
              <w:pStyle w:val="TableContents"/>
              <w:bidi w:val="0"/>
              <w:spacing w:lineRule="atLeast" w:line="210" w:before="0" w:after="0"/>
              <w:jc w:val="left"/>
              <w:rPr/>
            </w:pPr>
            <w:r>
              <w:rPr>
                <w:b/>
                <w:color w:val="1F2668"/>
              </w:rPr>
              <w:t>By Internet</w:t>
            </w:r>
            <w:r>
              <w:rPr>
                <w:spacing w:val="-2"/>
              </w:rPr>
              <w:t xml:space="preserve"> </w:t>
              <w:br/>
              <w:t xml:space="preserve">Visit </w:t>
            </w:r>
            <w:r>
              <w:rPr/>
              <w:br/>
            </w:r>
            <w:r>
              <w:rPr>
                <w:b/>
                <w:color w:val="1F2668"/>
              </w:rPr>
              <w:t>www.proxyvote.com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66" w:type="dxa"/>
            <w:tcBorders/>
            <w:vAlign w:val="center"/>
          </w:tcPr>
          <w:p>
            <w:pPr>
              <w:pStyle w:val="TableContents"/>
              <w:bidi w:val="0"/>
              <w:spacing w:before="0" w:after="0"/>
              <w:jc w:val="both"/>
              <w:rPr/>
            </w:pPr>
            <w:r>
              <w:rPr/>
              <w:drawing>
                <wp:inline distT="0" distB="0" distL="0" distR="0">
                  <wp:extent cx="304800" cy="304800"/>
                  <wp:effectExtent l="0" t="0" r="0" b="0"/>
                  <wp:docPr id="1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8" descr=""/>
                          <pic:cNvPicPr>
                            <a:picLocks noChangeAspect="1" noChangeArrowheads="1"/>
                          </pic:cNvPicPr>
                        </pic:nvPicPr>
                        <pic:blipFill>
                          <a:blip r:embed="rId68"/>
                          <a:stretch>
                            <a:fillRect/>
                          </a:stretch>
                        </pic:blipFill>
                        <pic:spPr bwMode="auto">
                          <a:xfrm>
                            <a:off x="0" y="0"/>
                            <a:ext cx="304800"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lineRule="atLeast" w:line="210" w:before="0" w:after="0"/>
              <w:jc w:val="left"/>
              <w:rPr/>
            </w:pPr>
            <w:r>
              <w:rPr>
                <w:b/>
                <w:color w:val="1F2668"/>
              </w:rPr>
              <w:t>By Telephone</w:t>
            </w:r>
            <w:r>
              <w:rPr>
                <w:spacing w:val="-2"/>
              </w:rPr>
              <w:t xml:space="preserve"> </w:t>
            </w:r>
            <w:r>
              <w:rPr/>
              <w:br/>
            </w:r>
            <w:r>
              <w:rPr>
                <w:b/>
                <w:color w:val="1F2668"/>
              </w:rPr>
              <w:t>Call 1-800-454-8683</w:t>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71" w:type="dxa"/>
            <w:tcBorders/>
            <w:vAlign w:val="center"/>
          </w:tcPr>
          <w:p>
            <w:pPr>
              <w:pStyle w:val="TableContents"/>
              <w:bidi w:val="0"/>
              <w:spacing w:before="0" w:after="0"/>
              <w:jc w:val="left"/>
              <w:rPr/>
            </w:pPr>
            <w:r>
              <w:rPr/>
              <w:drawing>
                <wp:inline distT="0" distB="0" distL="0" distR="0">
                  <wp:extent cx="342900" cy="342900"/>
                  <wp:effectExtent l="0" t="0" r="0" b="0"/>
                  <wp:docPr id="1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9" descr=""/>
                          <pic:cNvPicPr>
                            <a:picLocks noChangeAspect="1" noChangeArrowheads="1"/>
                          </pic:cNvPicPr>
                        </pic:nvPicPr>
                        <pic:blipFill>
                          <a:blip r:embed="rId69"/>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7" w:type="dxa"/>
            <w:gridSpan w:val="9"/>
            <w:tcBorders/>
            <w:vAlign w:val="center"/>
          </w:tcPr>
          <w:p>
            <w:pPr>
              <w:pStyle w:val="TableContents"/>
              <w:bidi w:val="0"/>
              <w:spacing w:lineRule="atLeast" w:line="210" w:before="0" w:after="0"/>
              <w:jc w:val="left"/>
              <w:rPr/>
            </w:pPr>
            <w:r>
              <w:rPr>
                <w:color w:val="1F2668"/>
              </w:rPr>
              <w:t>By Tablet or Smartphone</w:t>
            </w:r>
            <w:r>
              <w:rPr/>
              <w:t xml:space="preserve"> </w:t>
              <w:br/>
            </w:r>
            <w:r>
              <w:rPr>
                <w:b w:val="false"/>
                <w:spacing w:val="-2"/>
              </w:rPr>
              <w:t>Scan this QR code to vote with your mobile device</w:t>
            </w:r>
            <w:r>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4083" w:type="dxa"/>
            <w:gridSpan w:val="5"/>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vMerge w:val="continue"/>
            <w:tcBorders>
              <w:bottom w:val="single" w:sz="2" w:space="0" w:color="83AD40"/>
            </w:tcBorders>
            <w:shd w:fill="83AD40" w:val="clear"/>
            <w:tcMar>
              <w:bottom w:w="28" w:type="dxa"/>
            </w:tcMar>
            <w:vAlign w:val="center"/>
          </w:tcPr>
          <w:p>
            <w:pPr>
              <w:pStyle w:val="Normal"/>
              <w:bidi w:val="0"/>
              <w:jc w:val="left"/>
              <w:rPr/>
            </w:pPr>
            <w:r>
              <w:rPr/>
            </w:r>
          </w:p>
        </w:tc>
        <w:tc>
          <w:tcPr>
            <w:tcW w:w="109" w:type="dxa"/>
            <w:vMerge w:val="restart"/>
            <w:tcBorders/>
            <w:vAlign w:val="center"/>
          </w:tcPr>
          <w:p>
            <w:pPr>
              <w:pStyle w:val="TableContents"/>
              <w:bidi w:val="0"/>
              <w:spacing w:before="0" w:after="283"/>
              <w:jc w:val="left"/>
              <w:rPr/>
            </w:pPr>
            <w:r>
              <w:rPr/>
              <w:t>​</w:t>
            </w:r>
          </w:p>
        </w:tc>
        <w:tc>
          <w:tcPr>
            <w:tcW w:w="5595" w:type="dxa"/>
            <w:gridSpan w:val="13"/>
            <w:vMerge w:val="restart"/>
            <w:tcBorders/>
            <w:vAlign w:val="center"/>
          </w:tcPr>
          <w:p>
            <w:pPr>
              <w:pStyle w:val="TableContents"/>
              <w:bidi w:val="0"/>
              <w:spacing w:lineRule="atLeast" w:line="220" w:before="0" w:after="0"/>
              <w:jc w:val="left"/>
              <w:rPr/>
            </w:pPr>
            <w:r>
              <w:rPr>
                <w:spacing w:val="-2"/>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during the Annual Meeting if you wish, even if you previously have signed and returned your proxy card.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Please note that if your shares are held of record by a bank, broker or other nominee, please follow the instructions you receive from your bank, broker or other nominee to have your shares voted.</w:t>
            </w:r>
            <w:r>
              <w:rPr/>
              <w:t xml:space="preserve">​ </w:t>
            </w:r>
          </w:p>
        </w:tc>
        <w:tc>
          <w:tcPr>
            <w:tcW w:w="154" w:type="dxa"/>
            <w:vMerge w:val="restart"/>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1" w:type="dxa"/>
            <w:tcBorders/>
            <w:vAlign w:val="center"/>
          </w:tcPr>
          <w:p>
            <w:pPr>
              <w:pStyle w:val="TableContents"/>
              <w:bidi w:val="0"/>
              <w:spacing w:before="0" w:after="0"/>
              <w:jc w:val="left"/>
              <w:rPr/>
            </w:pPr>
            <w:r>
              <w:rPr/>
              <w:drawing>
                <wp:inline distT="0" distB="0" distL="0" distR="0">
                  <wp:extent cx="923925" cy="276225"/>
                  <wp:effectExtent l="0" t="0" r="0" b="0"/>
                  <wp:docPr id="1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0" descr=""/>
                          <pic:cNvPicPr>
                            <a:picLocks noChangeAspect="1" noChangeArrowheads="1"/>
                          </pic:cNvPicPr>
                        </pic:nvPicPr>
                        <pic:blipFill>
                          <a:blip r:embed="rId70"/>
                          <a:stretch>
                            <a:fillRect/>
                          </a:stretch>
                        </pic:blipFill>
                        <pic:spPr bwMode="auto">
                          <a:xfrm>
                            <a:off x="0" y="0"/>
                            <a:ext cx="923925" cy="276225"/>
                          </a:xfrm>
                          <a:prstGeom prst="rect">
                            <a:avLst/>
                          </a:prstGeom>
                        </pic:spPr>
                      </pic:pic>
                    </a:graphicData>
                  </a:graphic>
                </wp:inline>
              </w:drawing>
            </w:r>
            <w:r>
              <w:rPr/>
              <w:t xml:space="preserve"> </w:t>
            </w:r>
          </w:p>
          <w:p>
            <w:pPr>
              <w:pStyle w:val="TableContents"/>
              <w:bidi w:val="0"/>
              <w:spacing w:lineRule="atLeast" w:line="210" w:before="189" w:after="283"/>
              <w:jc w:val="left"/>
              <w:rPr/>
            </w:pPr>
            <w:r>
              <w:rPr>
                <w:b/>
              </w:rPr>
              <w:t>Andrew S. Levine</w:t>
            </w:r>
            <w:r>
              <w:rPr/>
              <w:t xml:space="preserve"> </w:t>
              <w:br/>
            </w:r>
            <w:r>
              <w:rPr>
                <w:spacing w:val="-2"/>
              </w:rPr>
              <w:t xml:space="preserve">Secretary </w:t>
              <w:br/>
              <w:t xml:space="preserve">New York, New York </w:t>
              <w:br/>
              <w:t xml:space="preserve">April 19,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5" w:type="dxa"/>
            <w:tcBorders/>
            <w:vAlign w:val="center"/>
          </w:tcPr>
          <w:p>
            <w:pPr>
              <w:pStyle w:val="TableContents"/>
              <w:bidi w:val="0"/>
              <w:spacing w:lineRule="atLeast" w:line="210" w:before="0" w:after="0"/>
              <w:jc w:val="left"/>
              <w:rPr>
                <w:b/>
              </w:rPr>
            </w:pPr>
            <w:r>
              <w:rPr>
                <w:b/>
              </w:rPr>
              <w:t>Important Notice Regarding the Availability of Proxy Materials for the Annual Stockholder Meeting to be Held on June 3, 2024.</w:t>
            </w:r>
            <w:r>
              <w:rPr>
                <w:b/>
                <w:spacing w:val="-2"/>
              </w:rPr>
              <w:t xml:space="preserve"> </w:t>
            </w:r>
            <w:r>
              <w:rPr>
                <w:b w:val="false"/>
                <w:spacing w:val="-2"/>
              </w:rPr>
              <w:t>This proxy statement and our 2023 Annual Report to Stockholders are available at http://www.proxyvote.com</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5595" w:type="dxa"/>
            <w:gridSpan w:val="13"/>
            <w:vMerge w:val="continue"/>
            <w:tcBorders/>
            <w:vAlign w:val="center"/>
          </w:tcPr>
          <w:p>
            <w:pPr>
              <w:pStyle w:val="Normal"/>
              <w:bidi w:val="0"/>
              <w:jc w:val="left"/>
              <w:rPr/>
            </w:pPr>
            <w:r>
              <w:rPr/>
            </w:r>
          </w:p>
        </w:tc>
        <w:tc>
          <w:tcPr>
            <w:tcW w:w="154" w:type="dxa"/>
            <w:vMerge w:val="continue"/>
            <w:tcBorders/>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
      <w:bookmarkEnd w:id="5"/>
      <w:r>
        <w:rPr>
          <w:rFonts w:ascii="calibri;arial;sans-serif" w:hAnsi="calibri;arial;sans-serif"/>
          <w:b w:val="false"/>
          <w:i w:val="false"/>
          <w:caps w:val="false"/>
          <w:smallCaps w:val="false"/>
          <w:color w:val="1F2668"/>
          <w:sz w:val="16"/>
        </w:rPr>
        <w:t>​</w:t>
      </w:r>
      <w:bookmarkStart w:id="6" w:name="TOC2"/>
      <w:bookmarkEnd w:id="6"/>
      <w:r>
        <w:rPr>
          <w:rFonts w:ascii="calibri;arial;sans-serif" w:hAnsi="calibri;arial;sans-serif"/>
          <w:b w:val="false"/>
          <w:i w:val="false"/>
          <w:caps w:val="false"/>
          <w:smallCaps w:val="false"/>
          <w:color w:val="1F2668"/>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TABLE OF CONTENTS</w:t>
      </w:r>
      <w:r>
        <w:rPr>
          <w:rFonts w:ascii="Arial;Helvetica;sans-serif" w:hAnsi="Arial;Helvetica;sans-serif"/>
          <w:b/>
          <w:i w:val="false"/>
          <w:caps w:val="false"/>
          <w:smallCaps w:val="false"/>
          <w:color w:val="000000"/>
          <w:spacing w:val="8"/>
          <w:sz w:val="42"/>
        </w:rPr>
        <w:t xml:space="preserve"> </w:t>
      </w:r>
    </w:p>
    <w:p>
      <w:pPr>
        <w:pStyle w:val="TextBody"/>
        <w:bidi w:val="0"/>
        <w:spacing w:before="0" w:after="3634"/>
        <w:jc w:val="left"/>
        <w:rPr>
          <w:caps w:val="false"/>
          <w:smallCaps w:val="false"/>
          <w:color w:val="1F2668"/>
        </w:rPr>
      </w:pPr>
      <w:r>
        <w:rPr>
          <w:caps w:val="false"/>
          <w:smallCaps w:val="false"/>
          <w:color w:val="1F2668"/>
        </w:rPr>
        <w:t>​</w:t>
      </w:r>
      <w:r>
        <mc:AlternateContent>
          <mc:Choice Requires="wps">
            <w:drawing>
              <wp:anchor behindDoc="0" distT="0" distB="0" distL="304800" distR="0" simplePos="0" locked="0" layoutInCell="1" allowOverlap="1" relativeHeight="44">
                <wp:simplePos x="0" y="0"/>
                <wp:positionH relativeFrom="column">
                  <wp:align>left</wp:align>
                </wp:positionH>
                <wp:positionV relativeFrom="line">
                  <wp:posOffset>635</wp:posOffset>
                </wp:positionV>
                <wp:extent cx="3048000" cy="5201285"/>
                <wp:effectExtent l="0" t="0" r="0" b="0"/>
                <wp:wrapSquare wrapText="right"/>
                <wp:docPr id="172" name="Frame104"/>
                <a:graphic xmlns:a="http://schemas.openxmlformats.org/drawingml/2006/main">
                  <a:graphicData uri="http://schemas.microsoft.com/office/word/2010/wordprocessingShape">
                    <wps:wsp>
                      <wps:cNvSpPr txBox="1"/>
                      <wps:spPr>
                        <a:xfrm>
                          <a:off x="0" y="0"/>
                          <a:ext cx="3048000" cy="5201285"/>
                        </a:xfrm>
                        <a:prstGeom prst="rect"/>
                        <a:solidFill>
                          <a:srgbClr val="FFFFFF"/>
                        </a:solidFill>
                      </wps:spPr>
                      <wps:txbx>
                        <w:txbxContent>
                          <w:tbl>
                            <w:tblPr>
                              <w:tblW w:w="9132" w:type="dxa"/>
                              <w:jc w:val="left"/>
                              <w:tblInd w:w="0" w:type="dxa"/>
                              <w:tblLayout w:type="fixed"/>
                              <w:tblCellMar>
                                <w:top w:w="0" w:type="dxa"/>
                                <w:left w:w="0" w:type="dxa"/>
                                <w:bottom w:w="28" w:type="dxa"/>
                                <w:right w:w="0" w:type="dxa"/>
                              </w:tblCellMar>
                            </w:tblPr>
                            <w:tblGrid>
                              <w:gridCol w:w="124"/>
                              <w:gridCol w:w="6598"/>
                              <w:gridCol w:w="168"/>
                              <w:gridCol w:w="168"/>
                              <w:gridCol w:w="834"/>
                              <w:gridCol w:w="109"/>
                              <w:gridCol w:w="109"/>
                              <w:gridCol w:w="109"/>
                              <w:gridCol w:w="109"/>
                              <w:gridCol w:w="541"/>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ACM">
                                    <w:r>
                                      <w:rPr>
                                        <w:rStyle w:val="InternetLink"/>
                                        <w:color w:val="83AD40"/>
                                      </w:rPr>
                                      <w:t>AUDIT COMMITTEE MATTERS</w:t>
                                    </w:r>
                                  </w:hyperlink>
                                  <w:hyperlink w:anchor="tAC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CM">
                                    <w:r>
                                      <w:rPr>
                                        <w:rStyle w:val="InternetLink"/>
                                        <w:color w:val="83AD40"/>
                                      </w:rPr>
                                      <w:t>81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ACR">
                                    <w:r>
                                      <w:rPr>
                                        <w:rStyle w:val="InternetLink"/>
                                        <w:color w:val="1F2668"/>
                                      </w:rPr>
                                      <w:t>Audit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ACR">
                                    <w:r>
                                      <w:rPr>
                                        <w:rStyle w:val="InternetLink"/>
                                        <w:color w:val="1F2668"/>
                                      </w:rPr>
                                      <w:t>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598" w:type="dxa"/>
                                  <w:tcBorders/>
                                  <w:shd w:fill="E9F9D8" w:val="clear"/>
                                  <w:tcMar>
                                    <w:bottom w:w="0" w:type="dxa"/>
                                  </w:tcMar>
                                  <w:vAlign w:val="center"/>
                                </w:tcPr>
                                <w:p>
                                  <w:pPr>
                                    <w:pStyle w:val="TableContents"/>
                                    <w:bidi w:val="0"/>
                                    <w:spacing w:lineRule="atLeast" w:line="220" w:before="0" w:after="0"/>
                                    <w:jc w:val="left"/>
                                    <w:rPr/>
                                  </w:pPr>
                                  <w:hyperlink w:anchor="tPR3">
                                    <w:r>
                                      <w:rPr>
                                        <w:rStyle w:val="InternetLink"/>
                                        <w:color w:val="1F2668"/>
                                      </w:rPr>
                                      <w:t xml:space="preserve">Proposal 3: Ratification of Appointment of </w:t>
                                      <w:br/>
                                      <w:t xml:space="preserve">Independent Registered Public Accounting </w:t>
                                      <w:br/>
                                      <w:t>Firm</w:t>
                                    </w:r>
                                  </w:hyperlink>
                                  <w:r>
                                    <w:rPr/>
                                    <w:t xml:space="preserve"> </w:t>
                                  </w:r>
                                </w:p>
                              </w:tc>
                              <w:tc>
                                <w:tcPr>
                                  <w:tcW w:w="168" w:type="dxa"/>
                                  <w:tcBorders/>
                                  <w:shd w:fill="E9F9D8" w:val="clear"/>
                                  <w:tcMar>
                                    <w:bottom w:w="0" w:type="dxa"/>
                                  </w:tcMar>
                                  <w:vAlign w:val="center"/>
                                </w:tcPr>
                                <w:p>
                                  <w:pPr>
                                    <w:pStyle w:val="TableContents"/>
                                    <w:bidi w:val="0"/>
                                    <w:spacing w:before="0" w:after="283"/>
                                    <w:jc w:val="left"/>
                                    <w:rPr/>
                                  </w:pPr>
                                  <w:r>
                                    <w:rPr/>
                                    <w:t>​</w:t>
                                  </w:r>
                                </w:p>
                              </w:tc>
                              <w:tc>
                                <w:tcPr>
                                  <w:tcW w:w="168" w:type="dxa"/>
                                  <w:tcBorders/>
                                  <w:shd w:fill="E9F9D8" w:val="clear"/>
                                  <w:tcMar>
                                    <w:bottom w:w="0" w:type="dxa"/>
                                  </w:tcMar>
                                  <w:vAlign w:val="center"/>
                                </w:tcPr>
                                <w:p>
                                  <w:pPr>
                                    <w:pStyle w:val="TableContents"/>
                                    <w:bidi w:val="0"/>
                                    <w:spacing w:before="0" w:after="283"/>
                                    <w:jc w:val="left"/>
                                    <w:rPr/>
                                  </w:pPr>
                                  <w:r>
                                    <w:rPr/>
                                    <w:t>​</w:t>
                                  </w:r>
                                </w:p>
                              </w:tc>
                              <w:tc>
                                <w:tcPr>
                                  <w:tcW w:w="834"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3" name="Image63" descr="">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3" descr="">
                                                  <a:hlinkClick r:id="rId72"/>
                                                </pic:cNvPr>
                                                <pic:cNvPicPr>
                                                  <a:picLocks noChangeAspect="1" noChangeArrowheads="1"/>
                                                </pic:cNvPicPr>
                                              </pic:nvPicPr>
                                              <pic:blipFill>
                                                <a:blip r:embed="rId71"/>
                                                <a:stretch>
                                                  <a:fillRect/>
                                                </a:stretch>
                                              </pic:blipFill>
                                              <pic:spPr bwMode="auto">
                                                <a:xfrm>
                                                  <a:off x="0" y="0"/>
                                                  <a:ext cx="247650" cy="247650"/>
                                                </a:xfrm>
                                                <a:prstGeom prst="rect">
                                                  <a:avLst/>
                                                </a:prstGeom>
                                                <a:ln w="9525">
                                                  <a:solidFill>
                                                    <a:srgbClr val="000080"/>
                                                  </a:solidFill>
                                                </a:ln>
                                              </pic:spPr>
                                            </pic:pic>
                                          </a:graphicData>
                                        </a:graphic>
                                      </wp:inline>
                                    </w:drawing>
                                  </w:r>
                                  <w:hyperlink w:anchor="tPR3">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541" w:type="dxa"/>
                                  <w:tcBorders/>
                                  <w:shd w:fill="E9F9D8" w:val="clear"/>
                                  <w:tcMar>
                                    <w:bottom w:w="0" w:type="dxa"/>
                                  </w:tcMar>
                                  <w:vAlign w:val="center"/>
                                </w:tcPr>
                                <w:p>
                                  <w:pPr>
                                    <w:pStyle w:val="TableContents"/>
                                    <w:bidi w:val="0"/>
                                    <w:spacing w:before="0" w:after="283"/>
                                    <w:jc w:val="right"/>
                                    <w:rPr/>
                                  </w:pPr>
                                  <w:hyperlink w:anchor="tPR3">
                                    <w:r>
                                      <w:rPr>
                                        <w:rStyle w:val="InternetLink"/>
                                        <w:color w:val="1F2668"/>
                                      </w:rPr>
                                      <w:t>83</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PPAP">
                                    <w:r>
                                      <w:rPr>
                                        <w:rStyle w:val="InternetLink"/>
                                        <w:color w:val="1F2668"/>
                                      </w:rPr>
                                      <w:t>Pre-Approval Policies and Procedures of our Audit Committee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PPAP">
                                    <w:r>
                                      <w:rPr>
                                        <w:rStyle w:val="InternetLink"/>
                                        <w:color w:val="1F2668"/>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FEDI">
                                    <w:r>
                                      <w:rPr>
                                        <w:rStyle w:val="InternetLink"/>
                                        <w:color w:val="1F2668"/>
                                      </w:rPr>
                                      <w:t>Fee Disclosure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EDI">
                                    <w:r>
                                      <w:rPr>
                                        <w:rStyle w:val="InternetLink"/>
                                        <w:color w:val="1F2668"/>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67" w:type="dxa"/>
                                  </w:tcMar>
                                  <w:vAlign w:val="center"/>
                                </w:tcPr>
                                <w:p>
                                  <w:pPr>
                                    <w:pStyle w:val="TableContents"/>
                                    <w:bidi w:val="0"/>
                                    <w:spacing w:before="0" w:after="283"/>
                                    <w:jc w:val="left"/>
                                    <w:rPr/>
                                  </w:pPr>
                                  <w:hyperlink w:anchor="tSOI">
                                    <w:r>
                                      <w:rPr>
                                        <w:rStyle w:val="InternetLink"/>
                                        <w:color w:val="83AD40"/>
                                      </w:rPr>
                                      <w:t>STOCK OWNERSHIP INFORMATION</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color w:val="83AD40"/>
                                    </w:rPr>
                                  </w:pPr>
                                  <w:r>
                                    <w:rPr>
                                      <w:color w:val="83AD40"/>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SOI">
                                    <w:r>
                                      <w:rPr>
                                        <w:rStyle w:val="InternetLink"/>
                                        <w:color w:val="000080"/>
                                      </w:rPr>
                                      <w:t>85</w:t>
                                    </w:r>
                                  </w:hyperlink>
                                  <w:r>
                                    <w:rPr>
                                      <w:color w:val="83AD40"/>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SOOC">
                                    <w:r>
                                      <w:rPr>
                                        <w:rStyle w:val="InternetLink"/>
                                        <w:color w:val="1F2668"/>
                                      </w:rPr>
                                      <w:t>Security Ownership of Certain Beneficial Owners and Management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SOOC">
                                    <w:r>
                                      <w:rPr>
                                        <w:rStyle w:val="InternetLink"/>
                                        <w:color w:val="1F2668"/>
                                      </w:rPr>
                                      <w:t>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DS1R">
                                    <w:r>
                                      <w:rPr>
                                        <w:rStyle w:val="InternetLink"/>
                                        <w:color w:val="1F2668"/>
                                      </w:rPr>
                                      <w:t>Delinquent Section 16(a) Reports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S1R">
                                    <w:r>
                                      <w:rPr>
                                        <w:rStyle w:val="InternetLink"/>
                                        <w:color w:val="1F2668"/>
                                      </w:rPr>
                                      <w:t>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67" w:type="dxa"/>
                                  </w:tcMar>
                                  <w:vAlign w:val="center"/>
                                </w:tcPr>
                                <w:p>
                                  <w:pPr>
                                    <w:pStyle w:val="TableContents"/>
                                    <w:bidi w:val="0"/>
                                    <w:spacing w:before="0" w:after="283"/>
                                    <w:jc w:val="left"/>
                                    <w:rPr/>
                                  </w:pPr>
                                  <w:hyperlink w:anchor="tCRAR">
                                    <w:r>
                                      <w:rPr>
                                        <w:rStyle w:val="InternetLink"/>
                                        <w:color w:val="83AD40"/>
                                        <w:sz w:val="24"/>
                                      </w:rPr>
                                      <w:t>CERTAIN RELATIONSHIPS AND RELATED PARTY TRANSACTIONS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CRAR">
                                    <w:r>
                                      <w:rPr>
                                        <w:rStyle w:val="InternetLink"/>
                                        <w:color w:val="83AD40"/>
                                        <w:sz w:val="24"/>
                                      </w:rPr>
                                      <w:t>88</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OTIN">
                                    <w:r>
                                      <w:rPr>
                                        <w:rStyle w:val="InternetLink"/>
                                        <w:color w:val="83AD40"/>
                                      </w:rPr>
                                      <w:t>OTHER INFORMATION</w:t>
                                    </w:r>
                                  </w:hyperlink>
                                  <w:hyperlink w:anchor="tOTIN">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OTIN">
                                    <w:r>
                                      <w:rPr>
                                        <w:rStyle w:val="InternetLink"/>
                                        <w:color w:val="83AD40"/>
                                      </w:rPr>
                                      <w:t>90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QAAA">
                                    <w:r>
                                      <w:rPr>
                                        <w:rStyle w:val="InternetLink"/>
                                        <w:color w:val="1F2668"/>
                                      </w:rPr>
                                      <w:t>Questions and Answers about the Annual Meeting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QAAA">
                                    <w:r>
                                      <w:rPr>
                                        <w:rStyle w:val="InternetLink"/>
                                        <w:color w:val="1F2668"/>
                                      </w:rPr>
                                      <w:t>90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OTMA">
                                    <w:r>
                                      <w:rPr>
                                        <w:rStyle w:val="InternetLink"/>
                                        <w:color w:val="1F2668"/>
                                      </w:rPr>
                                      <w:t>Other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OTMA">
                                    <w:r>
                                      <w:rPr>
                                        <w:rStyle w:val="InternetLink"/>
                                        <w:color w:val="1F2668"/>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AAF">
                                    <w:r>
                                      <w:rPr>
                                        <w:rStyle w:val="InternetLink"/>
                                        <w:color w:val="83AD40"/>
                                      </w:rPr>
                                      <w:t>APPENDIX</w:t>
                                    </w:r>
                                  </w:hyperlink>
                                  <w:hyperlink w:anchor="tAA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AF">
                                    <w:r>
                                      <w:rPr>
                                        <w:rStyle w:val="InternetLink"/>
                                        <w:color w:val="83AD40"/>
                                      </w:rPr>
                                      <w:t>A-1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409.55pt;mso-wrap-distance-left:24pt;mso-wrap-distance-right:0pt;mso-wrap-distance-top:0pt;mso-wrap-distance-bottom:0pt;margin-top:0pt;mso-position-vertical:top;mso-position-vertical-relative:text;margin-left:24pt;mso-position-horizontal:left;mso-position-horizontal-relative:text">
                <v:textbox>
                  <w:txbxContent>
                    <w:tbl>
                      <w:tblPr>
                        <w:tblW w:w="9132" w:type="dxa"/>
                        <w:jc w:val="left"/>
                        <w:tblInd w:w="0" w:type="dxa"/>
                        <w:tblLayout w:type="fixed"/>
                        <w:tblCellMar>
                          <w:top w:w="0" w:type="dxa"/>
                          <w:left w:w="0" w:type="dxa"/>
                          <w:bottom w:w="28" w:type="dxa"/>
                          <w:right w:w="0" w:type="dxa"/>
                        </w:tblCellMar>
                      </w:tblPr>
                      <w:tblGrid>
                        <w:gridCol w:w="124"/>
                        <w:gridCol w:w="6598"/>
                        <w:gridCol w:w="168"/>
                        <w:gridCol w:w="168"/>
                        <w:gridCol w:w="834"/>
                        <w:gridCol w:w="109"/>
                        <w:gridCol w:w="109"/>
                        <w:gridCol w:w="109"/>
                        <w:gridCol w:w="109"/>
                        <w:gridCol w:w="541"/>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ACM">
                              <w:r>
                                <w:rPr>
                                  <w:rStyle w:val="InternetLink"/>
                                  <w:color w:val="83AD40"/>
                                </w:rPr>
                                <w:t>AUDIT COMMITTEE MATTERS</w:t>
                              </w:r>
                            </w:hyperlink>
                            <w:hyperlink w:anchor="tAC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CM">
                              <w:r>
                                <w:rPr>
                                  <w:rStyle w:val="InternetLink"/>
                                  <w:color w:val="83AD40"/>
                                </w:rPr>
                                <w:t>81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ACR">
                              <w:r>
                                <w:rPr>
                                  <w:rStyle w:val="InternetLink"/>
                                  <w:color w:val="1F2668"/>
                                </w:rPr>
                                <w:t>Audit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ACR">
                              <w:r>
                                <w:rPr>
                                  <w:rStyle w:val="InternetLink"/>
                                  <w:color w:val="1F2668"/>
                                </w:rPr>
                                <w:t>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6598" w:type="dxa"/>
                            <w:tcBorders/>
                            <w:shd w:fill="E9F9D8" w:val="clear"/>
                            <w:tcMar>
                              <w:bottom w:w="0" w:type="dxa"/>
                            </w:tcMar>
                            <w:vAlign w:val="center"/>
                          </w:tcPr>
                          <w:p>
                            <w:pPr>
                              <w:pStyle w:val="TableContents"/>
                              <w:bidi w:val="0"/>
                              <w:spacing w:lineRule="atLeast" w:line="220" w:before="0" w:after="0"/>
                              <w:jc w:val="left"/>
                              <w:rPr/>
                            </w:pPr>
                            <w:hyperlink w:anchor="tPR3">
                              <w:r>
                                <w:rPr>
                                  <w:rStyle w:val="InternetLink"/>
                                  <w:color w:val="1F2668"/>
                                </w:rPr>
                                <w:t xml:space="preserve">Proposal 3: Ratification of Appointment of </w:t>
                                <w:br/>
                                <w:t xml:space="preserve">Independent Registered Public Accounting </w:t>
                                <w:br/>
                                <w:t>Firm</w:t>
                              </w:r>
                            </w:hyperlink>
                            <w:r>
                              <w:rPr/>
                              <w:t xml:space="preserve"> </w:t>
                            </w:r>
                          </w:p>
                        </w:tc>
                        <w:tc>
                          <w:tcPr>
                            <w:tcW w:w="168" w:type="dxa"/>
                            <w:tcBorders/>
                            <w:shd w:fill="E9F9D8" w:val="clear"/>
                            <w:tcMar>
                              <w:bottom w:w="0" w:type="dxa"/>
                            </w:tcMar>
                            <w:vAlign w:val="center"/>
                          </w:tcPr>
                          <w:p>
                            <w:pPr>
                              <w:pStyle w:val="TableContents"/>
                              <w:bidi w:val="0"/>
                              <w:spacing w:before="0" w:after="283"/>
                              <w:jc w:val="left"/>
                              <w:rPr/>
                            </w:pPr>
                            <w:r>
                              <w:rPr/>
                              <w:t>​</w:t>
                            </w:r>
                          </w:p>
                        </w:tc>
                        <w:tc>
                          <w:tcPr>
                            <w:tcW w:w="168" w:type="dxa"/>
                            <w:tcBorders/>
                            <w:shd w:fill="E9F9D8" w:val="clear"/>
                            <w:tcMar>
                              <w:bottom w:w="0" w:type="dxa"/>
                            </w:tcMar>
                            <w:vAlign w:val="center"/>
                          </w:tcPr>
                          <w:p>
                            <w:pPr>
                              <w:pStyle w:val="TableContents"/>
                              <w:bidi w:val="0"/>
                              <w:spacing w:before="0" w:after="283"/>
                              <w:jc w:val="left"/>
                              <w:rPr/>
                            </w:pPr>
                            <w:r>
                              <w:rPr/>
                              <w:t>​</w:t>
                            </w:r>
                          </w:p>
                        </w:tc>
                        <w:tc>
                          <w:tcPr>
                            <w:tcW w:w="834"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4" name="Image63" descr="">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3" descr="">
                                            <a:hlinkClick r:id="rId74"/>
                                          </pic:cNvPr>
                                          <pic:cNvPicPr>
                                            <a:picLocks noChangeAspect="1" noChangeArrowheads="1"/>
                                          </pic:cNvPicPr>
                                        </pic:nvPicPr>
                                        <pic:blipFill>
                                          <a:blip r:embed="rId73"/>
                                          <a:stretch>
                                            <a:fillRect/>
                                          </a:stretch>
                                        </pic:blipFill>
                                        <pic:spPr bwMode="auto">
                                          <a:xfrm>
                                            <a:off x="0" y="0"/>
                                            <a:ext cx="247650" cy="247650"/>
                                          </a:xfrm>
                                          <a:prstGeom prst="rect">
                                            <a:avLst/>
                                          </a:prstGeom>
                                          <a:ln w="9525">
                                            <a:solidFill>
                                              <a:srgbClr val="000080"/>
                                            </a:solidFill>
                                          </a:ln>
                                        </pic:spPr>
                                      </pic:pic>
                                    </a:graphicData>
                                  </a:graphic>
                                </wp:inline>
                              </w:drawing>
                            </w:r>
                            <w:hyperlink w:anchor="tPR3">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541" w:type="dxa"/>
                            <w:tcBorders/>
                            <w:shd w:fill="E9F9D8" w:val="clear"/>
                            <w:tcMar>
                              <w:bottom w:w="0" w:type="dxa"/>
                            </w:tcMar>
                            <w:vAlign w:val="center"/>
                          </w:tcPr>
                          <w:p>
                            <w:pPr>
                              <w:pStyle w:val="TableContents"/>
                              <w:bidi w:val="0"/>
                              <w:spacing w:before="0" w:after="283"/>
                              <w:jc w:val="right"/>
                              <w:rPr/>
                            </w:pPr>
                            <w:hyperlink w:anchor="tPR3">
                              <w:r>
                                <w:rPr>
                                  <w:rStyle w:val="InternetLink"/>
                                  <w:color w:val="1F2668"/>
                                </w:rPr>
                                <w:t>83</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PPAP">
                              <w:r>
                                <w:rPr>
                                  <w:rStyle w:val="InternetLink"/>
                                  <w:color w:val="1F2668"/>
                                </w:rPr>
                                <w:t>Pre-Approval Policies and Procedures of our Audit Committee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PPAP">
                              <w:r>
                                <w:rPr>
                                  <w:rStyle w:val="InternetLink"/>
                                  <w:color w:val="1F2668"/>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FEDI">
                              <w:r>
                                <w:rPr>
                                  <w:rStyle w:val="InternetLink"/>
                                  <w:color w:val="1F2668"/>
                                </w:rPr>
                                <w:t>Fee Disclosure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FEDI">
                              <w:r>
                                <w:rPr>
                                  <w:rStyle w:val="InternetLink"/>
                                  <w:color w:val="1F2668"/>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67" w:type="dxa"/>
                            </w:tcMar>
                            <w:vAlign w:val="center"/>
                          </w:tcPr>
                          <w:p>
                            <w:pPr>
                              <w:pStyle w:val="TableContents"/>
                              <w:bidi w:val="0"/>
                              <w:spacing w:before="0" w:after="283"/>
                              <w:jc w:val="left"/>
                              <w:rPr/>
                            </w:pPr>
                            <w:hyperlink w:anchor="tSOI">
                              <w:r>
                                <w:rPr>
                                  <w:rStyle w:val="InternetLink"/>
                                  <w:color w:val="83AD40"/>
                                </w:rPr>
                                <w:t>STOCK OWNERSHIP INFORMATION</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color w:val="83AD40"/>
                              </w:rPr>
                            </w:pPr>
                            <w:r>
                              <w:rPr>
                                <w:color w:val="83AD40"/>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SOI">
                              <w:r>
                                <w:rPr>
                                  <w:rStyle w:val="InternetLink"/>
                                  <w:color w:val="000080"/>
                                </w:rPr>
                                <w:t>85</w:t>
                              </w:r>
                            </w:hyperlink>
                            <w:r>
                              <w:rPr>
                                <w:color w:val="83AD40"/>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SOOC">
                              <w:r>
                                <w:rPr>
                                  <w:rStyle w:val="InternetLink"/>
                                  <w:color w:val="1F2668"/>
                                </w:rPr>
                                <w:t>Security Ownership of Certain Beneficial Owners and Management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SOOC">
                              <w:r>
                                <w:rPr>
                                  <w:rStyle w:val="InternetLink"/>
                                  <w:color w:val="1F2668"/>
                                </w:rPr>
                                <w:t>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DS1R">
                              <w:r>
                                <w:rPr>
                                  <w:rStyle w:val="InternetLink"/>
                                  <w:color w:val="1F2668"/>
                                </w:rPr>
                                <w:t>Delinquent Section 16(a) Reports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DS1R">
                              <w:r>
                                <w:rPr>
                                  <w:rStyle w:val="InternetLink"/>
                                  <w:color w:val="1F2668"/>
                                </w:rPr>
                                <w:t>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67" w:type="dxa"/>
                            </w:tcMar>
                            <w:vAlign w:val="center"/>
                          </w:tcPr>
                          <w:p>
                            <w:pPr>
                              <w:pStyle w:val="TableContents"/>
                              <w:bidi w:val="0"/>
                              <w:spacing w:before="0" w:after="283"/>
                              <w:jc w:val="left"/>
                              <w:rPr/>
                            </w:pPr>
                            <w:hyperlink w:anchor="tCRAR">
                              <w:r>
                                <w:rPr>
                                  <w:rStyle w:val="InternetLink"/>
                                  <w:color w:val="83AD40"/>
                                  <w:sz w:val="24"/>
                                </w:rPr>
                                <w:t>CERTAIN RELATIONSHIPS AND RELATED PARTY TRANSACTIONS</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541" w:type="dxa"/>
                            <w:tcBorders>
                              <w:bottom w:val="single" w:sz="2" w:space="0" w:color="83AD40"/>
                            </w:tcBorders>
                            <w:tcMar>
                              <w:bottom w:w="67" w:type="dxa"/>
                            </w:tcMar>
                            <w:vAlign w:val="center"/>
                          </w:tcPr>
                          <w:p>
                            <w:pPr>
                              <w:pStyle w:val="TableContents"/>
                              <w:bidi w:val="0"/>
                              <w:spacing w:before="0" w:after="0"/>
                              <w:jc w:val="right"/>
                              <w:rPr/>
                            </w:pPr>
                            <w:hyperlink w:anchor="tCRAR">
                              <w:r>
                                <w:rPr>
                                  <w:rStyle w:val="InternetLink"/>
                                  <w:color w:val="83AD40"/>
                                  <w:sz w:val="24"/>
                                </w:rPr>
                                <w:t>88</w:t>
                              </w:r>
                            </w:hyperlink>
                            <w:r>
                              <w:rPr>
                                <w:sz w:val="24"/>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OTIN">
                              <w:r>
                                <w:rPr>
                                  <w:rStyle w:val="InternetLink"/>
                                  <w:color w:val="83AD40"/>
                                </w:rPr>
                                <w:t>OTHER INFORMATION</w:t>
                              </w:r>
                            </w:hyperlink>
                            <w:hyperlink w:anchor="tOTIN">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OTIN">
                              <w:r>
                                <w:rPr>
                                  <w:rStyle w:val="InternetLink"/>
                                  <w:color w:val="83AD40"/>
                                </w:rPr>
                                <w:t>90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QAAA">
                              <w:r>
                                <w:rPr>
                                  <w:rStyle w:val="InternetLink"/>
                                  <w:color w:val="1F2668"/>
                                </w:rPr>
                                <w:t>Questions and Answers about the Annual Meeting</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QAAA">
                              <w:r>
                                <w:rPr>
                                  <w:rStyle w:val="InternetLink"/>
                                  <w:color w:val="1F2668"/>
                                </w:rPr>
                                <w:t>90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768" w:type="dxa"/>
                            <w:gridSpan w:val="4"/>
                            <w:tcBorders/>
                            <w:tcMar>
                              <w:bottom w:w="0" w:type="dxa"/>
                            </w:tcMar>
                            <w:vAlign w:val="center"/>
                          </w:tcPr>
                          <w:p>
                            <w:pPr>
                              <w:pStyle w:val="TableContents"/>
                              <w:bidi w:val="0"/>
                              <w:spacing w:before="0" w:after="283"/>
                              <w:jc w:val="left"/>
                              <w:rPr/>
                            </w:pPr>
                            <w:hyperlink w:anchor="tOTMA">
                              <w:r>
                                <w:rPr>
                                  <w:rStyle w:val="InternetLink"/>
                                  <w:color w:val="1F2668"/>
                                </w:rPr>
                                <w:t>Other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hyperlink w:anchor="tOTMA">
                              <w:r>
                                <w:rPr>
                                  <w:rStyle w:val="InternetLink"/>
                                  <w:color w:val="1F2668"/>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7768" w:type="dxa"/>
                            <w:gridSpan w:val="4"/>
                            <w:tcBorders>
                              <w:bottom w:val="single" w:sz="2" w:space="0" w:color="83AD40"/>
                            </w:tcBorders>
                            <w:tcMar>
                              <w:bottom w:w="80" w:type="dxa"/>
                            </w:tcMar>
                            <w:vAlign w:val="center"/>
                          </w:tcPr>
                          <w:p>
                            <w:pPr>
                              <w:pStyle w:val="TableContents"/>
                              <w:bidi w:val="0"/>
                              <w:spacing w:before="0" w:after="283"/>
                              <w:jc w:val="left"/>
                              <w:rPr/>
                            </w:pPr>
                            <w:hyperlink w:anchor="tAAF">
                              <w:r>
                                <w:rPr>
                                  <w:rStyle w:val="InternetLink"/>
                                  <w:color w:val="83AD40"/>
                                </w:rPr>
                                <w:t>APPENDIX</w:t>
                              </w:r>
                            </w:hyperlink>
                            <w:hyperlink w:anchor="tAA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541" w:type="dxa"/>
                            <w:tcBorders>
                              <w:bottom w:val="single" w:sz="2" w:space="0" w:color="83AD40"/>
                            </w:tcBorders>
                            <w:tcMar>
                              <w:bottom w:w="80" w:type="dxa"/>
                            </w:tcMar>
                            <w:vAlign w:val="center"/>
                          </w:tcPr>
                          <w:p>
                            <w:pPr>
                              <w:pStyle w:val="TableContents"/>
                              <w:bidi w:val="0"/>
                              <w:spacing w:before="0" w:after="283"/>
                              <w:jc w:val="right"/>
                              <w:rPr/>
                            </w:pPr>
                            <w:hyperlink w:anchor="tAAF">
                              <w:r>
                                <w:rPr>
                                  <w:rStyle w:val="InternetLink"/>
                                  <w:color w:val="83AD40"/>
                                </w:rPr>
                                <w:t>A-1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47">
                <wp:simplePos x="0" y="0"/>
                <wp:positionH relativeFrom="column">
                  <wp:align>left</wp:align>
                </wp:positionH>
                <wp:positionV relativeFrom="line">
                  <wp:posOffset>635</wp:posOffset>
                </wp:positionV>
                <wp:extent cx="3048000" cy="6313805"/>
                <wp:effectExtent l="0" t="0" r="0" b="0"/>
                <wp:wrapSquare wrapText="right"/>
                <wp:docPr id="175" name="Frame103"/>
                <a:graphic xmlns:a="http://schemas.openxmlformats.org/drawingml/2006/main">
                  <a:graphicData uri="http://schemas.microsoft.com/office/word/2010/wordprocessingShape">
                    <wps:wsp>
                      <wps:cNvSpPr txBox="1"/>
                      <wps:spPr>
                        <a:xfrm>
                          <a:off x="0" y="0"/>
                          <a:ext cx="3048000" cy="6313805"/>
                        </a:xfrm>
                        <a:prstGeom prst="rect"/>
                        <a:solidFill>
                          <a:srgbClr val="FFFFFF"/>
                        </a:solidFill>
                      </wps:spPr>
                      <wps:txbx>
                        <w:txbxContent>
                          <w:tbl>
                            <w:tblPr>
                              <w:tblW w:w="9964" w:type="dxa"/>
                              <w:jc w:val="left"/>
                              <w:tblInd w:w="0" w:type="dxa"/>
                              <w:tblLayout w:type="fixed"/>
                              <w:tblCellMar>
                                <w:top w:w="0" w:type="dxa"/>
                                <w:left w:w="0" w:type="dxa"/>
                                <w:bottom w:w="28" w:type="dxa"/>
                                <w:right w:w="0" w:type="dxa"/>
                              </w:tblCellMar>
                            </w:tblPr>
                            <w:tblGrid>
                              <w:gridCol w:w="124"/>
                              <w:gridCol w:w="7981"/>
                              <w:gridCol w:w="109"/>
                              <w:gridCol w:w="109"/>
                              <w:gridCol w:w="536"/>
                              <w:gridCol w:w="109"/>
                              <w:gridCol w:w="109"/>
                              <w:gridCol w:w="109"/>
                              <w:gridCol w:w="109"/>
                              <w:gridCol w:w="406"/>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r>
                                    <w:rPr/>
                                    <w:t>LETTER TO STOCKHOLDERS</w:t>
                                  </w:r>
                                  <w:r>
                                    <w:rPr>
                                      <w:color w:val="1F2668"/>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right"/>
                                    <w:rPr/>
                                  </w:pPr>
                                  <w:r>
                                    <w:rPr/>
                                    <w:t>​</w:t>
                                  </w:r>
                                </w:p>
                              </w:tc>
                              <w:tc>
                                <w:tcPr>
                                  <w:tcW w:w="406" w:type="dxa"/>
                                  <w:tcBorders>
                                    <w:bottom w:val="single" w:sz="2" w:space="0" w:color="83AD40"/>
                                  </w:tcBorders>
                                  <w:vAlign w:val="center"/>
                                </w:tcPr>
                                <w:p>
                                  <w:pPr>
                                    <w:pStyle w:val="TableContents"/>
                                    <w:bidi w:val="0"/>
                                    <w:spacing w:before="0" w:after="283"/>
                                    <w:jc w:val="righ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2PSH">
                                    <w:r>
                                      <w:rPr>
                                        <w:rStyle w:val="InternetLink"/>
                                        <w:color w:val="83AD40"/>
                                      </w:rPr>
                                      <w:t xml:space="preserve">2024 PROXY STATEMENT </w:t>
                                      <w:br/>
                                      <w:t>HIGHLIGHTS</w:t>
                                    </w:r>
                                  </w:hyperlink>
                                  <w:hyperlink w:anchor="t2PSH">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6" w:type="dxa"/>
                                  <w:tcBorders>
                                    <w:bottom w:val="single" w:sz="2" w:space="0" w:color="83AD40"/>
                                  </w:tcBorders>
                                  <w:tcMar>
                                    <w:bottom w:w="67" w:type="dxa"/>
                                  </w:tcMar>
                                  <w:vAlign w:val="center"/>
                                </w:tcPr>
                                <w:p>
                                  <w:pPr>
                                    <w:pStyle w:val="TableContents"/>
                                    <w:bidi w:val="0"/>
                                    <w:spacing w:before="0" w:after="283"/>
                                    <w:jc w:val="right"/>
                                    <w:rPr/>
                                  </w:pPr>
                                  <w:hyperlink w:anchor="t2PSH">
                                    <w:r>
                                      <w:rPr>
                                        <w:rStyle w:val="InternetLink"/>
                                        <w:color w:val="83AD40"/>
                                      </w:rPr>
                                      <w:t>3</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NOAM">
                                    <w:r>
                                      <w:rPr>
                                        <w:rStyle w:val="InternetLink"/>
                                        <w:color w:val="83AD40"/>
                                      </w:rPr>
                                      <w:t>NOTICE OF ANNUAL MEETING OF STOCKHOLDERS</w:t>
                                    </w:r>
                                  </w:hyperlink>
                                  <w:hyperlink w:anchor="tNOA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6" w:type="dxa"/>
                                  <w:tcBorders>
                                    <w:bottom w:val="single" w:sz="2" w:space="0" w:color="83AD40"/>
                                  </w:tcBorders>
                                  <w:tcMar>
                                    <w:bottom w:w="67" w:type="dxa"/>
                                  </w:tcMar>
                                  <w:vAlign w:val="center"/>
                                </w:tcPr>
                                <w:p>
                                  <w:pPr>
                                    <w:pStyle w:val="TableContents"/>
                                    <w:bidi w:val="0"/>
                                    <w:spacing w:before="0" w:after="283"/>
                                    <w:jc w:val="right"/>
                                    <w:rPr/>
                                  </w:pPr>
                                  <w:hyperlink w:anchor="tNOAM">
                                    <w:r>
                                      <w:rPr>
                                        <w:rStyle w:val="InternetLink"/>
                                        <w:color w:val="83AD40"/>
                                      </w:rPr>
                                      <w:t>9</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OBOD">
                                    <w:r>
                                      <w:rPr>
                                        <w:rStyle w:val="InternetLink"/>
                                        <w:color w:val="83AD40"/>
                                        <w:spacing w:val="-5"/>
                                        <w:sz w:val="24"/>
                                      </w:rPr>
                                      <w:t>OUR BOARD OF DIRECTORS AND CORPORATE GOVERNANCE</w:t>
                                    </w:r>
                                  </w:hyperlink>
                                  <w:hyperlink w:anchor="tOBOD">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406" w:type="dxa"/>
                                  <w:tcBorders>
                                    <w:bottom w:val="single" w:sz="2" w:space="0" w:color="83AD40"/>
                                  </w:tcBorders>
                                  <w:tcMar>
                                    <w:bottom w:w="67" w:type="dxa"/>
                                  </w:tcMar>
                                  <w:vAlign w:val="center"/>
                                </w:tcPr>
                                <w:p>
                                  <w:pPr>
                                    <w:pStyle w:val="TableContents"/>
                                    <w:bidi w:val="0"/>
                                    <w:spacing w:before="0" w:after="0"/>
                                    <w:jc w:val="right"/>
                                    <w:rPr/>
                                  </w:pPr>
                                  <w:hyperlink w:anchor="tOBOD">
                                    <w:r>
                                      <w:rPr>
                                        <w:rStyle w:val="InternetLink"/>
                                        <w:color w:val="83AD40"/>
                                        <w:sz w:val="24"/>
                                      </w:rPr>
                                      <w:t xml:space="preserve">11 </w:t>
                                    </w:r>
                                  </w:hyperlink>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981" w:type="dxa"/>
                                  <w:tcBorders/>
                                  <w:shd w:fill="E9F9D8" w:val="clear"/>
                                  <w:tcMar>
                                    <w:bottom w:w="0" w:type="dxa"/>
                                  </w:tcMar>
                                  <w:vAlign w:val="center"/>
                                </w:tcPr>
                                <w:p>
                                  <w:pPr>
                                    <w:pStyle w:val="TableContents"/>
                                    <w:bidi w:val="0"/>
                                    <w:spacing w:lineRule="atLeast" w:line="220" w:before="0" w:after="0"/>
                                    <w:jc w:val="left"/>
                                    <w:rPr/>
                                  </w:pPr>
                                  <w:hyperlink w:anchor="tPR1">
                                    <w:r>
                                      <w:rPr>
                                        <w:rStyle w:val="InternetLink"/>
                                        <w:color w:val="1F2668"/>
                                      </w:rPr>
                                      <w:t>Proposal 1: Election of Directors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6" name="Image61" descr="">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1" descr="">
                                                  <a:hlinkClick r:id="rId76"/>
                                                </pic:cNvPr>
                                                <pic:cNvPicPr>
                                                  <a:picLocks noChangeAspect="1" noChangeArrowheads="1"/>
                                                </pic:cNvPicPr>
                                              </pic:nvPicPr>
                                              <pic:blipFill>
                                                <a:blip r:embed="rId75"/>
                                                <a:stretch>
                                                  <a:fillRect/>
                                                </a:stretch>
                                              </pic:blipFill>
                                              <pic:spPr bwMode="auto">
                                                <a:xfrm>
                                                  <a:off x="0" y="0"/>
                                                  <a:ext cx="247650" cy="247650"/>
                                                </a:xfrm>
                                                <a:prstGeom prst="rect">
                                                  <a:avLst/>
                                                </a:prstGeom>
                                                <a:ln w="9525">
                                                  <a:solidFill>
                                                    <a:srgbClr val="000080"/>
                                                  </a:solidFill>
                                                </a:ln>
                                              </pic:spPr>
                                            </pic:pic>
                                          </a:graphicData>
                                        </a:graphic>
                                      </wp:inline>
                                    </w:drawing>
                                  </w:r>
                                  <w:hyperlink w:anchor="tPR1">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6" w:type="dxa"/>
                                  <w:tcBorders/>
                                  <w:shd w:fill="E9F9D8" w:val="clear"/>
                                  <w:tcMar>
                                    <w:bottom w:w="0" w:type="dxa"/>
                                  </w:tcMar>
                                  <w:vAlign w:val="center"/>
                                </w:tcPr>
                                <w:p>
                                  <w:pPr>
                                    <w:pStyle w:val="TableContents"/>
                                    <w:bidi w:val="0"/>
                                    <w:spacing w:before="0" w:after="283"/>
                                    <w:jc w:val="right"/>
                                    <w:rPr/>
                                  </w:pPr>
                                  <w:hyperlink w:anchor="tPR1">
                                    <w:r>
                                      <w:rPr>
                                        <w:rStyle w:val="InternetLink"/>
                                        <w:color w:val="1F2668"/>
                                      </w:rPr>
                                      <w:t>11</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IRTD">
                                    <w:r>
                                      <w:rPr>
                                        <w:rStyle w:val="InternetLink"/>
                                        <w:color w:val="1F2668"/>
                                      </w:rPr>
                                      <w:t>Information Regarding the Director Nominees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IRTD">
                                    <w:r>
                                      <w:rPr>
                                        <w:rStyle w:val="InternetLink"/>
                                        <w:color w:val="1F2668"/>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BSAI">
                                    <w:r>
                                      <w:rPr>
                                        <w:rStyle w:val="InternetLink"/>
                                        <w:color w:val="1F2668"/>
                                      </w:rPr>
                                      <w:t>Board Structure and Independence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BSAI">
                                    <w:r>
                                      <w:rPr>
                                        <w:rStyle w:val="InternetLink"/>
                                        <w:color w:val="1F2668"/>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BOCO">
                                    <w:r>
                                      <w:rPr>
                                        <w:rStyle w:val="InternetLink"/>
                                        <w:color w:val="1F2668"/>
                                      </w:rPr>
                                      <w:t>Board Committees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BOCO">
                                    <w:r>
                                      <w:rPr>
                                        <w:rStyle w:val="InternetLink"/>
                                        <w:color w:val="1F2668"/>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OGO">
                                    <w:r>
                                      <w:rPr>
                                        <w:rStyle w:val="InternetLink"/>
                                        <w:color w:val="1F2668"/>
                                      </w:rPr>
                                      <w:t>Corporate Governance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OGO">
                                    <w:r>
                                      <w:rPr>
                                        <w:rStyle w:val="InternetLink"/>
                                        <w:color w:val="1F2668"/>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DICO">
                                    <w:r>
                                      <w:rPr>
                                        <w:rStyle w:val="InternetLink"/>
                                        <w:color w:val="1F2668"/>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DICO">
                                    <w:r>
                                      <w:rPr>
                                        <w:rStyle w:val="InternetLink"/>
                                        <w:color w:val="1F2668"/>
                                      </w:rPr>
                                      <w:t>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hyperlink w:anchor="tEXOF">
                                    <w:r>
                                      <w:rPr>
                                        <w:rStyle w:val="InternetLink"/>
                                        <w:color w:val="83AD40"/>
                                      </w:rPr>
                                      <w:t>EXECUTIVE OFFICERS</w:t>
                                    </w:r>
                                  </w:hyperlink>
                                  <w:hyperlink w:anchor="tEXO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6" w:type="dxa"/>
                                  <w:tcBorders>
                                    <w:bottom w:val="single" w:sz="2" w:space="0" w:color="83AD40"/>
                                  </w:tcBorders>
                                  <w:tcMar>
                                    <w:bottom w:w="80" w:type="dxa"/>
                                  </w:tcMar>
                                  <w:vAlign w:val="center"/>
                                </w:tcPr>
                                <w:p>
                                  <w:pPr>
                                    <w:pStyle w:val="TableContents"/>
                                    <w:bidi w:val="0"/>
                                    <w:spacing w:before="0" w:after="283"/>
                                    <w:jc w:val="right"/>
                                    <w:rPr/>
                                  </w:pPr>
                                  <w:hyperlink w:anchor="tEXOF">
                                    <w:r>
                                      <w:rPr>
                                        <w:rStyle w:val="InternetLink"/>
                                        <w:color w:val="83AD40"/>
                                      </w:rPr>
                                      <w:t>40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hyperlink w:anchor="tEXCO">
                                    <w:r>
                                      <w:rPr>
                                        <w:rStyle w:val="InternetLink"/>
                                        <w:color w:val="83AD40"/>
                                      </w:rPr>
                                      <w:t>EXECUTIVE COMPENSATION</w:t>
                                    </w:r>
                                  </w:hyperlink>
                                  <w:hyperlink w:anchor="tEXCO">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6" w:type="dxa"/>
                                  <w:tcBorders>
                                    <w:bottom w:val="single" w:sz="2" w:space="0" w:color="83AD40"/>
                                  </w:tcBorders>
                                  <w:tcMar>
                                    <w:bottom w:w="80" w:type="dxa"/>
                                  </w:tcMar>
                                  <w:vAlign w:val="center"/>
                                </w:tcPr>
                                <w:p>
                                  <w:pPr>
                                    <w:pStyle w:val="TableContents"/>
                                    <w:bidi w:val="0"/>
                                    <w:spacing w:before="0" w:after="283"/>
                                    <w:jc w:val="right"/>
                                    <w:rPr/>
                                  </w:pPr>
                                  <w:hyperlink w:anchor="tEXCO">
                                    <w:r>
                                      <w:rPr>
                                        <w:rStyle w:val="InternetLink"/>
                                        <w:color w:val="83AD40"/>
                                      </w:rPr>
                                      <w:t>41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981" w:type="dxa"/>
                                  <w:tcBorders/>
                                  <w:shd w:fill="E9F9D8" w:val="clear"/>
                                  <w:tcMar>
                                    <w:bottom w:w="0" w:type="dxa"/>
                                  </w:tcMar>
                                  <w:vAlign w:val="center"/>
                                </w:tcPr>
                                <w:p>
                                  <w:pPr>
                                    <w:pStyle w:val="TableContents"/>
                                    <w:bidi w:val="0"/>
                                    <w:spacing w:lineRule="atLeast" w:line="220" w:before="0" w:after="0"/>
                                    <w:jc w:val="left"/>
                                    <w:rPr/>
                                  </w:pPr>
                                  <w:hyperlink w:anchor="tPR2">
                                    <w:r>
                                      <w:rPr>
                                        <w:rStyle w:val="InternetLink"/>
                                        <w:color w:val="1F2668"/>
                                      </w:rPr>
                                      <w:t>Proposal 2: Advisory Vote on the Compensation of our Named Executive Officers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7" name="Image62" descr="">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a:hlinkClick r:id="rId78"/>
                                                </pic:cNvPr>
                                                <pic:cNvPicPr>
                                                  <a:picLocks noChangeAspect="1" noChangeArrowheads="1"/>
                                                </pic:cNvPicPr>
                                              </pic:nvPicPr>
                                              <pic:blipFill>
                                                <a:blip r:embed="rId77"/>
                                                <a:stretch>
                                                  <a:fillRect/>
                                                </a:stretch>
                                              </pic:blipFill>
                                              <pic:spPr bwMode="auto">
                                                <a:xfrm>
                                                  <a:off x="0" y="0"/>
                                                  <a:ext cx="247650" cy="247650"/>
                                                </a:xfrm>
                                                <a:prstGeom prst="rect">
                                                  <a:avLst/>
                                                </a:prstGeom>
                                                <a:ln w="9525">
                                                  <a:solidFill>
                                                    <a:srgbClr val="000080"/>
                                                  </a:solidFill>
                                                </a:ln>
                                              </pic:spPr>
                                            </pic:pic>
                                          </a:graphicData>
                                        </a:graphic>
                                      </wp:inline>
                                    </w:drawing>
                                  </w:r>
                                  <w:hyperlink w:anchor="tPR2">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6" w:type="dxa"/>
                                  <w:tcBorders/>
                                  <w:shd w:fill="E9F9D8" w:val="clear"/>
                                  <w:tcMar>
                                    <w:bottom w:w="0" w:type="dxa"/>
                                  </w:tcMar>
                                  <w:vAlign w:val="center"/>
                                </w:tcPr>
                                <w:p>
                                  <w:pPr>
                                    <w:pStyle w:val="TableContents"/>
                                    <w:bidi w:val="0"/>
                                    <w:spacing w:before="0" w:after="283"/>
                                    <w:jc w:val="right"/>
                                    <w:rPr/>
                                  </w:pPr>
                                  <w:hyperlink w:anchor="tPR2">
                                    <w:r>
                                      <w:rPr>
                                        <w:rStyle w:val="InternetLink"/>
                                        <w:color w:val="1F2668"/>
                                      </w:rPr>
                                      <w:t>41</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DAA">
                                    <w:r>
                                      <w:rPr>
                                        <w:rStyle w:val="InternetLink"/>
                                        <w:color w:val="1F2668"/>
                                      </w:rPr>
                                      <w:t>Compensation Discussion and Analysis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DAA">
                                    <w:r>
                                      <w:rPr>
                                        <w:rStyle w:val="InternetLink"/>
                                        <w:color w:val="1F2668"/>
                                      </w:rPr>
                                      <w:t>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CR">
                                    <w:r>
                                      <w:rPr>
                                        <w:rStyle w:val="InternetLink"/>
                                        <w:color w:val="1F2668"/>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CR">
                                    <w:r>
                                      <w:rPr>
                                        <w:rStyle w:val="InternetLink"/>
                                        <w:color w:val="1F2668"/>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ECT">
                                    <w:r>
                                      <w:rPr>
                                        <w:rStyle w:val="InternetLink"/>
                                        <w:color w:val="1F2668"/>
                                      </w:rPr>
                                      <w:t>Executive Compensation Tables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ECT">
                                    <w:r>
                                      <w:rPr>
                                        <w:rStyle w:val="InternetLink"/>
                                        <w:color w:val="1F2668"/>
                                      </w:rPr>
                                      <w:t>67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497.15pt;mso-wrap-distance-left:45pt;mso-wrap-distance-right:0pt;mso-wrap-distance-top:0pt;mso-wrap-distance-bottom:0pt;margin-top:0pt;mso-position-vertical:top;mso-position-vertical-relative:text;margin-left:45pt;mso-position-horizontal:left;mso-position-horizontal-relative:text">
                <v:textbox>
                  <w:txbxContent>
                    <w:tbl>
                      <w:tblPr>
                        <w:tblW w:w="9964" w:type="dxa"/>
                        <w:jc w:val="left"/>
                        <w:tblInd w:w="0" w:type="dxa"/>
                        <w:tblLayout w:type="fixed"/>
                        <w:tblCellMar>
                          <w:top w:w="0" w:type="dxa"/>
                          <w:left w:w="0" w:type="dxa"/>
                          <w:bottom w:w="28" w:type="dxa"/>
                          <w:right w:w="0" w:type="dxa"/>
                        </w:tblCellMar>
                      </w:tblPr>
                      <w:tblGrid>
                        <w:gridCol w:w="124"/>
                        <w:gridCol w:w="7981"/>
                        <w:gridCol w:w="109"/>
                        <w:gridCol w:w="109"/>
                        <w:gridCol w:w="536"/>
                        <w:gridCol w:w="109"/>
                        <w:gridCol w:w="109"/>
                        <w:gridCol w:w="109"/>
                        <w:gridCol w:w="109"/>
                        <w:gridCol w:w="406"/>
                        <w:gridCol w:w="109"/>
                        <w:gridCol w:w="154"/>
                      </w:tblGrid>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r>
                              <w:rPr/>
                              <w:t>LETTER TO STOCKHOLDERS</w:t>
                            </w:r>
                            <w:r>
                              <w:rPr>
                                <w:color w:val="1F2668"/>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right"/>
                              <w:rPr/>
                            </w:pPr>
                            <w:r>
                              <w:rPr/>
                              <w:t>​</w:t>
                            </w:r>
                          </w:p>
                        </w:tc>
                        <w:tc>
                          <w:tcPr>
                            <w:tcW w:w="406" w:type="dxa"/>
                            <w:tcBorders>
                              <w:bottom w:val="single" w:sz="2" w:space="0" w:color="83AD40"/>
                            </w:tcBorders>
                            <w:vAlign w:val="center"/>
                          </w:tcPr>
                          <w:p>
                            <w:pPr>
                              <w:pStyle w:val="TableContents"/>
                              <w:bidi w:val="0"/>
                              <w:spacing w:before="0" w:after="283"/>
                              <w:jc w:val="righ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2PSH">
                              <w:r>
                                <w:rPr>
                                  <w:rStyle w:val="InternetLink"/>
                                  <w:color w:val="83AD40"/>
                                </w:rPr>
                                <w:t xml:space="preserve">2024 PROXY STATEMENT </w:t>
                                <w:br/>
                                <w:t>HIGHLIGHTS</w:t>
                              </w:r>
                            </w:hyperlink>
                            <w:hyperlink w:anchor="t2PSH">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6" w:type="dxa"/>
                            <w:tcBorders>
                              <w:bottom w:val="single" w:sz="2" w:space="0" w:color="83AD40"/>
                            </w:tcBorders>
                            <w:tcMar>
                              <w:bottom w:w="67" w:type="dxa"/>
                            </w:tcMar>
                            <w:vAlign w:val="center"/>
                          </w:tcPr>
                          <w:p>
                            <w:pPr>
                              <w:pStyle w:val="TableContents"/>
                              <w:bidi w:val="0"/>
                              <w:spacing w:before="0" w:after="283"/>
                              <w:jc w:val="right"/>
                              <w:rPr/>
                            </w:pPr>
                            <w:hyperlink w:anchor="t2PSH">
                              <w:r>
                                <w:rPr>
                                  <w:rStyle w:val="InternetLink"/>
                                  <w:color w:val="83AD40"/>
                                </w:rPr>
                                <w:t>3</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NOAM">
                              <w:r>
                                <w:rPr>
                                  <w:rStyle w:val="InternetLink"/>
                                  <w:color w:val="83AD40"/>
                                </w:rPr>
                                <w:t>NOTICE OF ANNUAL MEETING OF STOCKHOLDERS</w:t>
                              </w:r>
                            </w:hyperlink>
                            <w:hyperlink w:anchor="tNOAM">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283"/>
                              <w:jc w:val="right"/>
                              <w:rPr/>
                            </w:pPr>
                            <w:r>
                              <w:rPr/>
                              <w:t>​</w:t>
                            </w:r>
                          </w:p>
                        </w:tc>
                        <w:tc>
                          <w:tcPr>
                            <w:tcW w:w="406" w:type="dxa"/>
                            <w:tcBorders>
                              <w:bottom w:val="single" w:sz="2" w:space="0" w:color="83AD40"/>
                            </w:tcBorders>
                            <w:tcMar>
                              <w:bottom w:w="67" w:type="dxa"/>
                            </w:tcMar>
                            <w:vAlign w:val="center"/>
                          </w:tcPr>
                          <w:p>
                            <w:pPr>
                              <w:pStyle w:val="TableContents"/>
                              <w:bidi w:val="0"/>
                              <w:spacing w:before="0" w:after="283"/>
                              <w:jc w:val="right"/>
                              <w:rPr/>
                            </w:pPr>
                            <w:hyperlink w:anchor="tNOAM">
                              <w:r>
                                <w:rPr>
                                  <w:rStyle w:val="InternetLink"/>
                                  <w:color w:val="83AD40"/>
                                </w:rPr>
                                <w:t>9</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67" w:type="dxa"/>
                            </w:tcMar>
                            <w:vAlign w:val="center"/>
                          </w:tcPr>
                          <w:p>
                            <w:pPr>
                              <w:pStyle w:val="TableContents"/>
                              <w:bidi w:val="0"/>
                              <w:spacing w:before="0" w:after="283"/>
                              <w:jc w:val="left"/>
                              <w:rPr/>
                            </w:pPr>
                            <w:hyperlink w:anchor="tOBOD">
                              <w:r>
                                <w:rPr>
                                  <w:rStyle w:val="InternetLink"/>
                                  <w:color w:val="83AD40"/>
                                  <w:spacing w:val="-5"/>
                                  <w:sz w:val="24"/>
                                </w:rPr>
                                <w:t>OUR BOARD OF DIRECTORS AND CORPORATE GOVERNANCE</w:t>
                              </w:r>
                            </w:hyperlink>
                            <w:hyperlink w:anchor="tOBOD">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67" w:type="dxa"/>
                            </w:tcMar>
                            <w:vAlign w:val="center"/>
                          </w:tcPr>
                          <w:p>
                            <w:pPr>
                              <w:pStyle w:val="TableContents"/>
                              <w:bidi w:val="0"/>
                              <w:spacing w:before="0" w:after="0"/>
                              <w:jc w:val="right"/>
                              <w:rPr/>
                            </w:pPr>
                            <w:r>
                              <w:rPr/>
                              <w:t>​</w:t>
                            </w:r>
                          </w:p>
                        </w:tc>
                        <w:tc>
                          <w:tcPr>
                            <w:tcW w:w="406" w:type="dxa"/>
                            <w:tcBorders>
                              <w:bottom w:val="single" w:sz="2" w:space="0" w:color="83AD40"/>
                            </w:tcBorders>
                            <w:tcMar>
                              <w:bottom w:w="67" w:type="dxa"/>
                            </w:tcMar>
                            <w:vAlign w:val="center"/>
                          </w:tcPr>
                          <w:p>
                            <w:pPr>
                              <w:pStyle w:val="TableContents"/>
                              <w:bidi w:val="0"/>
                              <w:spacing w:before="0" w:after="0"/>
                              <w:jc w:val="right"/>
                              <w:rPr/>
                            </w:pPr>
                            <w:hyperlink w:anchor="tOBOD">
                              <w:r>
                                <w:rPr>
                                  <w:rStyle w:val="InternetLink"/>
                                  <w:color w:val="83AD40"/>
                                  <w:sz w:val="24"/>
                                </w:rPr>
                                <w:t xml:space="preserve">11 </w:t>
                              </w:r>
                            </w:hyperlink>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981" w:type="dxa"/>
                            <w:tcBorders/>
                            <w:shd w:fill="E9F9D8" w:val="clear"/>
                            <w:tcMar>
                              <w:bottom w:w="0" w:type="dxa"/>
                            </w:tcMar>
                            <w:vAlign w:val="center"/>
                          </w:tcPr>
                          <w:p>
                            <w:pPr>
                              <w:pStyle w:val="TableContents"/>
                              <w:bidi w:val="0"/>
                              <w:spacing w:lineRule="atLeast" w:line="220" w:before="0" w:after="0"/>
                              <w:jc w:val="left"/>
                              <w:rPr/>
                            </w:pPr>
                            <w:hyperlink w:anchor="tPR1">
                              <w:r>
                                <w:rPr>
                                  <w:rStyle w:val="InternetLink"/>
                                  <w:color w:val="1F2668"/>
                                </w:rPr>
                                <w:t>Proposal 1: Election of Directors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8" name="Image61" descr="">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1" descr="">
                                            <a:hlinkClick r:id="rId80"/>
                                          </pic:cNvPr>
                                          <pic:cNvPicPr>
                                            <a:picLocks noChangeAspect="1" noChangeArrowheads="1"/>
                                          </pic:cNvPicPr>
                                        </pic:nvPicPr>
                                        <pic:blipFill>
                                          <a:blip r:embed="rId79"/>
                                          <a:stretch>
                                            <a:fillRect/>
                                          </a:stretch>
                                        </pic:blipFill>
                                        <pic:spPr bwMode="auto">
                                          <a:xfrm>
                                            <a:off x="0" y="0"/>
                                            <a:ext cx="247650" cy="247650"/>
                                          </a:xfrm>
                                          <a:prstGeom prst="rect">
                                            <a:avLst/>
                                          </a:prstGeom>
                                          <a:ln w="9525">
                                            <a:solidFill>
                                              <a:srgbClr val="000080"/>
                                            </a:solidFill>
                                          </a:ln>
                                        </pic:spPr>
                                      </pic:pic>
                                    </a:graphicData>
                                  </a:graphic>
                                </wp:inline>
                              </w:drawing>
                            </w:r>
                            <w:hyperlink w:anchor="tPR1">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6" w:type="dxa"/>
                            <w:tcBorders/>
                            <w:shd w:fill="E9F9D8" w:val="clear"/>
                            <w:tcMar>
                              <w:bottom w:w="0" w:type="dxa"/>
                            </w:tcMar>
                            <w:vAlign w:val="center"/>
                          </w:tcPr>
                          <w:p>
                            <w:pPr>
                              <w:pStyle w:val="TableContents"/>
                              <w:bidi w:val="0"/>
                              <w:spacing w:before="0" w:after="283"/>
                              <w:jc w:val="right"/>
                              <w:rPr/>
                            </w:pPr>
                            <w:hyperlink w:anchor="tPR1">
                              <w:r>
                                <w:rPr>
                                  <w:rStyle w:val="InternetLink"/>
                                  <w:color w:val="1F2668"/>
                                </w:rPr>
                                <w:t>11</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IRTD">
                              <w:r>
                                <w:rPr>
                                  <w:rStyle w:val="InternetLink"/>
                                  <w:color w:val="1F2668"/>
                                </w:rPr>
                                <w:t>Information Regarding the Director Nominees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IRTD">
                              <w:r>
                                <w:rPr>
                                  <w:rStyle w:val="InternetLink"/>
                                  <w:color w:val="1F2668"/>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BSAI">
                              <w:r>
                                <w:rPr>
                                  <w:rStyle w:val="InternetLink"/>
                                  <w:color w:val="1F2668"/>
                                </w:rPr>
                                <w:t>Board Structure and Independence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BSAI">
                              <w:r>
                                <w:rPr>
                                  <w:rStyle w:val="InternetLink"/>
                                  <w:color w:val="1F2668"/>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BOCO">
                              <w:r>
                                <w:rPr>
                                  <w:rStyle w:val="InternetLink"/>
                                  <w:color w:val="1F2668"/>
                                </w:rPr>
                                <w:t>Board Committees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BOCO">
                              <w:r>
                                <w:rPr>
                                  <w:rStyle w:val="InternetLink"/>
                                  <w:color w:val="1F2668"/>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OGO">
                              <w:r>
                                <w:rPr>
                                  <w:rStyle w:val="InternetLink"/>
                                  <w:color w:val="1F2668"/>
                                </w:rPr>
                                <w:t>Corporate Governance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OGO">
                              <w:r>
                                <w:rPr>
                                  <w:rStyle w:val="InternetLink"/>
                                  <w:color w:val="1F2668"/>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DICO">
                              <w:r>
                                <w:rPr>
                                  <w:rStyle w:val="InternetLink"/>
                                  <w:color w:val="1F2668"/>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DICO">
                              <w:r>
                                <w:rPr>
                                  <w:rStyle w:val="InternetLink"/>
                                  <w:color w:val="1F2668"/>
                                </w:rPr>
                                <w:t>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hyperlink w:anchor="tEXOF">
                              <w:r>
                                <w:rPr>
                                  <w:rStyle w:val="InternetLink"/>
                                  <w:color w:val="83AD40"/>
                                </w:rPr>
                                <w:t>EXECUTIVE OFFICERS</w:t>
                              </w:r>
                            </w:hyperlink>
                            <w:hyperlink w:anchor="tEXOF">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6" w:type="dxa"/>
                            <w:tcBorders>
                              <w:bottom w:val="single" w:sz="2" w:space="0" w:color="83AD40"/>
                            </w:tcBorders>
                            <w:tcMar>
                              <w:bottom w:w="80" w:type="dxa"/>
                            </w:tcMar>
                            <w:vAlign w:val="center"/>
                          </w:tcPr>
                          <w:p>
                            <w:pPr>
                              <w:pStyle w:val="TableContents"/>
                              <w:bidi w:val="0"/>
                              <w:spacing w:before="0" w:after="283"/>
                              <w:jc w:val="right"/>
                              <w:rPr/>
                            </w:pPr>
                            <w:hyperlink w:anchor="tEXOF">
                              <w:r>
                                <w:rPr>
                                  <w:rStyle w:val="InternetLink"/>
                                  <w:color w:val="83AD40"/>
                                </w:rPr>
                                <w:t>40</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8735" w:type="dxa"/>
                            <w:gridSpan w:val="4"/>
                            <w:tcBorders>
                              <w:bottom w:val="single" w:sz="2" w:space="0" w:color="83AD40"/>
                            </w:tcBorders>
                            <w:tcMar>
                              <w:bottom w:w="80" w:type="dxa"/>
                            </w:tcMar>
                            <w:vAlign w:val="center"/>
                          </w:tcPr>
                          <w:p>
                            <w:pPr>
                              <w:pStyle w:val="TableContents"/>
                              <w:bidi w:val="0"/>
                              <w:spacing w:before="0" w:after="283"/>
                              <w:jc w:val="left"/>
                              <w:rPr/>
                            </w:pPr>
                            <w:hyperlink w:anchor="tEXCO">
                              <w:r>
                                <w:rPr>
                                  <w:rStyle w:val="InternetLink"/>
                                  <w:color w:val="83AD40"/>
                                </w:rPr>
                                <w:t>EXECUTIVE COMPENSATION</w:t>
                              </w:r>
                            </w:hyperlink>
                            <w:hyperlink w:anchor="tEXCO">
                              <w:r>
                                <w:rPr>
                                  <w:rStyle w:val="InternetLink"/>
                                  <w:color w:val="1F2668"/>
                                </w:rPr>
                                <w:t>​</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tcMar>
                              <w:bottom w:w="80" w:type="dxa"/>
                            </w:tcMar>
                            <w:vAlign w:val="center"/>
                          </w:tcPr>
                          <w:p>
                            <w:pPr>
                              <w:pStyle w:val="TableContents"/>
                              <w:bidi w:val="0"/>
                              <w:spacing w:before="0" w:after="283"/>
                              <w:jc w:val="right"/>
                              <w:rPr/>
                            </w:pPr>
                            <w:r>
                              <w:rPr/>
                              <w:t>​</w:t>
                            </w:r>
                          </w:p>
                        </w:tc>
                        <w:tc>
                          <w:tcPr>
                            <w:tcW w:w="406" w:type="dxa"/>
                            <w:tcBorders>
                              <w:bottom w:val="single" w:sz="2" w:space="0" w:color="83AD40"/>
                            </w:tcBorders>
                            <w:tcMar>
                              <w:bottom w:w="80" w:type="dxa"/>
                            </w:tcMar>
                            <w:vAlign w:val="center"/>
                          </w:tcPr>
                          <w:p>
                            <w:pPr>
                              <w:pStyle w:val="TableContents"/>
                              <w:bidi w:val="0"/>
                              <w:spacing w:before="0" w:after="283"/>
                              <w:jc w:val="right"/>
                              <w:rPr/>
                            </w:pPr>
                            <w:hyperlink w:anchor="tEXCO">
                              <w:r>
                                <w:rPr>
                                  <w:rStyle w:val="InternetLink"/>
                                  <w:color w:val="83AD40"/>
                                </w:rPr>
                                <w:t>41</w:t>
                              </w:r>
                            </w:hyperlink>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54" w:type="dxa"/>
                            <w:tcBorders>
                              <w:bottom w:val="single" w:sz="2" w:space="0" w:color="83AD40"/>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7981" w:type="dxa"/>
                            <w:tcBorders/>
                            <w:shd w:fill="E9F9D8" w:val="clear"/>
                            <w:tcMar>
                              <w:bottom w:w="0" w:type="dxa"/>
                            </w:tcMar>
                            <w:vAlign w:val="center"/>
                          </w:tcPr>
                          <w:p>
                            <w:pPr>
                              <w:pStyle w:val="TableContents"/>
                              <w:bidi w:val="0"/>
                              <w:spacing w:lineRule="atLeast" w:line="220" w:before="0" w:after="0"/>
                              <w:jc w:val="left"/>
                              <w:rPr/>
                            </w:pPr>
                            <w:hyperlink w:anchor="tPR2">
                              <w:r>
                                <w:rPr>
                                  <w:rStyle w:val="InternetLink"/>
                                  <w:color w:val="1F2668"/>
                                </w:rPr>
                                <w:t>Proposal 2: Advisory Vote on the Compensation of our Named Executive Officers</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536" w:type="dxa"/>
                            <w:tcBorders/>
                            <w:shd w:fill="E9F9D8" w:val="clear"/>
                            <w:tcMar>
                              <w:bottom w:w="0" w:type="dxa"/>
                            </w:tcMar>
                            <w:vAlign w:val="center"/>
                          </w:tcPr>
                          <w:p>
                            <w:pPr>
                              <w:pStyle w:val="TableContents"/>
                              <w:bidi w:val="0"/>
                              <w:spacing w:before="0" w:after="0"/>
                              <w:jc w:val="center"/>
                              <w:rPr/>
                            </w:pPr>
                            <w:r>
                              <w:rPr/>
                              <w:drawing>
                                <wp:inline distT="0" distB="0" distL="0" distR="0">
                                  <wp:extent cx="247650" cy="247650"/>
                                  <wp:effectExtent l="0" t="0" r="0" b="0"/>
                                  <wp:docPr id="179" name="Image62" descr="">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2" descr="">
                                            <a:hlinkClick r:id="rId82"/>
                                          </pic:cNvPr>
                                          <pic:cNvPicPr>
                                            <a:picLocks noChangeAspect="1" noChangeArrowheads="1"/>
                                          </pic:cNvPicPr>
                                        </pic:nvPicPr>
                                        <pic:blipFill>
                                          <a:blip r:embed="rId81"/>
                                          <a:stretch>
                                            <a:fillRect/>
                                          </a:stretch>
                                        </pic:blipFill>
                                        <pic:spPr bwMode="auto">
                                          <a:xfrm>
                                            <a:off x="0" y="0"/>
                                            <a:ext cx="247650" cy="247650"/>
                                          </a:xfrm>
                                          <a:prstGeom prst="rect">
                                            <a:avLst/>
                                          </a:prstGeom>
                                          <a:ln w="9525">
                                            <a:solidFill>
                                              <a:srgbClr val="000080"/>
                                            </a:solidFill>
                                          </a:ln>
                                        </pic:spPr>
                                      </pic:pic>
                                    </a:graphicData>
                                  </a:graphic>
                                </wp:inline>
                              </w:drawing>
                            </w:r>
                            <w:hyperlink w:anchor="tPR2">
                              <w:r>
                                <w:rPr>
                                  <w:rStyle w:val="InternetLink"/>
                                </w:rPr>
                                <w:t xml:space="preserve"> </w:t>
                              </w:r>
                            </w:hyperlink>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right"/>
                              <w:rPr/>
                            </w:pPr>
                            <w:r>
                              <w:rPr/>
                              <w:t>​</w:t>
                            </w:r>
                          </w:p>
                        </w:tc>
                        <w:tc>
                          <w:tcPr>
                            <w:tcW w:w="406" w:type="dxa"/>
                            <w:tcBorders/>
                            <w:shd w:fill="E9F9D8" w:val="clear"/>
                            <w:tcMar>
                              <w:bottom w:w="0" w:type="dxa"/>
                            </w:tcMar>
                            <w:vAlign w:val="center"/>
                          </w:tcPr>
                          <w:p>
                            <w:pPr>
                              <w:pStyle w:val="TableContents"/>
                              <w:bidi w:val="0"/>
                              <w:spacing w:before="0" w:after="283"/>
                              <w:jc w:val="right"/>
                              <w:rPr/>
                            </w:pPr>
                            <w:hyperlink w:anchor="tPR2">
                              <w:r>
                                <w:rPr>
                                  <w:rStyle w:val="InternetLink"/>
                                  <w:color w:val="1F2668"/>
                                </w:rPr>
                                <w:t>41</w:t>
                              </w:r>
                            </w:hyperlink>
                            <w:r>
                              <w:rPr/>
                              <w:t xml:space="preserve"> </w:t>
                            </w:r>
                          </w:p>
                        </w:tc>
                        <w:tc>
                          <w:tcPr>
                            <w:tcW w:w="109" w:type="dxa"/>
                            <w:tcBorders/>
                            <w:shd w:fill="E9F9D8" w:val="clear"/>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DAA">
                              <w:r>
                                <w:rPr>
                                  <w:rStyle w:val="InternetLink"/>
                                  <w:color w:val="1F2668"/>
                                </w:rPr>
                                <w:t>Compensation Discussion and Analysis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DAA">
                              <w:r>
                                <w:rPr>
                                  <w:rStyle w:val="InternetLink"/>
                                  <w:color w:val="1F2668"/>
                                </w:rPr>
                                <w:t>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CCR">
                              <w:r>
                                <w:rPr>
                                  <w:rStyle w:val="InternetLink"/>
                                  <w:color w:val="1F2668"/>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CCR">
                              <w:r>
                                <w:rPr>
                                  <w:rStyle w:val="InternetLink"/>
                                  <w:color w:val="1F2668"/>
                                </w:rPr>
                                <w:t>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35" w:type="dxa"/>
                            <w:gridSpan w:val="4"/>
                            <w:tcBorders/>
                            <w:tcMar>
                              <w:bottom w:w="0" w:type="dxa"/>
                            </w:tcMar>
                            <w:vAlign w:val="center"/>
                          </w:tcPr>
                          <w:p>
                            <w:pPr>
                              <w:pStyle w:val="TableContents"/>
                              <w:bidi w:val="0"/>
                              <w:spacing w:before="0" w:after="283"/>
                              <w:jc w:val="left"/>
                              <w:rPr/>
                            </w:pPr>
                            <w:hyperlink w:anchor="tECT">
                              <w:r>
                                <w:rPr>
                                  <w:rStyle w:val="InternetLink"/>
                                  <w:color w:val="1F2668"/>
                                </w:rPr>
                                <w:t>Executive Compensation Tables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hyperlink w:anchor="tECT">
                              <w:r>
                                <w:rPr>
                                  <w:rStyle w:val="InternetLink"/>
                                  <w:color w:val="1F2668"/>
                                </w:rPr>
                                <w:t>67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1"/>
      <w:bookmarkEnd w:id="7"/>
      <w:r>
        <w:rPr>
          <w:rFonts w:ascii="calibri;arial;sans-serif" w:hAnsi="calibri;arial;sans-serif"/>
          <w:b w:val="false"/>
          <w:i w:val="false"/>
          <w:caps w:val="false"/>
          <w:smallCaps w:val="false"/>
          <w:color w:val="000000"/>
          <w:sz w:val="16"/>
        </w:rPr>
        <w:t>​</w:t>
      </w:r>
      <w:bookmarkStart w:id="8" w:name="tOBOD"/>
      <w:bookmarkEnd w:id="8"/>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10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pPr>
            <w:r>
              <w:rPr/>
              <w:t>11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360"/>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OUR BOARD OF DIRECTORS AND CORPORATE GOVERNANCE</w:t>
      </w:r>
      <w:r>
        <w:rPr>
          <w:rFonts w:ascii="Arial;Helvetica;sans-serif" w:hAnsi="Arial;Helvetica;sans-serif"/>
          <w:b/>
          <w:i w:val="false"/>
          <w:caps w:val="false"/>
          <w:smallCaps w:val="false"/>
          <w:color w:val="000000"/>
          <w:spacing w:val="8"/>
          <w:sz w:val="42"/>
        </w:rPr>
        <w:t xml:space="preserve"> </w:t>
      </w:r>
    </w:p>
    <w:tbl>
      <w:tblPr>
        <w:tblW w:w="2972" w:type="dxa"/>
        <w:jc w:val="left"/>
        <w:tblInd w:w="0" w:type="dxa"/>
        <w:tblLayout w:type="fixed"/>
        <w:tblCellMar>
          <w:top w:w="0" w:type="dxa"/>
          <w:left w:w="0" w:type="dxa"/>
          <w:bottom w:w="0" w:type="dxa"/>
          <w:right w:w="0" w:type="dxa"/>
        </w:tblCellMar>
      </w:tblPr>
      <w:tblGrid>
        <w:gridCol w:w="124"/>
        <w:gridCol w:w="1606"/>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06"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z w:val="24"/>
              </w:rPr>
              <w:t>PROPOSAL 1</w:t>
            </w:r>
            <w:r>
              <w:rPr>
                <w:b/>
                <w:color w:val="000000"/>
                <w:sz w:val="24"/>
              </w:rPr>
              <w:t>​</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06"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3038"/>
        <w:gridCol w:w="210"/>
        <w:gridCol w:w="210"/>
        <w:gridCol w:w="2865"/>
        <w:gridCol w:w="210"/>
        <w:gridCol w:w="210"/>
        <w:gridCol w:w="3182"/>
        <w:gridCol w:w="156"/>
      </w:tblGrid>
      <w:tr>
        <w:trPr/>
        <w:tc>
          <w:tcPr>
            <w:tcW w:w="124" w:type="dxa"/>
            <w:tcBorders/>
            <w:shd w:fill="E9F9D8" w:val="clear"/>
            <w:vAlign w:val="center"/>
          </w:tcPr>
          <w:p>
            <w:pPr>
              <w:pStyle w:val="TableContents"/>
              <w:bidi w:val="0"/>
              <w:spacing w:before="0" w:after="283"/>
              <w:jc w:val="left"/>
              <w:rPr/>
            </w:pPr>
            <w:r>
              <w:rPr/>
              <w:t>​</w:t>
            </w:r>
          </w:p>
        </w:tc>
        <w:tc>
          <w:tcPr>
            <w:tcW w:w="9925" w:type="dxa"/>
            <w:gridSpan w:val="7"/>
            <w:tcBorders/>
            <w:shd w:fill="E9F9D8" w:val="clear"/>
            <w:vAlign w:val="center"/>
          </w:tcPr>
          <w:p>
            <w:pPr>
              <w:pStyle w:val="TableContents"/>
              <w:bidi w:val="0"/>
              <w:spacing w:lineRule="atLeast" w:line="400" w:before="0" w:after="0"/>
              <w:jc w:val="left"/>
              <w:rPr/>
            </w:pPr>
            <w:r>
              <w:rPr>
                <w:caps/>
              </w:rPr>
              <w:t>ELECTION OF DIRECTORS</w:t>
            </w:r>
            <w:r>
              <w:rPr>
                <w:color w:val="000000"/>
              </w:rPr>
              <w:t>​</w:t>
            </w:r>
            <w:r>
              <w:rPr/>
              <w:t xml:space="preserve"> </w:t>
            </w:r>
          </w:p>
        </w:tc>
        <w:tc>
          <w:tcPr>
            <w:tcW w:w="156"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5" w:type="dxa"/>
            <w:gridSpan w:val="7"/>
            <w:tcBorders/>
            <w:shd w:fill="E9F9D8" w:val="clear"/>
            <w:vAlign w:val="center"/>
          </w:tcPr>
          <w:p>
            <w:pPr>
              <w:pStyle w:val="TableContents"/>
              <w:bidi w:val="0"/>
              <w:spacing w:lineRule="atLeast" w:line="220" w:before="0" w:after="0"/>
              <w:jc w:val="left"/>
              <w:rPr>
                <w:spacing w:val="-2"/>
              </w:rPr>
            </w:pPr>
            <w:r>
              <w:rPr>
                <w:spacing w:val="-2"/>
              </w:rPr>
              <w:t xml:space="preserve">The Board, upon the recommendation of the Nominating and Corporate Governance Committee, has nominated seven directors for election to serve until the 2025 annual meeting of stockholders and until their successors are duly elected and qualify. </w:t>
            </w:r>
          </w:p>
        </w:tc>
        <w:tc>
          <w:tcPr>
            <w:tcW w:w="156"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3038" w:type="dxa"/>
            <w:tcBorders/>
            <w:shd w:fill="E9F9D8" w:val="clear"/>
            <w:vAlign w:val="center"/>
          </w:tcPr>
          <w:p>
            <w:pPr>
              <w:pStyle w:val="TableContents"/>
              <w:bidi w:val="0"/>
              <w:spacing w:lineRule="atLeast" w:line="180" w:before="0" w:after="0"/>
              <w:ind w:left="180" w:right="0" w:hanging="0"/>
              <w:jc w:val="left"/>
              <w:rPr/>
            </w:pPr>
            <w:r>
              <w:rPr>
                <w:spacing w:val="-2"/>
              </w:rPr>
              <w:t>John H. Alschuler</w:t>
            </w:r>
            <w:r>
              <w:rPr/>
              <w:t xml:space="preserve"> </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114300" cy="350520"/>
                      <wp:effectExtent l="0" t="0" r="0" b="0"/>
                      <wp:wrapSquare wrapText="right"/>
                      <wp:docPr id="180" name="Frame1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Carol N. Brown</w:t>
            </w:r>
            <w:r>
              <w:rPr/>
              <w:t xml:space="preserve"> </w:t>
            </w:r>
            <w:r>
              <mc:AlternateContent>
                <mc:Choice Requires="wps">
                  <w:drawing>
                    <wp:anchor behindDoc="0" distT="63500" distB="0" distL="0" distR="0" simplePos="0" locked="0" layoutInCell="1" allowOverlap="1" relativeHeight="435">
                      <wp:simplePos x="0" y="0"/>
                      <wp:positionH relativeFrom="column">
                        <wp:align>left</wp:align>
                      </wp:positionH>
                      <wp:positionV relativeFrom="line">
                        <wp:align>top</wp:align>
                      </wp:positionV>
                      <wp:extent cx="114300" cy="350520"/>
                      <wp:effectExtent l="0" t="0" r="0" b="0"/>
                      <wp:wrapSquare wrapText="right"/>
                      <wp:docPr id="181" name="Frame1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Lauren B. Dillard </w:t>
            </w:r>
            <w:r>
              <mc:AlternateContent>
                <mc:Choice Requires="wps">
                  <w:drawing>
                    <wp:anchor behindDoc="0" distT="63500" distB="0" distL="0" distR="0" simplePos="0" locked="0" layoutInCell="1" allowOverlap="1" relativeHeight="436">
                      <wp:simplePos x="0" y="0"/>
                      <wp:positionH relativeFrom="column">
                        <wp:align>left</wp:align>
                      </wp:positionH>
                      <wp:positionV relativeFrom="line">
                        <wp:align>top</wp:align>
                      </wp:positionV>
                      <wp:extent cx="114300" cy="350520"/>
                      <wp:effectExtent l="0" t="0" r="0" b="0"/>
                      <wp:wrapSquare wrapText="right"/>
                      <wp:docPr id="182" name="Frame1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210" w:type="dxa"/>
            <w:tcBorders/>
            <w:shd w:fill="E9F9D8" w:val="clear"/>
            <w:vAlign w:val="center"/>
          </w:tcPr>
          <w:p>
            <w:pPr>
              <w:pStyle w:val="TableContents"/>
              <w:bidi w:val="0"/>
              <w:spacing w:before="0" w:after="283"/>
              <w:jc w:val="left"/>
              <w:rPr/>
            </w:pPr>
            <w:r>
              <w:rPr/>
              <w:t>​</w:t>
            </w:r>
          </w:p>
        </w:tc>
        <w:tc>
          <w:tcPr>
            <w:tcW w:w="210" w:type="dxa"/>
            <w:tcBorders/>
            <w:shd w:fill="E9F9D8" w:val="clear"/>
            <w:vAlign w:val="center"/>
          </w:tcPr>
          <w:p>
            <w:pPr>
              <w:pStyle w:val="TableContents"/>
              <w:bidi w:val="0"/>
              <w:spacing w:before="0" w:after="283"/>
              <w:jc w:val="left"/>
              <w:rPr/>
            </w:pPr>
            <w:r>
              <w:rPr/>
              <w:t>​</w:t>
            </w:r>
          </w:p>
        </w:tc>
        <w:tc>
          <w:tcPr>
            <w:tcW w:w="2865" w:type="dxa"/>
            <w:tcBorders/>
            <w:shd w:fill="E9F9D8" w:val="clear"/>
            <w:vAlign w:val="center"/>
          </w:tcPr>
          <w:p>
            <w:pPr>
              <w:pStyle w:val="TableContents"/>
              <w:bidi w:val="0"/>
              <w:spacing w:lineRule="atLeast" w:line="180" w:before="0" w:after="0"/>
              <w:ind w:left="180" w:right="0" w:hanging="0"/>
              <w:jc w:val="left"/>
              <w:rPr/>
            </w:pPr>
            <w:r>
              <w:rPr>
                <w:spacing w:val="-2"/>
              </w:rPr>
              <w:t>Stephen L. Green</w:t>
            </w:r>
            <w:r>
              <w:rPr/>
              <w:t xml:space="preserve"> </w: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114300" cy="350520"/>
                      <wp:effectExtent l="0" t="0" r="0" b="0"/>
                      <wp:wrapSquare wrapText="right"/>
                      <wp:docPr id="183" name="Frame1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Craig M. Hatkoff </w:t>
            </w:r>
            <w:r>
              <mc:AlternateContent>
                <mc:Choice Requires="wps">
                  <w:drawing>
                    <wp:anchor behindDoc="0" distT="63500" distB="0" distL="0" distR="0" simplePos="0" locked="0" layoutInCell="1" allowOverlap="1" relativeHeight="438">
                      <wp:simplePos x="0" y="0"/>
                      <wp:positionH relativeFrom="column">
                        <wp:align>left</wp:align>
                      </wp:positionH>
                      <wp:positionV relativeFrom="line">
                        <wp:align>top</wp:align>
                      </wp:positionV>
                      <wp:extent cx="114300" cy="350520"/>
                      <wp:effectExtent l="0" t="0" r="0" b="0"/>
                      <wp:wrapSquare wrapText="right"/>
                      <wp:docPr id="184" name="Frame1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210" w:type="dxa"/>
            <w:tcBorders/>
            <w:shd w:fill="E9F9D8" w:val="clear"/>
            <w:vAlign w:val="center"/>
          </w:tcPr>
          <w:p>
            <w:pPr>
              <w:pStyle w:val="TableContents"/>
              <w:bidi w:val="0"/>
              <w:spacing w:before="0" w:after="283"/>
              <w:jc w:val="left"/>
              <w:rPr/>
            </w:pPr>
            <w:r>
              <w:rPr/>
              <w:t>​</w:t>
            </w:r>
          </w:p>
        </w:tc>
        <w:tc>
          <w:tcPr>
            <w:tcW w:w="210" w:type="dxa"/>
            <w:tcBorders/>
            <w:shd w:fill="E9F9D8" w:val="clear"/>
            <w:vAlign w:val="center"/>
          </w:tcPr>
          <w:p>
            <w:pPr>
              <w:pStyle w:val="TableContents"/>
              <w:bidi w:val="0"/>
              <w:spacing w:before="0" w:after="283"/>
              <w:jc w:val="left"/>
              <w:rPr/>
            </w:pPr>
            <w:r>
              <w:rPr/>
              <w:t>​</w:t>
            </w:r>
          </w:p>
        </w:tc>
        <w:tc>
          <w:tcPr>
            <w:tcW w:w="3182" w:type="dxa"/>
            <w:tcBorders/>
            <w:shd w:fill="E9F9D8" w:val="clear"/>
            <w:vAlign w:val="center"/>
          </w:tcPr>
          <w:p>
            <w:pPr>
              <w:pStyle w:val="TableContents"/>
              <w:bidi w:val="0"/>
              <w:spacing w:lineRule="atLeast" w:line="180" w:before="0" w:after="0"/>
              <w:ind w:left="180" w:right="0" w:hanging="0"/>
              <w:jc w:val="left"/>
              <w:rPr/>
            </w:pPr>
            <w:r>
              <w:rPr>
                <w:spacing w:val="-2"/>
              </w:rPr>
              <w:t>Marc Holliday</w:t>
            </w:r>
            <w:r>
              <w:rPr/>
              <w:t xml:space="preserve"> </w: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114300" cy="350520"/>
                      <wp:effectExtent l="0" t="0" r="0" b="0"/>
                      <wp:wrapSquare wrapText="right"/>
                      <wp:docPr id="185" name="Frame1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Andrew W. Mathias</w:t>
            </w:r>
            <w:r>
              <w:rPr/>
              <w:t xml:space="preserve"> </w:t>
            </w:r>
            <w:r>
              <mc:AlternateContent>
                <mc:Choice Requires="wps">
                  <w:drawing>
                    <wp:anchor behindDoc="0" distT="63500" distB="0" distL="0" distR="0" simplePos="0" locked="0" layoutInCell="1" allowOverlap="1" relativeHeight="440">
                      <wp:simplePos x="0" y="0"/>
                      <wp:positionH relativeFrom="column">
                        <wp:align>left</wp:align>
                      </wp:positionH>
                      <wp:positionV relativeFrom="line">
                        <wp:align>top</wp:align>
                      </wp:positionV>
                      <wp:extent cx="114300" cy="350520"/>
                      <wp:effectExtent l="0" t="0" r="0" b="0"/>
                      <wp:wrapSquare wrapText="right"/>
                      <wp:docPr id="186" name="Frame1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5" w:type="dxa"/>
            <w:gridSpan w:val="7"/>
            <w:tcBorders/>
            <w:shd w:fill="E9F9D8" w:val="clear"/>
            <w:vAlign w:val="center"/>
          </w:tcPr>
          <w:p>
            <w:pPr>
              <w:pStyle w:val="TableContents"/>
              <w:bidi w:val="0"/>
              <w:spacing w:lineRule="atLeast" w:line="220" w:before="0" w:after="0"/>
              <w:jc w:val="left"/>
              <w:rPr>
                <w:spacing w:val="-2"/>
              </w:rPr>
            </w:pPr>
            <w:r>
              <w:rPr>
                <w:spacing w:val="-2"/>
              </w:rPr>
              <w:t xml:space="preserve">Each of the nominees is currently serving as a director, and has consented to being named in this proxy statement and to serve as a director if elected. However, if any of the nominees is unable to accept election, proxies voted in favor of such nominee will be voted for the election of such other person as the Board nominates or the Board may reduce the size of the Board. </w:t>
            </w:r>
          </w:p>
          <w:p>
            <w:pPr>
              <w:pStyle w:val="TableContents"/>
              <w:bidi w:val="0"/>
              <w:spacing w:lineRule="atLeast" w:line="300" w:before="360" w:after="283"/>
              <w:jc w:val="left"/>
              <w:rPr>
                <w:b/>
                <w:color w:val="1F2668"/>
                <w:sz w:val="26"/>
              </w:rPr>
            </w:pPr>
            <w:r>
              <w:rPr>
                <w:b/>
                <w:color w:val="1F2668"/>
                <w:sz w:val="26"/>
              </w:rPr>
              <w:t>Majority Voting Standard</w:t>
            </w:r>
            <w:r>
              <w:rPr>
                <w:b/>
                <w:color w:val="000000"/>
                <w:sz w:val="26"/>
              </w:rPr>
              <w:t>​</w:t>
            </w:r>
          </w:p>
          <w:p>
            <w:pPr>
              <w:pStyle w:val="TableContents"/>
              <w:bidi w:val="0"/>
              <w:spacing w:lineRule="atLeast" w:line="220" w:before="120" w:after="283"/>
              <w:jc w:val="left"/>
              <w:rPr/>
            </w:pPr>
            <w:r>
              <w:rPr>
                <w:spacing w:val="-2"/>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r>
              <w:rPr/>
              <w:t xml:space="preserve"> </w:t>
            </w:r>
          </w:p>
        </w:tc>
        <w:tc>
          <w:tcPr>
            <w:tcW w:w="156"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52"/>
        <w:gridCol w:w="109"/>
        <w:gridCol w:w="109"/>
        <w:gridCol w:w="83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52" w:type="dxa"/>
            <w:tcBorders>
              <w:bottom w:val="single" w:sz="96" w:space="0" w:color="E9F9D8"/>
            </w:tcBorders>
            <w:tcMar>
              <w:bottom w:w="430" w:type="dxa"/>
            </w:tcMar>
            <w:vAlign w:val="center"/>
          </w:tcPr>
          <w:p>
            <w:pPr>
              <w:pStyle w:val="TableContents"/>
              <w:bidi w:val="0"/>
              <w:spacing w:lineRule="atLeast" w:line="260" w:before="0" w:after="0"/>
              <w:jc w:val="left"/>
              <w:rPr/>
            </w:pPr>
            <w:r>
              <w:rPr/>
              <w:t xml:space="preserve">The Board unanimously recommends a vote </w:t>
            </w:r>
            <w:r>
              <w:rPr>
                <w:color w:val="83AD40"/>
              </w:rPr>
              <w:t>“FOR”</w:t>
            </w:r>
            <w:r>
              <w:rPr/>
              <w:t xml:space="preserve"> the election of Messrs. Alschuler, Green, Hatkoff, Holliday and Mathias and Mses. Brown and Dillard.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38" w:type="dxa"/>
            <w:tcBorders>
              <w:bottom w:val="single" w:sz="96" w:space="0" w:color="E9F9D8"/>
            </w:tcBorders>
            <w:tcMar>
              <w:bottom w:w="210" w:type="dxa"/>
            </w:tcMar>
            <w:vAlign w:val="center"/>
          </w:tcPr>
          <w:p>
            <w:pPr>
              <w:pStyle w:val="TableContents"/>
              <w:bidi w:val="0"/>
              <w:spacing w:before="0" w:after="283"/>
              <w:jc w:val="center"/>
              <w:rPr/>
            </w:pPr>
            <w:r>
              <w:rPr/>
              <w:drawing>
                <wp:inline distT="0" distB="0" distL="0" distR="0">
                  <wp:extent cx="457200" cy="457200"/>
                  <wp:effectExtent l="0" t="0" r="0" b="0"/>
                  <wp:docPr id="18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4" descr=""/>
                          <pic:cNvPicPr>
                            <a:picLocks noChangeAspect="1" noChangeArrowheads="1"/>
                          </pic:cNvPicPr>
                        </pic:nvPicPr>
                        <pic:blipFill>
                          <a:blip r:embed="rId83"/>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RTD"/>
      <w:bookmarkEnd w:id="9"/>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INFORMATION REGARDING THE DIRECTOR NOMINEES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matrix and biographical descriptions set forth certain information with respect to the nominees for election as directors at the 2024 Annual Meeting, based upon information furnished by each director.</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830"/>
        <w:gridCol w:w="109"/>
        <w:gridCol w:w="109"/>
        <w:gridCol w:w="975"/>
        <w:gridCol w:w="109"/>
        <w:gridCol w:w="109"/>
        <w:gridCol w:w="1323"/>
        <w:gridCol w:w="109"/>
        <w:gridCol w:w="109"/>
        <w:gridCol w:w="402"/>
        <w:gridCol w:w="109"/>
        <w:gridCol w:w="109"/>
        <w:gridCol w:w="1003"/>
        <w:gridCol w:w="109"/>
        <w:gridCol w:w="109"/>
        <w:gridCol w:w="766"/>
        <w:gridCol w:w="109"/>
        <w:gridCol w:w="109"/>
        <w:gridCol w:w="340"/>
        <w:gridCol w:w="109"/>
        <w:gridCol w:w="109"/>
        <w:gridCol w:w="109"/>
        <w:gridCol w:w="325"/>
        <w:gridCol w:w="109"/>
        <w:gridCol w:w="109"/>
        <w:gridCol w:w="109"/>
        <w:gridCol w:w="569"/>
        <w:gridCol w:w="109"/>
        <w:gridCol w:w="109"/>
        <w:gridCol w:w="109"/>
        <w:gridCol w:w="325"/>
        <w:gridCol w:w="158"/>
      </w:tblGrid>
      <w:tr>
        <w:trPr/>
        <w:tc>
          <w:tcPr>
            <w:tcW w:w="830" w:type="dxa"/>
            <w:vMerge w:val="restart"/>
            <w:tcBorders>
              <w:bottom w:val="single" w:sz="8" w:space="0" w:color="1F2668"/>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975" w:type="dxa"/>
            <w:vMerge w:val="restart"/>
            <w:tcBorders>
              <w:bottom w:val="single" w:sz="8" w:space="0" w:color="1F2668"/>
            </w:tcBorders>
            <w:tcMar>
              <w:bottom w:w="50" w:type="dxa"/>
            </w:tcMar>
            <w:vAlign w:val="center"/>
          </w:tcPr>
          <w:p>
            <w:pPr>
              <w:pStyle w:val="TableContents"/>
              <w:bidi w:val="0"/>
              <w:spacing w:lineRule="atLeast" w:line="180" w:before="0" w:after="0"/>
              <w:jc w:val="left"/>
              <w:rPr>
                <w:spacing w:val="2"/>
                <w:sz w:val="16"/>
              </w:rPr>
            </w:pPr>
            <w:r>
              <w:rPr>
                <w:spacing w:val="2"/>
                <w:sz w:val="16"/>
              </w:rPr>
              <w:t xml:space="preserve">Name </w:t>
            </w:r>
          </w:p>
        </w:tc>
        <w:tc>
          <w:tcPr>
            <w:tcW w:w="109" w:type="dxa"/>
            <w:vMerge w:val="restart"/>
            <w:tcBorders>
              <w:bottom w:val="single" w:sz="8" w:space="0" w:color="1F2668"/>
            </w:tcBorders>
            <w:vAlign w:val="center"/>
          </w:tcPr>
          <w:p>
            <w:pPr>
              <w:pStyle w:val="TableContents"/>
              <w:bidi w:val="0"/>
              <w:spacing w:before="0" w:after="283"/>
              <w:jc w:val="left"/>
              <w:rPr/>
            </w:pPr>
            <w:r>
              <w:rPr/>
              <w:t>​</w:t>
            </w:r>
          </w:p>
        </w:tc>
        <w:tc>
          <w:tcPr>
            <w:tcW w:w="109" w:type="dxa"/>
            <w:vMerge w:val="restart"/>
            <w:tcBorders>
              <w:bottom w:val="single" w:sz="8" w:space="0" w:color="1F2668"/>
            </w:tcBorders>
            <w:vAlign w:val="center"/>
          </w:tcPr>
          <w:p>
            <w:pPr>
              <w:pStyle w:val="TableContents"/>
              <w:bidi w:val="0"/>
              <w:spacing w:before="0" w:after="283"/>
              <w:jc w:val="left"/>
              <w:rPr/>
            </w:pPr>
            <w:r>
              <w:rPr/>
              <w:t>​</w:t>
            </w:r>
          </w:p>
        </w:tc>
        <w:tc>
          <w:tcPr>
            <w:tcW w:w="1323" w:type="dxa"/>
            <w:vMerge w:val="restart"/>
            <w:tcBorders>
              <w:bottom w:val="single" w:sz="8" w:space="0" w:color="1F2668"/>
            </w:tcBorders>
            <w:tcMar>
              <w:bottom w:w="50" w:type="dxa"/>
            </w:tcMar>
            <w:vAlign w:val="center"/>
          </w:tcPr>
          <w:p>
            <w:pPr>
              <w:pStyle w:val="TableContents"/>
              <w:bidi w:val="0"/>
              <w:spacing w:lineRule="atLeast" w:line="180" w:before="0" w:after="0"/>
              <w:jc w:val="left"/>
              <w:rPr>
                <w:spacing w:val="2"/>
                <w:sz w:val="16"/>
              </w:rPr>
            </w:pPr>
            <w:r>
              <w:rPr>
                <w:spacing w:val="2"/>
                <w:sz w:val="16"/>
              </w:rPr>
              <w:t xml:space="preserve">Other Current Public Board </w:t>
              <w:br/>
              <w:t xml:space="preserve">Directorships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402"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Age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03"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Independent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766" w:type="dxa"/>
            <w:vMerge w:val="restart"/>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Director Since </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2540" w:type="dxa"/>
            <w:gridSpan w:val="13"/>
            <w:tcBorders>
              <w:bottom w:val="single" w:sz="8" w:space="0" w:color="1F2668"/>
            </w:tcBorders>
            <w:tcMar>
              <w:bottom w:w="50" w:type="dxa"/>
            </w:tcMar>
            <w:vAlign w:val="center"/>
          </w:tcPr>
          <w:p>
            <w:pPr>
              <w:pStyle w:val="TableContents"/>
              <w:bidi w:val="0"/>
              <w:spacing w:lineRule="atLeast" w:line="142" w:before="0" w:after="0"/>
              <w:jc w:val="center"/>
              <w:rPr>
                <w:sz w:val="16"/>
              </w:rPr>
            </w:pPr>
            <w:r>
              <w:rPr>
                <w:spacing w:val="2"/>
                <w:sz w:val="16"/>
              </w:rPr>
              <w:t>Committee Memberships</w:t>
            </w:r>
            <w:r>
              <w:rPr>
                <w:spacing w:val="1"/>
                <w:sz w:val="10"/>
              </w:rPr>
              <w:t>(1)</w:t>
            </w:r>
            <w:r>
              <w:rPr>
                <w:sz w:val="16"/>
              </w:rPr>
              <w:t xml:space="preserve"> </w:t>
            </w:r>
          </w:p>
        </w:tc>
        <w:tc>
          <w:tcPr>
            <w:tcW w:w="158" w:type="dxa"/>
            <w:tcBorders>
              <w:bottom w:val="single" w:sz="12" w:space="0" w:color="FFFFFF"/>
            </w:tcBorders>
            <w:vAlign w:val="center"/>
          </w:tcPr>
          <w:p>
            <w:pPr>
              <w:pStyle w:val="TableContents"/>
              <w:bidi w:val="0"/>
              <w:spacing w:before="0" w:after="283"/>
              <w:jc w:val="left"/>
              <w:rPr/>
            </w:pPr>
            <w:r>
              <w:rPr/>
              <w:t>​</w:t>
            </w:r>
          </w:p>
        </w:tc>
      </w:tr>
      <w:tr>
        <w:trPr/>
        <w:tc>
          <w:tcPr>
            <w:tcW w:w="830" w:type="dxa"/>
            <w:vMerge w:val="continue"/>
            <w:tcBorders>
              <w:bottom w:val="single" w:sz="8" w:space="0" w:color="1F2668"/>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975"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8" w:space="0" w:color="1F2668"/>
            </w:tcBorders>
            <w:vAlign w:val="center"/>
          </w:tcPr>
          <w:p>
            <w:pPr>
              <w:pStyle w:val="Normal"/>
              <w:bidi w:val="0"/>
              <w:jc w:val="left"/>
              <w:rPr/>
            </w:pPr>
            <w:r>
              <w:rPr/>
            </w:r>
          </w:p>
        </w:tc>
        <w:tc>
          <w:tcPr>
            <w:tcW w:w="109" w:type="dxa"/>
            <w:vMerge w:val="continue"/>
            <w:tcBorders>
              <w:bottom w:val="single" w:sz="8" w:space="0" w:color="1F2668"/>
            </w:tcBorders>
            <w:vAlign w:val="center"/>
          </w:tcPr>
          <w:p>
            <w:pPr>
              <w:pStyle w:val="Normal"/>
              <w:bidi w:val="0"/>
              <w:jc w:val="left"/>
              <w:rPr/>
            </w:pPr>
            <w:r>
              <w:rPr/>
            </w:r>
          </w:p>
        </w:tc>
        <w:tc>
          <w:tcPr>
            <w:tcW w:w="1323"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402"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03"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766" w:type="dxa"/>
            <w:vMerge w:val="continue"/>
            <w:tcBorders>
              <w:bottom w:val="single" w:sz="8" w:space="0" w:color="1F2668"/>
            </w:tcBorders>
            <w:tcMar>
              <w:bottom w:w="50"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tcBorders>
              <w:bottom w:val="single" w:sz="12" w:space="0" w:color="FFFFFF"/>
            </w:tcBorders>
            <w:vAlign w:val="center"/>
          </w:tcPr>
          <w:p>
            <w:pPr>
              <w:pStyle w:val="TableContents"/>
              <w:bidi w:val="0"/>
              <w:spacing w:before="0" w:after="283"/>
              <w:jc w:val="left"/>
              <w:rPr/>
            </w:pPr>
            <w:r>
              <w:rPr/>
              <w:t>​</w:t>
            </w:r>
          </w:p>
        </w:tc>
        <w:tc>
          <w:tcPr>
            <w:tcW w:w="340"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AC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5"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CC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569"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NCGC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5" w:type="dxa"/>
            <w:tcBorders>
              <w:bottom w:val="single" w:sz="8" w:space="0" w:color="1F2668"/>
            </w:tcBorders>
            <w:tcMar>
              <w:bottom w:w="50" w:type="dxa"/>
            </w:tcMar>
            <w:vAlign w:val="center"/>
          </w:tcPr>
          <w:p>
            <w:pPr>
              <w:pStyle w:val="TableContents"/>
              <w:bidi w:val="0"/>
              <w:spacing w:lineRule="atLeast" w:line="180" w:before="0" w:after="0"/>
              <w:jc w:val="center"/>
              <w:rPr>
                <w:spacing w:val="2"/>
                <w:sz w:val="16"/>
              </w:rPr>
            </w:pPr>
            <w:r>
              <w:rPr>
                <w:spacing w:val="2"/>
                <w:sz w:val="16"/>
              </w:rPr>
              <w:t xml:space="preserve">EC </w:t>
            </w:r>
          </w:p>
        </w:tc>
        <w:tc>
          <w:tcPr>
            <w:tcW w:w="158" w:type="dxa"/>
            <w:tcBorders>
              <w:bottom w:val="single" w:sz="8" w:space="0" w:color="1F266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57200" cy="561975"/>
                  <wp:effectExtent l="0" t="0" r="0" b="0"/>
                  <wp:docPr id="1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5" descr=""/>
                          <pic:cNvPicPr>
                            <a:picLocks noChangeAspect="1" noChangeArrowheads="1"/>
                          </pic:cNvPicPr>
                        </pic:nvPicPr>
                        <pic:blipFill>
                          <a:blip r:embed="rId84"/>
                          <a:stretch>
                            <a:fillRect/>
                          </a:stretch>
                        </pic:blipFill>
                        <pic:spPr bwMode="auto">
                          <a:xfrm>
                            <a:off x="0" y="0"/>
                            <a:ext cx="457200"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z w:val="18"/>
              </w:rPr>
              <w:t>John H. Alschuler</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lineRule="atLeast" w:line="160" w:before="0" w:after="0"/>
              <w:ind w:left="160" w:right="0" w:hanging="0"/>
              <w:jc w:val="left"/>
              <w:rPr>
                <w:sz w:val="16"/>
              </w:rPr>
            </w:pPr>
            <w:r>
              <w:rPr>
                <w:spacing w:val="-2"/>
                <w:sz w:val="16"/>
              </w:rPr>
              <w:t>Xenia Hotels and Resorts</w:t>
            </w:r>
            <w:r>
              <w:rPr>
                <w:sz w:val="16"/>
              </w:rPr>
              <w:t xml:space="preserve"> </w: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101600" cy="350520"/>
                      <wp:effectExtent l="0" t="0" r="0" b="0"/>
                      <wp:wrapSquare wrapText="right"/>
                      <wp:docPr id="189" name="Frame1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00" w:after="0"/>
              <w:ind w:left="160" w:right="0" w:hanging="0"/>
              <w:jc w:val="left"/>
              <w:rPr>
                <w:spacing w:val="-2"/>
                <w:sz w:val="16"/>
              </w:rPr>
            </w:pPr>
            <w:r>
              <w:rPr>
                <w:spacing w:val="-2"/>
                <w:sz w:val="16"/>
              </w:rPr>
              <w:t xml:space="preserve">The Macerich Company </w:t>
            </w:r>
            <w:r>
              <mc:AlternateContent>
                <mc:Choice Requires="wps">
                  <w:drawing>
                    <wp:anchor behindDoc="0" distT="63500" distB="0" distL="0" distR="0" simplePos="0" locked="0" layoutInCell="1" allowOverlap="1" relativeHeight="442">
                      <wp:simplePos x="0" y="0"/>
                      <wp:positionH relativeFrom="column">
                        <wp:align>left</wp:align>
                      </wp:positionH>
                      <wp:positionV relativeFrom="line">
                        <wp:align>top</wp:align>
                      </wp:positionV>
                      <wp:extent cx="101600" cy="350520"/>
                      <wp:effectExtent l="0" t="0" r="0" b="0"/>
                      <wp:wrapSquare wrapText="right"/>
                      <wp:docPr id="190" name="Frame1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76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9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6" descr=""/>
                          <pic:cNvPicPr>
                            <a:picLocks noChangeAspect="1" noChangeArrowheads="1"/>
                          </pic:cNvPicPr>
                        </pic:nvPicPr>
                        <pic:blipFill>
                          <a:blip r:embed="rId8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1997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0"/>
              <w:jc w:val="center"/>
              <w:rPr>
                <w:b/>
                <w:color w:val="1F2668"/>
                <w:sz w:val="22"/>
              </w:rPr>
            </w:pPr>
            <w:r>
              <w:rPr>
                <w:b/>
                <w:color w:val="1F2668"/>
                <w:sz w:val="22"/>
              </w:rPr>
              <w:t>M</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0"/>
              <w:jc w:val="center"/>
              <w:rPr>
                <w:b/>
                <w:color w:val="1F2668"/>
                <w:sz w:val="22"/>
              </w:rPr>
            </w:pPr>
            <w:r>
              <w:rPr>
                <w:b/>
                <w:color w:val="1F2668"/>
                <w:sz w:val="22"/>
              </w:rPr>
              <w:t>M</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52450"/>
                  <wp:effectExtent l="0" t="0" r="0" b="0"/>
                  <wp:docPr id="19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7" descr=""/>
                          <pic:cNvPicPr>
                            <a:picLocks noChangeAspect="1" noChangeArrowheads="1"/>
                          </pic:cNvPicPr>
                        </pic:nvPicPr>
                        <pic:blipFill>
                          <a:blip r:embed="rId86"/>
                          <a:stretch>
                            <a:fillRect/>
                          </a:stretch>
                        </pic:blipFill>
                        <pic:spPr bwMode="auto">
                          <a:xfrm>
                            <a:off x="0" y="0"/>
                            <a:ext cx="447675" cy="552450"/>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sz w:val="18"/>
              </w:rPr>
            </w:pPr>
            <w:r>
              <w:rPr>
                <w:b/>
                <w:sz w:val="18"/>
              </w:rPr>
              <w:t>Carol N. Brown</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54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8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0"/>
              <w:jc w:val="center"/>
              <w:rPr>
                <w:b/>
                <w:sz w:val="22"/>
              </w:rPr>
            </w:pPr>
            <w:r>
              <w:rPr>
                <w:b/>
                <w:sz w:val="22"/>
              </w:rPr>
              <w:t>M</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0"/>
              <w:jc w:val="center"/>
              <w:rPr>
                <w:b/>
                <w:sz w:val="22"/>
              </w:rPr>
            </w:pPr>
            <w:r>
              <w:rPr>
                <w:b/>
                <w:sz w:val="22"/>
              </w:rPr>
              <w:t>M</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9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9" descr=""/>
                          <pic:cNvPicPr>
                            <a:picLocks noChangeAspect="1" noChangeArrowheads="1"/>
                          </pic:cNvPicPr>
                        </pic:nvPicPr>
                        <pic:blipFill>
                          <a:blip r:embed="rId88"/>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sz w:val="18"/>
              </w:rPr>
            </w:pPr>
            <w:r>
              <w:rPr>
                <w:b/>
                <w:sz w:val="18"/>
              </w:rPr>
              <w:t>Lauren B. Dillard</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48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19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0" descr=""/>
                          <pic:cNvPicPr>
                            <a:picLocks noChangeAspect="1" noChangeArrowheads="1"/>
                          </pic:cNvPicPr>
                        </pic:nvPicPr>
                        <pic:blipFill>
                          <a:blip r:embed="rId8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2016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0"/>
              <w:jc w:val="center"/>
              <w:rPr>
                <w:b/>
                <w:sz w:val="22"/>
              </w:rPr>
            </w:pPr>
            <w:r>
              <w:rPr>
                <w:b/>
                <w:sz w:val="22"/>
              </w:rPr>
              <w:t>M</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0"/>
              <w:jc w:val="center"/>
              <w:rPr>
                <w:b/>
                <w:color w:val="83AD40"/>
                <w:sz w:val="22"/>
              </w:rPr>
            </w:pPr>
            <w:r>
              <w:rPr>
                <w:b/>
                <w:color w:val="83AD40"/>
                <w:sz w:val="22"/>
              </w:rPr>
              <w:t>C</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9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1" descr=""/>
                          <pic:cNvPicPr>
                            <a:picLocks noChangeAspect="1" noChangeArrowheads="1"/>
                          </pic:cNvPicPr>
                        </pic:nvPicPr>
                        <pic:blipFill>
                          <a:blip r:embed="rId90"/>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sz w:val="18"/>
              </w:rPr>
            </w:pPr>
            <w:r>
              <w:rPr>
                <w:b/>
                <w:sz w:val="18"/>
              </w:rPr>
              <w:t>Stephen L. Green</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86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color w:val="000000"/>
                <w:spacing w:val="-2"/>
                <w:sz w:val="18"/>
              </w:rPr>
            </w:pPr>
            <w:r>
              <w:rPr>
                <w:color w:val="000000"/>
                <w:spacing w:val="-2"/>
                <w:sz w:val="18"/>
              </w:rPr>
              <w:t xml:space="preserve">1997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0"/>
              <w:jc w:val="center"/>
              <w:rPr>
                <w:b/>
                <w:sz w:val="22"/>
              </w:rPr>
            </w:pPr>
            <w:r>
              <w:rPr>
                <w:b/>
                <w:sz w:val="22"/>
              </w:rPr>
              <w:t>M</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61975"/>
                  <wp:effectExtent l="0" t="0" r="0" b="0"/>
                  <wp:docPr id="19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2" descr=""/>
                          <pic:cNvPicPr>
                            <a:picLocks noChangeAspect="1" noChangeArrowheads="1"/>
                          </pic:cNvPicPr>
                        </pic:nvPicPr>
                        <pic:blipFill>
                          <a:blip r:embed="rId91"/>
                          <a:stretch>
                            <a:fillRect/>
                          </a:stretch>
                        </pic:blipFill>
                        <pic:spPr bwMode="auto">
                          <a:xfrm>
                            <a:off x="0" y="0"/>
                            <a:ext cx="447675" cy="56197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z w:val="18"/>
              </w:rPr>
              <w:t>Craig M. Hatkoff</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lineRule="atLeast" w:line="200" w:before="0" w:after="0"/>
              <w:ind w:left="160" w:right="0" w:hanging="0"/>
              <w:jc w:val="left"/>
              <w:rPr>
                <w:sz w:val="16"/>
              </w:rPr>
            </w:pPr>
            <w:r>
              <w:rPr>
                <w:spacing w:val="-2"/>
                <w:sz w:val="16"/>
              </w:rPr>
              <w:t>Jaguar Global Growth Corporation I</w:t>
            </w:r>
            <w:r>
              <w:rPr>
                <w:sz w:val="16"/>
              </w:rPr>
              <w:t xml:space="preserve"> </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101600" cy="350520"/>
                      <wp:effectExtent l="0" t="0" r="0" b="0"/>
                      <wp:wrapSquare wrapText="right"/>
                      <wp:docPr id="198" name="Frame1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100" w:after="0"/>
              <w:ind w:left="160" w:right="0" w:hanging="0"/>
              <w:jc w:val="left"/>
              <w:rPr>
                <w:spacing w:val="-2"/>
                <w:sz w:val="16"/>
              </w:rPr>
            </w:pPr>
            <w:r>
              <w:rPr>
                <w:spacing w:val="-2"/>
                <w:sz w:val="16"/>
              </w:rPr>
              <w:t xml:space="preserve">Captivision Inc. </w:t>
            </w:r>
            <w:r>
              <mc:AlternateContent>
                <mc:Choice Requires="wps">
                  <w:drawing>
                    <wp:anchor behindDoc="0" distT="63500" distB="0" distL="0" distR="0" simplePos="0" locked="0" layoutInCell="1" allowOverlap="1" relativeHeight="443">
                      <wp:simplePos x="0" y="0"/>
                      <wp:positionH relativeFrom="column">
                        <wp:align>left</wp:align>
                      </wp:positionH>
                      <wp:positionV relativeFrom="line">
                        <wp:align>top</wp:align>
                      </wp:positionV>
                      <wp:extent cx="101600" cy="350520"/>
                      <wp:effectExtent l="0" t="0" r="0" b="0"/>
                      <wp:wrapSquare wrapText="right"/>
                      <wp:docPr id="199" name="Frame1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sz w:val="16"/>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sz w:val="16"/>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70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0"/>
              <w:jc w:val="center"/>
              <w:rPr/>
            </w:pPr>
            <w:r>
              <w:rPr/>
              <w:drawing>
                <wp:inline distT="0" distB="0" distL="0" distR="0">
                  <wp:extent cx="180975" cy="123825"/>
                  <wp:effectExtent l="0" t="0" r="0" b="0"/>
                  <wp:docPr id="20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3" descr=""/>
                          <pic:cNvPicPr>
                            <a:picLocks noChangeAspect="1" noChangeArrowheads="1"/>
                          </pic:cNvPicPr>
                        </pic:nvPicPr>
                        <pic:blipFill>
                          <a:blip r:embed="rId9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2011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0"/>
              <w:jc w:val="center"/>
              <w:rPr>
                <w:b/>
                <w:color w:val="1F2668"/>
                <w:sz w:val="22"/>
              </w:rPr>
            </w:pPr>
            <w:r>
              <w:rPr>
                <w:b/>
                <w:color w:val="1F2668"/>
                <w:sz w:val="22"/>
              </w:rPr>
              <w:t>M</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0"/>
              <w:jc w:val="center"/>
              <w:rPr>
                <w:b/>
                <w:color w:val="83AD40"/>
                <w:sz w:val="22"/>
              </w:rPr>
            </w:pPr>
            <w:r>
              <w:rPr>
                <w:b/>
                <w:color w:val="83AD40"/>
                <w:sz w:val="22"/>
              </w:rPr>
              <w:t>C</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2" w:space="0" w:color="4B5088"/>
            </w:tcBorders>
            <w:tcMar>
              <w:bottom w:w="85" w:type="dxa"/>
            </w:tcMar>
            <w:vAlign w:val="center"/>
          </w:tcPr>
          <w:p>
            <w:pPr>
              <w:pStyle w:val="TableContents"/>
              <w:bidi w:val="0"/>
              <w:spacing w:before="0" w:after="0"/>
              <w:jc w:val="center"/>
              <w:rPr/>
            </w:pPr>
            <w:r>
              <w:rPr/>
              <w:drawing>
                <wp:inline distT="0" distB="0" distL="0" distR="0">
                  <wp:extent cx="447675" cy="542925"/>
                  <wp:effectExtent l="0" t="0" r="0" b="0"/>
                  <wp:docPr id="20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4" descr=""/>
                          <pic:cNvPicPr>
                            <a:picLocks noChangeAspect="1" noChangeArrowheads="1"/>
                          </pic:cNvPicPr>
                        </pic:nvPicPr>
                        <pic:blipFill>
                          <a:blip r:embed="rId93"/>
                          <a:stretch>
                            <a:fillRect/>
                          </a:stretch>
                        </pic:blipFill>
                        <pic:spPr bwMode="auto">
                          <a:xfrm>
                            <a:off x="0" y="0"/>
                            <a:ext cx="447675" cy="5429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5" w:type="dxa"/>
            <w:tcBorders>
              <w:bottom w:val="single" w:sz="2" w:space="0" w:color="4B5088"/>
            </w:tcBorders>
            <w:vAlign w:val="center"/>
          </w:tcPr>
          <w:p>
            <w:pPr>
              <w:pStyle w:val="TableContents"/>
              <w:bidi w:val="0"/>
              <w:spacing w:lineRule="atLeast" w:line="220" w:before="0" w:after="0"/>
              <w:jc w:val="left"/>
              <w:rPr>
                <w:b/>
                <w:color w:val="1F2668"/>
                <w:sz w:val="18"/>
              </w:rPr>
            </w:pPr>
            <w:r>
              <w:rPr>
                <w:b/>
                <w:color w:val="1F2668"/>
                <w:sz w:val="18"/>
              </w:rPr>
              <w:t>Marc Holliday</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2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2"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57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tcBorders>
              <w:bottom w:val="single" w:sz="2" w:space="0" w:color="4B5088"/>
            </w:tcBorders>
            <w:vAlign w:val="center"/>
          </w:tcPr>
          <w:p>
            <w:pPr>
              <w:pStyle w:val="TableContents"/>
              <w:bidi w:val="0"/>
              <w:spacing w:lineRule="atLeast" w:line="220" w:before="0" w:after="0"/>
              <w:jc w:val="center"/>
              <w:rPr>
                <w:spacing w:val="-2"/>
                <w:sz w:val="18"/>
              </w:rPr>
            </w:pPr>
            <w:r>
              <w:rPr>
                <w:spacing w:val="-2"/>
                <w:sz w:val="18"/>
              </w:rPr>
              <w:t xml:space="preserve">2001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56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shd w:fill="4B508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25" w:type="dxa"/>
            <w:tcBorders>
              <w:bottom w:val="single" w:sz="2" w:space="0" w:color="4B5088"/>
            </w:tcBorders>
            <w:vAlign w:val="center"/>
          </w:tcPr>
          <w:p>
            <w:pPr>
              <w:pStyle w:val="TableContents"/>
              <w:bidi w:val="0"/>
              <w:spacing w:before="0" w:after="0"/>
              <w:jc w:val="center"/>
              <w:rPr>
                <w:b/>
                <w:color w:val="83AD40"/>
                <w:sz w:val="22"/>
              </w:rPr>
            </w:pPr>
            <w:r>
              <w:rPr>
                <w:b/>
                <w:color w:val="83AD40"/>
                <w:sz w:val="22"/>
              </w:rPr>
              <w:t>C</w:t>
            </w:r>
          </w:p>
        </w:tc>
        <w:tc>
          <w:tcPr>
            <w:tcW w:w="158" w:type="dxa"/>
            <w:tcBorders>
              <w:bottom w:val="single" w:sz="2" w:space="0" w:color="4B5088"/>
            </w:tcBorders>
            <w:vAlign w:val="center"/>
          </w:tcPr>
          <w:p>
            <w:pPr>
              <w:pStyle w:val="TableContents"/>
              <w:bidi w:val="0"/>
              <w:spacing w:before="0" w:after="283"/>
              <w:jc w:val="left"/>
              <w:rPr/>
            </w:pPr>
            <w:r>
              <w:rPr/>
              <w:t>​</w:t>
            </w:r>
          </w:p>
        </w:tc>
      </w:tr>
      <w:tr>
        <w:trPr/>
        <w:tc>
          <w:tcPr>
            <w:tcW w:w="830" w:type="dxa"/>
            <w:tcBorders>
              <w:bottom w:val="single" w:sz="8" w:space="0" w:color="1F2668"/>
            </w:tcBorders>
            <w:tcMar>
              <w:bottom w:w="85" w:type="dxa"/>
            </w:tcMar>
            <w:vAlign w:val="center"/>
          </w:tcPr>
          <w:p>
            <w:pPr>
              <w:pStyle w:val="TableContents"/>
              <w:bidi w:val="0"/>
              <w:spacing w:before="0" w:after="0"/>
              <w:jc w:val="center"/>
              <w:rPr/>
            </w:pPr>
            <w:r>
              <w:rPr/>
              <w:drawing>
                <wp:inline distT="0" distB="0" distL="0" distR="0">
                  <wp:extent cx="447675" cy="542925"/>
                  <wp:effectExtent l="0" t="0" r="0" b="0"/>
                  <wp:docPr id="20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5" descr=""/>
                          <pic:cNvPicPr>
                            <a:picLocks noChangeAspect="1" noChangeArrowheads="1"/>
                          </pic:cNvPicPr>
                        </pic:nvPicPr>
                        <pic:blipFill>
                          <a:blip r:embed="rId94"/>
                          <a:stretch>
                            <a:fillRect/>
                          </a:stretch>
                        </pic:blipFill>
                        <pic:spPr bwMode="auto">
                          <a:xfrm>
                            <a:off x="0" y="0"/>
                            <a:ext cx="447675" cy="542925"/>
                          </a:xfrm>
                          <a:prstGeom prst="rect">
                            <a:avLst/>
                          </a:prstGeom>
                        </pic:spPr>
                      </pic:pic>
                    </a:graphicData>
                  </a:graphic>
                </wp:inline>
              </w:drawing>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975" w:type="dxa"/>
            <w:tcBorders>
              <w:bottom w:val="single" w:sz="8" w:space="0" w:color="1F2668"/>
            </w:tcBorders>
            <w:vAlign w:val="center"/>
          </w:tcPr>
          <w:p>
            <w:pPr>
              <w:pStyle w:val="TableContents"/>
              <w:bidi w:val="0"/>
              <w:spacing w:lineRule="atLeast" w:line="220" w:before="0" w:after="0"/>
              <w:jc w:val="left"/>
              <w:rPr>
                <w:b/>
                <w:color w:val="1F2668"/>
                <w:sz w:val="18"/>
              </w:rPr>
            </w:pPr>
            <w:r>
              <w:rPr>
                <w:b/>
                <w:color w:val="1F2668"/>
                <w:sz w:val="18"/>
              </w:rPr>
              <w:t>Andrew W. Mathias</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23"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402" w:type="dxa"/>
            <w:tcBorders>
              <w:bottom w:val="single" w:sz="8" w:space="0" w:color="1F2668"/>
            </w:tcBorders>
            <w:vAlign w:val="center"/>
          </w:tcPr>
          <w:p>
            <w:pPr>
              <w:pStyle w:val="TableContents"/>
              <w:bidi w:val="0"/>
              <w:spacing w:lineRule="atLeast" w:line="220" w:before="0" w:after="0"/>
              <w:jc w:val="center"/>
              <w:rPr>
                <w:spacing w:val="-2"/>
                <w:sz w:val="18"/>
              </w:rPr>
            </w:pPr>
            <w:r>
              <w:rPr>
                <w:spacing w:val="-2"/>
                <w:sz w:val="18"/>
              </w:rPr>
              <w:t xml:space="preserve">50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03"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766" w:type="dxa"/>
            <w:tcBorders>
              <w:bottom w:val="single" w:sz="8" w:space="0" w:color="1F2668"/>
            </w:tcBorders>
            <w:vAlign w:val="center"/>
          </w:tcPr>
          <w:p>
            <w:pPr>
              <w:pStyle w:val="TableContents"/>
              <w:bidi w:val="0"/>
              <w:spacing w:lineRule="atLeast" w:line="220" w:before="0" w:after="0"/>
              <w:jc w:val="center"/>
              <w:rPr>
                <w:spacing w:val="-2"/>
                <w:sz w:val="18"/>
              </w:rPr>
            </w:pPr>
            <w:r>
              <w:rPr>
                <w:spacing w:val="-2"/>
                <w:sz w:val="18"/>
              </w:rPr>
              <w:t xml:space="preserve">2014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340"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5"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56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shd w:fill="4B508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25" w:type="dxa"/>
            <w:tcBorders>
              <w:bottom w:val="single" w:sz="8" w:space="0" w:color="1F2668"/>
            </w:tcBorders>
            <w:vAlign w:val="center"/>
          </w:tcPr>
          <w:p>
            <w:pPr>
              <w:pStyle w:val="TableContents"/>
              <w:bidi w:val="0"/>
              <w:spacing w:before="0" w:after="0"/>
              <w:jc w:val="center"/>
              <w:rPr>
                <w:b/>
                <w:color w:val="1F2668"/>
                <w:sz w:val="22"/>
              </w:rPr>
            </w:pPr>
            <w:r>
              <w:rPr>
                <w:b/>
                <w:color w:val="1F2668"/>
                <w:sz w:val="22"/>
              </w:rPr>
              <w:t>M</w:t>
            </w:r>
          </w:p>
        </w:tc>
        <w:tc>
          <w:tcPr>
            <w:tcW w:w="158" w:type="dxa"/>
            <w:tcBorders>
              <w:bottom w:val="single" w:sz="8" w:space="0" w:color="1F2668"/>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313"/>
        <w:gridCol w:w="109"/>
        <w:gridCol w:w="109"/>
        <w:gridCol w:w="2712"/>
        <w:gridCol w:w="109"/>
        <w:gridCol w:w="109"/>
        <w:gridCol w:w="4564"/>
        <w:gridCol w:w="156"/>
      </w:tblGrid>
      <w:tr>
        <w:trPr/>
        <w:tc>
          <w:tcPr>
            <w:tcW w:w="124" w:type="dxa"/>
            <w:tcBorders/>
            <w:vAlign w:val="center"/>
          </w:tcPr>
          <w:p>
            <w:pPr>
              <w:pStyle w:val="TableContents"/>
              <w:bidi w:val="0"/>
              <w:spacing w:before="0" w:after="283"/>
              <w:jc w:val="left"/>
              <w:rPr/>
            </w:pPr>
            <w:r>
              <w:rPr/>
              <w:t>​</w:t>
            </w:r>
          </w:p>
        </w:tc>
        <w:tc>
          <w:tcPr>
            <w:tcW w:w="1313" w:type="dxa"/>
            <w:tcBorders/>
            <w:vAlign w:val="center"/>
          </w:tcPr>
          <w:p>
            <w:pPr>
              <w:pStyle w:val="TableContents"/>
              <w:bidi w:val="0"/>
              <w:spacing w:before="0" w:after="0"/>
              <w:jc w:val="left"/>
              <w:rPr>
                <w:b/>
              </w:rPr>
            </w:pPr>
            <w:r>
              <w:rPr>
                <w:b/>
                <w:color w:val="83AD40"/>
              </w:rPr>
              <w:t>C</w:t>
            </w:r>
            <w:r>
              <w:rPr>
                <w:b/>
                <w:spacing w:val="-2"/>
              </w:rPr>
              <w:t xml:space="preserve"> </w:t>
            </w:r>
            <w:r>
              <w:rPr>
                <w:b w:val="false"/>
                <w:spacing w:val="-2"/>
              </w:rPr>
              <w:t xml:space="preserv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0"/>
              <w:jc w:val="left"/>
              <w:rPr>
                <w:b/>
              </w:rPr>
            </w:pPr>
            <w:r>
              <w:rPr>
                <w:b/>
                <w:color w:val="1F2668"/>
              </w:rPr>
              <w:t>AC</w:t>
            </w:r>
            <w:r>
              <w:rPr>
                <w:b/>
                <w:spacing w:val="-2"/>
              </w:rPr>
              <w:t xml:space="preserve"> </w:t>
            </w:r>
            <w:r>
              <w:rPr>
                <w:b w:val="false"/>
                <w:spacing w:val="-2"/>
              </w:rPr>
              <w:t xml:space="preserve">= Audit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64" w:type="dxa"/>
            <w:tcBorders/>
            <w:vAlign w:val="center"/>
          </w:tcPr>
          <w:p>
            <w:pPr>
              <w:pStyle w:val="TableContents"/>
              <w:bidi w:val="0"/>
              <w:spacing w:before="0" w:after="0"/>
              <w:jc w:val="left"/>
              <w:rPr>
                <w:b/>
              </w:rPr>
            </w:pPr>
            <w:r>
              <w:rPr>
                <w:b/>
                <w:color w:val="1F2668"/>
              </w:rPr>
              <w:t>NCGC</w:t>
            </w:r>
            <w:r>
              <w:rPr>
                <w:b/>
                <w:spacing w:val="-2"/>
              </w:rPr>
              <w:t xml:space="preserve"> </w:t>
            </w:r>
            <w:r>
              <w:rPr>
                <w:b w:val="false"/>
                <w:spacing w:val="-2"/>
              </w:rPr>
              <w:t xml:space="preserve">= Nominating and Corporate Governance Committee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13" w:type="dxa"/>
            <w:tcBorders/>
            <w:vAlign w:val="center"/>
          </w:tcPr>
          <w:p>
            <w:pPr>
              <w:pStyle w:val="TableContents"/>
              <w:bidi w:val="0"/>
              <w:spacing w:before="0" w:after="283"/>
              <w:jc w:val="left"/>
              <w:rPr/>
            </w:pPr>
            <w:r>
              <w:rPr>
                <w:color w:val="1F2668"/>
              </w:rPr>
              <w:t>M</w:t>
            </w:r>
            <w:r>
              <w:rPr>
                <w:spacing w:val="-2"/>
              </w:rPr>
              <w:t xml:space="preserve"> </w:t>
            </w:r>
            <w:r>
              <w:rPr>
                <w:b w:val="false"/>
                <w:spacing w:val="-2"/>
              </w:rPr>
              <w:t xml:space="preserv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2" w:type="dxa"/>
            <w:tcBorders/>
            <w:vAlign w:val="center"/>
          </w:tcPr>
          <w:p>
            <w:pPr>
              <w:pStyle w:val="TableContents"/>
              <w:bidi w:val="0"/>
              <w:spacing w:before="0" w:after="283"/>
              <w:jc w:val="left"/>
              <w:rPr/>
            </w:pPr>
            <w:r>
              <w:rPr>
                <w:color w:val="1F2668"/>
              </w:rPr>
              <w:t>CC</w:t>
            </w:r>
            <w:r>
              <w:rPr>
                <w:spacing w:val="-2"/>
              </w:rPr>
              <w:t xml:space="preserve"> </w:t>
            </w:r>
            <w:r>
              <w:rPr>
                <w:b w:val="false"/>
                <w:spacing w:val="-2"/>
              </w:rPr>
              <w:t xml:space="preserve">= Compensation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64" w:type="dxa"/>
            <w:tcBorders/>
            <w:vAlign w:val="center"/>
          </w:tcPr>
          <w:p>
            <w:pPr>
              <w:pStyle w:val="TableContents"/>
              <w:bidi w:val="0"/>
              <w:spacing w:before="0" w:after="283"/>
              <w:jc w:val="left"/>
              <w:rPr/>
            </w:pPr>
            <w:r>
              <w:rPr>
                <w:color w:val="1F2668"/>
              </w:rPr>
              <w:t>EC</w:t>
            </w:r>
            <w:r>
              <w:rPr>
                <w:spacing w:val="-2"/>
              </w:rPr>
              <w:t xml:space="preserve"> </w:t>
            </w:r>
            <w:r>
              <w:rPr>
                <w:b w:val="false"/>
                <w:spacing w:val="-2"/>
              </w:rPr>
              <w:t>= Executive Committee</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32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If our full slate of director nominees is elected at the Annual Meeting, then following the Annual Meeting, Board committee membership will be as follows: Audit Committee—Lauren B. Dillard (Chair), Carol N. Brown and Craig M. Hatkoff; Compensation Committee—Lauren B. Dillard (Interim Chair), John H. Alschuler and Carol N. Brown; Nominating and Corporate Governance Committee—Craig M. Hatkoff (Chair), John H. Alschuler and Carol N. Brown; and Executive Committee—Marc Holliday (Chair), John H. Alschuler, Steven L. Green and Andrew W. Mathias. Ms. Dillard will chair the Compensation Committee on an interim basis following the Annual Meeting, pending the appointment of a replacement chairperson. </w:t>
      </w:r>
      <w:r>
        <mc:AlternateContent>
          <mc:Choice Requires="wps">
            <w:drawing>
              <wp:anchor behindDoc="0" distT="203200" distB="0" distL="0" distR="0" simplePos="0" locked="0" layoutInCell="1" allowOverlap="1" relativeHeight="445">
                <wp:simplePos x="0" y="0"/>
                <wp:positionH relativeFrom="column">
                  <wp:align>left</wp:align>
                </wp:positionH>
                <wp:positionV relativeFrom="line">
                  <wp:align>top</wp:align>
                </wp:positionV>
                <wp:extent cx="254000" cy="254000"/>
                <wp:effectExtent l="0" t="0" r="0" b="0"/>
                <wp:wrapSquare wrapText="right"/>
                <wp:docPr id="203" name="Frame11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matrix below represents some of the key skills that our Board has identified as particularly valuable to the effective oversight of the Company and the execution of our strategy. This matrix highlights the depth and breadth of skills of our director nominees.</w:t>
      </w:r>
      <w:r>
        <w:rPr>
          <w:rFonts w:ascii="Arial;Helvetica;sans-serif" w:hAnsi="Arial;Helvetica;sans-serif"/>
          <w:b w:val="false"/>
          <w:i w:val="false"/>
          <w:caps w:val="false"/>
          <w:smallCaps w:val="false"/>
          <w:color w:val="000000"/>
          <w:spacing w:val="4"/>
          <w:sz w:val="18"/>
        </w:rPr>
        <w:t xml:space="preserve"> </w:t>
      </w:r>
    </w:p>
    <w:tbl>
      <w:tblPr>
        <w:tblW w:w="11167" w:type="dxa"/>
        <w:jc w:val="left"/>
        <w:tblInd w:w="900" w:type="dxa"/>
        <w:tblLayout w:type="fixed"/>
        <w:tblCellMar>
          <w:top w:w="0" w:type="dxa"/>
          <w:left w:w="0" w:type="dxa"/>
          <w:bottom w:w="50" w:type="dxa"/>
          <w:right w:w="0" w:type="dxa"/>
        </w:tblCellMar>
      </w:tblPr>
      <w:tblGrid>
        <w:gridCol w:w="731"/>
        <w:gridCol w:w="109"/>
        <w:gridCol w:w="109"/>
        <w:gridCol w:w="1426"/>
        <w:gridCol w:w="109"/>
        <w:gridCol w:w="109"/>
        <w:gridCol w:w="109"/>
        <w:gridCol w:w="109"/>
        <w:gridCol w:w="109"/>
        <w:gridCol w:w="109"/>
        <w:gridCol w:w="109"/>
        <w:gridCol w:w="1029"/>
        <w:gridCol w:w="109"/>
        <w:gridCol w:w="109"/>
        <w:gridCol w:w="109"/>
        <w:gridCol w:w="770"/>
        <w:gridCol w:w="109"/>
        <w:gridCol w:w="109"/>
        <w:gridCol w:w="109"/>
        <w:gridCol w:w="772"/>
        <w:gridCol w:w="109"/>
        <w:gridCol w:w="109"/>
        <w:gridCol w:w="109"/>
        <w:gridCol w:w="695"/>
        <w:gridCol w:w="109"/>
        <w:gridCol w:w="109"/>
        <w:gridCol w:w="109"/>
        <w:gridCol w:w="847"/>
        <w:gridCol w:w="109"/>
        <w:gridCol w:w="109"/>
        <w:gridCol w:w="109"/>
        <w:gridCol w:w="938"/>
        <w:gridCol w:w="109"/>
        <w:gridCol w:w="109"/>
        <w:gridCol w:w="109"/>
        <w:gridCol w:w="862"/>
        <w:gridCol w:w="154"/>
      </w:tblGrid>
      <w:tr>
        <w:trPr/>
        <w:tc>
          <w:tcPr>
            <w:tcW w:w="731" w:type="dxa"/>
            <w:tcBorders>
              <w:bottom w:val="single" w:sz="4" w:space="0" w:color="1F2668"/>
            </w:tcBorders>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vAlign w:val="center"/>
          </w:tcPr>
          <w:p>
            <w:pPr>
              <w:pStyle w:val="TableContents"/>
              <w:bidi w:val="0"/>
              <w:spacing w:before="0" w:after="0"/>
              <w:jc w:val="left"/>
              <w:rPr>
                <w:spacing w:val="2"/>
                <w:sz w:val="16"/>
              </w:rPr>
            </w:pPr>
            <w:r>
              <w:rPr>
                <w:spacing w:val="2"/>
                <w:sz w:val="16"/>
              </w:rPr>
              <w:t xml:space="preserve">Skills, Experiences and Attributes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vAlign w:val="center"/>
          </w:tcPr>
          <w:p>
            <w:pPr>
              <w:pStyle w:val="TableContents"/>
              <w:bidi w:val="0"/>
              <w:spacing w:before="0" w:after="0"/>
              <w:jc w:val="center"/>
              <w:rPr>
                <w:spacing w:val="1"/>
              </w:rPr>
            </w:pPr>
            <w:r>
              <w:rPr>
                <w:spacing w:val="1"/>
              </w:rPr>
              <w:t xml:space="preserve">Alschuler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vAlign w:val="center"/>
          </w:tcPr>
          <w:p>
            <w:pPr>
              <w:pStyle w:val="TableContents"/>
              <w:bidi w:val="0"/>
              <w:spacing w:before="0" w:after="0"/>
              <w:jc w:val="center"/>
              <w:rPr>
                <w:spacing w:val="1"/>
              </w:rPr>
            </w:pPr>
            <w:r>
              <w:rPr>
                <w:spacing w:val="1"/>
              </w:rPr>
              <w:t xml:space="preserve">Brown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vAlign w:val="center"/>
          </w:tcPr>
          <w:p>
            <w:pPr>
              <w:pStyle w:val="TableContents"/>
              <w:bidi w:val="0"/>
              <w:spacing w:before="0" w:after="0"/>
              <w:jc w:val="center"/>
              <w:rPr>
                <w:spacing w:val="1"/>
              </w:rPr>
            </w:pPr>
            <w:r>
              <w:rPr>
                <w:spacing w:val="1"/>
              </w:rPr>
              <w:t xml:space="preserve">Dillard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vAlign w:val="center"/>
          </w:tcPr>
          <w:p>
            <w:pPr>
              <w:pStyle w:val="TableContents"/>
              <w:bidi w:val="0"/>
              <w:spacing w:before="0" w:after="0"/>
              <w:jc w:val="center"/>
              <w:rPr>
                <w:spacing w:val="1"/>
              </w:rPr>
            </w:pPr>
            <w:r>
              <w:rPr>
                <w:spacing w:val="1"/>
              </w:rPr>
              <w:t xml:space="preserve">Green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vAlign w:val="center"/>
          </w:tcPr>
          <w:p>
            <w:pPr>
              <w:pStyle w:val="TableContents"/>
              <w:bidi w:val="0"/>
              <w:spacing w:before="0" w:after="0"/>
              <w:jc w:val="center"/>
              <w:rPr>
                <w:spacing w:val="1"/>
              </w:rPr>
            </w:pPr>
            <w:r>
              <w:rPr>
                <w:spacing w:val="1"/>
              </w:rPr>
              <w:t xml:space="preserve">Hatkoff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vAlign w:val="center"/>
          </w:tcPr>
          <w:p>
            <w:pPr>
              <w:pStyle w:val="TableContents"/>
              <w:bidi w:val="0"/>
              <w:spacing w:before="0" w:after="0"/>
              <w:jc w:val="center"/>
              <w:rPr>
                <w:spacing w:val="1"/>
              </w:rPr>
            </w:pPr>
            <w:r>
              <w:rPr>
                <w:spacing w:val="1"/>
              </w:rPr>
              <w:t xml:space="preserve">Holliday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vAlign w:val="center"/>
          </w:tcPr>
          <w:p>
            <w:pPr>
              <w:pStyle w:val="TableContents"/>
              <w:bidi w:val="0"/>
              <w:spacing w:before="0" w:after="0"/>
              <w:jc w:val="center"/>
              <w:rPr>
                <w:spacing w:val="1"/>
              </w:rPr>
            </w:pPr>
            <w:r>
              <w:rPr>
                <w:spacing w:val="1"/>
              </w:rPr>
              <w:t xml:space="preserve">Mathias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71475" cy="390525"/>
                  <wp:effectExtent l="0" t="0" r="0" b="0"/>
                  <wp:docPr id="20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6" descr=""/>
                          <pic:cNvPicPr>
                            <a:picLocks noChangeAspect="1" noChangeArrowheads="1"/>
                          </pic:cNvPicPr>
                        </pic:nvPicPr>
                        <pic:blipFill>
                          <a:blip r:embed="rId9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Executive Leadership</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7" descr=""/>
                          <pic:cNvPicPr>
                            <a:picLocks noChangeAspect="1" noChangeArrowheads="1"/>
                          </pic:cNvPicPr>
                        </pic:nvPicPr>
                        <pic:blipFill>
                          <a:blip r:embed="rId9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8" descr=""/>
                          <pic:cNvPicPr>
                            <a:picLocks noChangeAspect="1" noChangeArrowheads="1"/>
                          </pic:cNvPicPr>
                        </pic:nvPicPr>
                        <pic:blipFill>
                          <a:blip r:embed="rId9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9" descr=""/>
                          <pic:cNvPicPr>
                            <a:picLocks noChangeAspect="1" noChangeArrowheads="1"/>
                          </pic:cNvPicPr>
                        </pic:nvPicPr>
                        <pic:blipFill>
                          <a:blip r:embed="rId9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80" descr=""/>
                          <pic:cNvPicPr>
                            <a:picLocks noChangeAspect="1" noChangeArrowheads="1"/>
                          </pic:cNvPicPr>
                        </pic:nvPicPr>
                        <pic:blipFill>
                          <a:blip r:embed="rId9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0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1" descr=""/>
                          <pic:cNvPicPr>
                            <a:picLocks noChangeAspect="1" noChangeArrowheads="1"/>
                          </pic:cNvPicPr>
                        </pic:nvPicPr>
                        <pic:blipFill>
                          <a:blip r:embed="rId10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2" descr=""/>
                          <pic:cNvPicPr>
                            <a:picLocks noChangeAspect="1" noChangeArrowheads="1"/>
                          </pic:cNvPicPr>
                        </pic:nvPicPr>
                        <pic:blipFill>
                          <a:blip r:embed="rId101"/>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71475" cy="371475"/>
                  <wp:effectExtent l="0" t="0" r="0" b="0"/>
                  <wp:docPr id="21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83" descr=""/>
                          <pic:cNvPicPr>
                            <a:picLocks noChangeAspect="1" noChangeArrowheads="1"/>
                          </pic:cNvPicPr>
                        </pic:nvPicPr>
                        <pic:blipFill>
                          <a:blip r:embed="rId102"/>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Finance/Capital Markets</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4" descr=""/>
                          <pic:cNvPicPr>
                            <a:picLocks noChangeAspect="1" noChangeArrowheads="1"/>
                          </pic:cNvPicPr>
                        </pic:nvPicPr>
                        <pic:blipFill>
                          <a:blip r:embed="rId10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5" descr=""/>
                          <pic:cNvPicPr>
                            <a:picLocks noChangeAspect="1" noChangeArrowheads="1"/>
                          </pic:cNvPicPr>
                        </pic:nvPicPr>
                        <pic:blipFill>
                          <a:blip r:embed="rId10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86" descr=""/>
                          <pic:cNvPicPr>
                            <a:picLocks noChangeAspect="1" noChangeArrowheads="1"/>
                          </pic:cNvPicPr>
                        </pic:nvPicPr>
                        <pic:blipFill>
                          <a:blip r:embed="rId10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7" descr=""/>
                          <pic:cNvPicPr>
                            <a:picLocks noChangeAspect="1" noChangeArrowheads="1"/>
                          </pic:cNvPicPr>
                        </pic:nvPicPr>
                        <pic:blipFill>
                          <a:blip r:embed="rId10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88" descr=""/>
                          <pic:cNvPicPr>
                            <a:picLocks noChangeAspect="1" noChangeArrowheads="1"/>
                          </pic:cNvPicPr>
                        </pic:nvPicPr>
                        <pic:blipFill>
                          <a:blip r:embed="rId10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9" descr=""/>
                          <pic:cNvPicPr>
                            <a:picLocks noChangeAspect="1" noChangeArrowheads="1"/>
                          </pic:cNvPicPr>
                        </pic:nvPicPr>
                        <pic:blipFill>
                          <a:blip r:embed="rId108"/>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409575"/>
                  <wp:effectExtent l="0" t="0" r="0" b="0"/>
                  <wp:docPr id="21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0" descr=""/>
                          <pic:cNvPicPr>
                            <a:picLocks noChangeAspect="1" noChangeArrowheads="1"/>
                          </pic:cNvPicPr>
                        </pic:nvPicPr>
                        <pic:blipFill>
                          <a:blip r:embed="rId10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Risk Management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1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1" descr=""/>
                          <pic:cNvPicPr>
                            <a:picLocks noChangeAspect="1" noChangeArrowheads="1"/>
                          </pic:cNvPicPr>
                        </pic:nvPicPr>
                        <pic:blipFill>
                          <a:blip r:embed="rId11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2" descr=""/>
                          <pic:cNvPicPr>
                            <a:picLocks noChangeAspect="1" noChangeArrowheads="1"/>
                          </pic:cNvPicPr>
                        </pic:nvPicPr>
                        <pic:blipFill>
                          <a:blip r:embed="rId11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3" descr=""/>
                          <pic:cNvPicPr>
                            <a:picLocks noChangeAspect="1" noChangeArrowheads="1"/>
                          </pic:cNvPicPr>
                        </pic:nvPicPr>
                        <pic:blipFill>
                          <a:blip r:embed="rId11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94" descr=""/>
                          <pic:cNvPicPr>
                            <a:picLocks noChangeAspect="1" noChangeArrowheads="1"/>
                          </pic:cNvPicPr>
                        </pic:nvPicPr>
                        <pic:blipFill>
                          <a:blip r:embed="rId11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5" descr=""/>
                          <pic:cNvPicPr>
                            <a:picLocks noChangeAspect="1" noChangeArrowheads="1"/>
                          </pic:cNvPicPr>
                        </pic:nvPicPr>
                        <pic:blipFill>
                          <a:blip r:embed="rId11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6" descr=""/>
                          <pic:cNvPicPr>
                            <a:picLocks noChangeAspect="1" noChangeArrowheads="1"/>
                          </pic:cNvPicPr>
                        </pic:nvPicPr>
                        <pic:blipFill>
                          <a:blip r:embed="rId11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97" descr=""/>
                          <pic:cNvPicPr>
                            <a:picLocks noChangeAspect="1" noChangeArrowheads="1"/>
                          </pic:cNvPicPr>
                        </pic:nvPicPr>
                        <pic:blipFill>
                          <a:blip r:embed="rId116"/>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400050" cy="400050"/>
                  <wp:effectExtent l="0" t="0" r="0" b="0"/>
                  <wp:docPr id="22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8" descr=""/>
                          <pic:cNvPicPr>
                            <a:picLocks noChangeAspect="1" noChangeArrowheads="1"/>
                          </pic:cNvPicPr>
                        </pic:nvPicPr>
                        <pic:blipFill>
                          <a:blip r:embed="rId117"/>
                          <a:stretch>
                            <a:fillRect/>
                          </a:stretch>
                        </pic:blipFill>
                        <pic:spPr bwMode="auto">
                          <a:xfrm>
                            <a:off x="0" y="0"/>
                            <a:ext cx="400050" cy="40005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Public Company Board Service/​Corporate Governance</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9" descr=""/>
                          <pic:cNvPicPr>
                            <a:picLocks noChangeAspect="1" noChangeArrowheads="1"/>
                          </pic:cNvPicPr>
                        </pic:nvPicPr>
                        <pic:blipFill>
                          <a:blip r:embed="rId11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0" descr=""/>
                          <pic:cNvPicPr>
                            <a:picLocks noChangeAspect="1" noChangeArrowheads="1"/>
                          </pic:cNvPicPr>
                        </pic:nvPicPr>
                        <pic:blipFill>
                          <a:blip r:embed="rId11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2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01" descr=""/>
                          <pic:cNvPicPr>
                            <a:picLocks noChangeAspect="1" noChangeArrowheads="1"/>
                          </pic:cNvPicPr>
                        </pic:nvPicPr>
                        <pic:blipFill>
                          <a:blip r:embed="rId12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33375" cy="304800"/>
                  <wp:effectExtent l="0" t="0" r="0" b="0"/>
                  <wp:docPr id="23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02" descr=""/>
                          <pic:cNvPicPr>
                            <a:picLocks noChangeAspect="1" noChangeArrowheads="1"/>
                          </pic:cNvPicPr>
                        </pic:nvPicPr>
                        <pic:blipFill>
                          <a:blip r:embed="rId12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REIT/Real Estate Industry</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03" descr=""/>
                          <pic:cNvPicPr>
                            <a:picLocks noChangeAspect="1" noChangeArrowheads="1"/>
                          </pic:cNvPicPr>
                        </pic:nvPicPr>
                        <pic:blipFill>
                          <a:blip r:embed="rId12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4" descr=""/>
                          <pic:cNvPicPr>
                            <a:picLocks noChangeAspect="1" noChangeArrowheads="1"/>
                          </pic:cNvPicPr>
                        </pic:nvPicPr>
                        <pic:blipFill>
                          <a:blip r:embed="rId12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05" descr=""/>
                          <pic:cNvPicPr>
                            <a:picLocks noChangeAspect="1" noChangeArrowheads="1"/>
                          </pic:cNvPicPr>
                        </pic:nvPicPr>
                        <pic:blipFill>
                          <a:blip r:embed="rId12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6" descr=""/>
                          <pic:cNvPicPr>
                            <a:picLocks noChangeAspect="1" noChangeArrowheads="1"/>
                          </pic:cNvPicPr>
                        </pic:nvPicPr>
                        <pic:blipFill>
                          <a:blip r:embed="rId12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7" descr=""/>
                          <pic:cNvPicPr>
                            <a:picLocks noChangeAspect="1" noChangeArrowheads="1"/>
                          </pic:cNvPicPr>
                        </pic:nvPicPr>
                        <pic:blipFill>
                          <a:blip r:embed="rId12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08" descr=""/>
                          <pic:cNvPicPr>
                            <a:picLocks noChangeAspect="1" noChangeArrowheads="1"/>
                          </pic:cNvPicPr>
                        </pic:nvPicPr>
                        <pic:blipFill>
                          <a:blip r:embed="rId12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09" descr=""/>
                          <pic:cNvPicPr>
                            <a:picLocks noChangeAspect="1" noChangeArrowheads="1"/>
                          </pic:cNvPicPr>
                        </pic:nvPicPr>
                        <pic:blipFill>
                          <a:blip r:embed="rId128"/>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71475"/>
                  <wp:effectExtent l="0" t="0" r="0" b="0"/>
                  <wp:docPr id="23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10" descr=""/>
                          <pic:cNvPicPr>
                            <a:picLocks noChangeAspect="1" noChangeArrowheads="1"/>
                          </pic:cNvPicPr>
                        </pic:nvPicPr>
                        <pic:blipFill>
                          <a:blip r:embed="rId129"/>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Experience Over Several Business Cycles</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3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1" descr=""/>
                          <pic:cNvPicPr>
                            <a:picLocks noChangeAspect="1" noChangeArrowheads="1"/>
                          </pic:cNvPicPr>
                        </pic:nvPicPr>
                        <pic:blipFill>
                          <a:blip r:embed="rId13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12" descr=""/>
                          <pic:cNvPicPr>
                            <a:picLocks noChangeAspect="1" noChangeArrowheads="1"/>
                          </pic:cNvPicPr>
                        </pic:nvPicPr>
                        <pic:blipFill>
                          <a:blip r:embed="rId13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13" descr=""/>
                          <pic:cNvPicPr>
                            <a:picLocks noChangeAspect="1" noChangeArrowheads="1"/>
                          </pic:cNvPicPr>
                        </pic:nvPicPr>
                        <pic:blipFill>
                          <a:blip r:embed="rId13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14" descr=""/>
                          <pic:cNvPicPr>
                            <a:picLocks noChangeAspect="1" noChangeArrowheads="1"/>
                          </pic:cNvPicPr>
                        </pic:nvPicPr>
                        <pic:blipFill>
                          <a:blip r:embed="rId13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15" descr=""/>
                          <pic:cNvPicPr>
                            <a:picLocks noChangeAspect="1" noChangeArrowheads="1"/>
                          </pic:cNvPicPr>
                        </pic:nvPicPr>
                        <pic:blipFill>
                          <a:blip r:embed="rId13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16" descr=""/>
                          <pic:cNvPicPr>
                            <a:picLocks noChangeAspect="1" noChangeArrowheads="1"/>
                          </pic:cNvPicPr>
                        </pic:nvPicPr>
                        <pic:blipFill>
                          <a:blip r:embed="rId135"/>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52425"/>
                  <wp:effectExtent l="0" t="0" r="0" b="0"/>
                  <wp:docPr id="24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17" descr=""/>
                          <pic:cNvPicPr>
                            <a:picLocks noChangeAspect="1" noChangeArrowheads="1"/>
                          </pic:cNvPicPr>
                        </pic:nvPicPr>
                        <pic:blipFill>
                          <a:blip r:embed="rId136"/>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Talent Management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18" descr=""/>
                          <pic:cNvPicPr>
                            <a:picLocks noChangeAspect="1" noChangeArrowheads="1"/>
                          </pic:cNvPicPr>
                        </pic:nvPicPr>
                        <pic:blipFill>
                          <a:blip r:embed="rId13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19" descr=""/>
                          <pic:cNvPicPr>
                            <a:picLocks noChangeAspect="1" noChangeArrowheads="1"/>
                          </pic:cNvPicPr>
                        </pic:nvPicPr>
                        <pic:blipFill>
                          <a:blip r:embed="rId13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20" descr=""/>
                          <pic:cNvPicPr>
                            <a:picLocks noChangeAspect="1" noChangeArrowheads="1"/>
                          </pic:cNvPicPr>
                        </pic:nvPicPr>
                        <pic:blipFill>
                          <a:blip r:embed="rId13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4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21" descr=""/>
                          <pic:cNvPicPr>
                            <a:picLocks noChangeAspect="1" noChangeArrowheads="1"/>
                          </pic:cNvPicPr>
                        </pic:nvPicPr>
                        <pic:blipFill>
                          <a:blip r:embed="rId140"/>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2" descr=""/>
                          <pic:cNvPicPr>
                            <a:picLocks noChangeAspect="1" noChangeArrowheads="1"/>
                          </pic:cNvPicPr>
                        </pic:nvPicPr>
                        <pic:blipFill>
                          <a:blip r:embed="rId14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23" descr=""/>
                          <pic:cNvPicPr>
                            <a:picLocks noChangeAspect="1" noChangeArrowheads="1"/>
                          </pic:cNvPicPr>
                        </pic:nvPicPr>
                        <pic:blipFill>
                          <a:blip r:embed="rId142"/>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33375" cy="257175"/>
                  <wp:effectExtent l="0" t="0" r="0" b="0"/>
                  <wp:docPr id="25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24" descr=""/>
                          <pic:cNvPicPr>
                            <a:picLocks noChangeAspect="1" noChangeArrowheads="1"/>
                          </pic:cNvPicPr>
                        </pic:nvPicPr>
                        <pic:blipFill>
                          <a:blip r:embed="rId143"/>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Academia</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25" descr=""/>
                          <pic:cNvPicPr>
                            <a:picLocks noChangeAspect="1" noChangeArrowheads="1"/>
                          </pic:cNvPicPr>
                        </pic:nvPicPr>
                        <pic:blipFill>
                          <a:blip r:embed="rId14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26" descr=""/>
                          <pic:cNvPicPr>
                            <a:picLocks noChangeAspect="1" noChangeArrowheads="1"/>
                          </pic:cNvPicPr>
                        </pic:nvPicPr>
                        <pic:blipFill>
                          <a:blip r:embed="rId145"/>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27" descr=""/>
                          <pic:cNvPicPr>
                            <a:picLocks noChangeAspect="1" noChangeArrowheads="1"/>
                          </pic:cNvPicPr>
                        </pic:nvPicPr>
                        <pic:blipFill>
                          <a:blip r:embed="rId146"/>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52425" cy="371475"/>
                  <wp:effectExtent l="0" t="0" r="0" b="0"/>
                  <wp:docPr id="25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28" descr=""/>
                          <pic:cNvPicPr>
                            <a:picLocks noChangeAspect="1" noChangeArrowheads="1"/>
                          </pic:cNvPicPr>
                        </pic:nvPicPr>
                        <pic:blipFill>
                          <a:blip r:embed="rId147"/>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Accounting</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29" descr=""/>
                          <pic:cNvPicPr>
                            <a:picLocks noChangeAspect="1" noChangeArrowheads="1"/>
                          </pic:cNvPicPr>
                        </pic:nvPicPr>
                        <pic:blipFill>
                          <a:blip r:embed="rId14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5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30" descr=""/>
                          <pic:cNvPicPr>
                            <a:picLocks noChangeAspect="1" noChangeArrowheads="1"/>
                          </pic:cNvPicPr>
                        </pic:nvPicPr>
                        <pic:blipFill>
                          <a:blip r:embed="rId14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42900" cy="381000"/>
                  <wp:effectExtent l="0" t="0" r="0" b="0"/>
                  <wp:docPr id="25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31" descr=""/>
                          <pic:cNvPicPr>
                            <a:picLocks noChangeAspect="1" noChangeArrowheads="1"/>
                          </pic:cNvPicPr>
                        </pic:nvPicPr>
                        <pic:blipFill>
                          <a:blip r:embed="rId150"/>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Government/Regulatory Experience</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32" descr=""/>
                          <pic:cNvPicPr>
                            <a:picLocks noChangeAspect="1" noChangeArrowheads="1"/>
                          </pic:cNvPicPr>
                        </pic:nvPicPr>
                        <pic:blipFill>
                          <a:blip r:embed="rId15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33" descr=""/>
                          <pic:cNvPicPr>
                            <a:picLocks noChangeAspect="1" noChangeArrowheads="1"/>
                          </pic:cNvPicPr>
                        </pic:nvPicPr>
                        <pic:blipFill>
                          <a:blip r:embed="rId15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34" descr=""/>
                          <pic:cNvPicPr>
                            <a:picLocks noChangeAspect="1" noChangeArrowheads="1"/>
                          </pic:cNvPicPr>
                        </pic:nvPicPr>
                        <pic:blipFill>
                          <a:blip r:embed="rId153"/>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35" descr=""/>
                          <pic:cNvPicPr>
                            <a:picLocks noChangeAspect="1" noChangeArrowheads="1"/>
                          </pic:cNvPicPr>
                        </pic:nvPicPr>
                        <pic:blipFill>
                          <a:blip r:embed="rId154"/>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36" descr=""/>
                          <pic:cNvPicPr>
                            <a:picLocks noChangeAspect="1" noChangeArrowheads="1"/>
                          </pic:cNvPicPr>
                        </pic:nvPicPr>
                        <pic:blipFill>
                          <a:blip r:embed="rId155"/>
                          <a:stretch>
                            <a:fillRect/>
                          </a:stretch>
                        </pic:blipFill>
                        <pic:spPr bwMode="auto">
                          <a:xfrm>
                            <a:off x="0" y="0"/>
                            <a:ext cx="180975" cy="123825"/>
                          </a:xfrm>
                          <a:prstGeom prst="rect">
                            <a:avLst/>
                          </a:prstGeom>
                        </pic:spPr>
                      </pic:pic>
                    </a:graphicData>
                  </a:graphic>
                </wp:inline>
              </w:drawing>
            </w:r>
            <w:r>
              <w:rPr/>
              <w:t xml:space="preserve"> </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4" w:space="0" w:color="1F2668"/>
            </w:tcBorders>
            <w:tcMar>
              <w:bottom w:w="85" w:type="dxa"/>
            </w:tcMar>
            <w:vAlign w:val="center"/>
          </w:tcPr>
          <w:p>
            <w:pPr>
              <w:pStyle w:val="TableContents"/>
              <w:bidi w:val="0"/>
              <w:spacing w:before="0" w:after="0"/>
              <w:jc w:val="left"/>
              <w:rPr/>
            </w:pPr>
            <w:r>
              <w:rPr/>
              <w:drawing>
                <wp:inline distT="0" distB="0" distL="0" distR="0">
                  <wp:extent cx="371475" cy="295275"/>
                  <wp:effectExtent l="0" t="0" r="0" b="0"/>
                  <wp:docPr id="26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37" descr=""/>
                          <pic:cNvPicPr>
                            <a:picLocks noChangeAspect="1" noChangeArrowheads="1"/>
                          </pic:cNvPicPr>
                        </pic:nvPicPr>
                        <pic:blipFill>
                          <a:blip r:embed="rId156"/>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426" w:type="dxa"/>
            <w:tcBorders>
              <w:bottom w:val="single" w:sz="4" w:space="0" w:color="1F2668"/>
            </w:tcBorders>
            <w:tcMar>
              <w:bottom w:w="28" w:type="dxa"/>
            </w:tcMar>
            <w:vAlign w:val="center"/>
          </w:tcPr>
          <w:p>
            <w:pPr>
              <w:pStyle w:val="TableContents"/>
              <w:bidi w:val="0"/>
              <w:spacing w:lineRule="atLeast" w:line="220" w:before="0" w:after="0"/>
              <w:jc w:val="left"/>
              <w:rPr/>
            </w:pPr>
            <w:r>
              <w:rPr/>
              <w:t>Technology/Cybersecurity</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2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0"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38" descr=""/>
                          <pic:cNvPicPr>
                            <a:picLocks noChangeAspect="1" noChangeArrowheads="1"/>
                          </pic:cNvPicPr>
                        </pic:nvPicPr>
                        <pic:blipFill>
                          <a:blip r:embed="rId157"/>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772"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39" descr=""/>
                          <pic:cNvPicPr>
                            <a:picLocks noChangeAspect="1" noChangeArrowheads="1"/>
                          </pic:cNvPicPr>
                        </pic:nvPicPr>
                        <pic:blipFill>
                          <a:blip r:embed="rId158"/>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695"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47" w:type="dxa"/>
            <w:tcBorders>
              <w:bottom w:val="single" w:sz="4"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6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40" descr=""/>
                          <pic:cNvPicPr>
                            <a:picLocks noChangeAspect="1" noChangeArrowheads="1"/>
                          </pic:cNvPicPr>
                        </pic:nvPicPr>
                        <pic:blipFill>
                          <a:blip r:embed="rId159"/>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938"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4B5088" w:val="clear"/>
            <w:tcMar>
              <w:bottom w:w="28" w:type="dxa"/>
            </w:tcMar>
            <w:vAlign w:val="center"/>
          </w:tcPr>
          <w:p>
            <w:pPr>
              <w:pStyle w:val="TableContents"/>
              <w:bidi w:val="0"/>
              <w:spacing w:before="0" w:after="283"/>
              <w:jc w:val="left"/>
              <w:rPr/>
            </w:pPr>
            <w:r>
              <w:rPr/>
              <w:t>​</w:t>
            </w:r>
          </w:p>
        </w:tc>
        <w:tc>
          <w:tcPr>
            <w:tcW w:w="109" w:type="dxa"/>
            <w:tcBorders>
              <w:bottom w:val="single" w:sz="4" w:space="0" w:color="1F2668"/>
            </w:tcBorders>
            <w:tcMar>
              <w:bottom w:w="28" w:type="dxa"/>
            </w:tcMar>
            <w:vAlign w:val="center"/>
          </w:tcPr>
          <w:p>
            <w:pPr>
              <w:pStyle w:val="TableContents"/>
              <w:bidi w:val="0"/>
              <w:spacing w:before="0" w:after="283"/>
              <w:jc w:val="left"/>
              <w:rPr/>
            </w:pPr>
            <w:r>
              <w:rPr/>
              <w:t>​</w:t>
            </w:r>
          </w:p>
        </w:tc>
        <w:tc>
          <w:tcPr>
            <w:tcW w:w="862" w:type="dxa"/>
            <w:tcBorders>
              <w:bottom w:val="single" w:sz="4" w:space="0" w:color="1F2668"/>
            </w:tcBorders>
            <w:tcMar>
              <w:bottom w:w="28" w:type="dxa"/>
            </w:tcMar>
            <w:vAlign w:val="center"/>
          </w:tcPr>
          <w:p>
            <w:pPr>
              <w:pStyle w:val="TableContents"/>
              <w:bidi w:val="0"/>
              <w:spacing w:before="0" w:after="283"/>
              <w:jc w:val="left"/>
              <w:rPr/>
            </w:pPr>
            <w:r>
              <w:rPr/>
              <w:t>​</w:t>
            </w:r>
          </w:p>
        </w:tc>
        <w:tc>
          <w:tcPr>
            <w:tcW w:w="154" w:type="dxa"/>
            <w:tcBorders>
              <w:bottom w:val="single" w:sz="4" w:space="0" w:color="1F2668"/>
            </w:tcBorders>
            <w:tcMar>
              <w:bottom w:w="28" w:type="dxa"/>
            </w:tcMar>
            <w:vAlign w:val="center"/>
          </w:tcPr>
          <w:p>
            <w:pPr>
              <w:pStyle w:val="TableContents"/>
              <w:bidi w:val="0"/>
              <w:spacing w:before="0" w:after="283"/>
              <w:jc w:val="left"/>
              <w:rPr/>
            </w:pPr>
            <w:r>
              <w:rPr/>
              <w:t>​</w:t>
            </w:r>
          </w:p>
        </w:tc>
      </w:tr>
      <w:tr>
        <w:trPr/>
        <w:tc>
          <w:tcPr>
            <w:tcW w:w="731" w:type="dxa"/>
            <w:tcBorders>
              <w:bottom w:val="single" w:sz="12" w:space="0" w:color="1F2668"/>
            </w:tcBorders>
            <w:tcMar>
              <w:bottom w:w="85" w:type="dxa"/>
            </w:tcMar>
            <w:vAlign w:val="center"/>
          </w:tcPr>
          <w:p>
            <w:pPr>
              <w:pStyle w:val="TableContents"/>
              <w:bidi w:val="0"/>
              <w:spacing w:before="0" w:after="0"/>
              <w:jc w:val="left"/>
              <w:rPr/>
            </w:pPr>
            <w:r>
              <w:rPr/>
              <w:drawing>
                <wp:inline distT="0" distB="0" distL="0" distR="0">
                  <wp:extent cx="381000" cy="381000"/>
                  <wp:effectExtent l="0" t="0" r="0" b="0"/>
                  <wp:docPr id="26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41" descr=""/>
                          <pic:cNvPicPr>
                            <a:picLocks noChangeAspect="1" noChangeArrowheads="1"/>
                          </pic:cNvPicPr>
                        </pic:nvPicPr>
                        <pic:blipFill>
                          <a:blip r:embed="rId160"/>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426" w:type="dxa"/>
            <w:tcBorders>
              <w:bottom w:val="single" w:sz="12" w:space="0" w:color="1F2668"/>
            </w:tcBorders>
            <w:tcMar>
              <w:bottom w:w="28" w:type="dxa"/>
            </w:tcMar>
            <w:vAlign w:val="center"/>
          </w:tcPr>
          <w:p>
            <w:pPr>
              <w:pStyle w:val="TableContents"/>
              <w:bidi w:val="0"/>
              <w:spacing w:lineRule="atLeast" w:line="220" w:before="0" w:after="0"/>
              <w:jc w:val="left"/>
              <w:rPr/>
            </w:pPr>
            <w:r>
              <w:rPr/>
              <w:t>Diversity</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2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70" w:type="dxa"/>
            <w:tcBorders>
              <w:bottom w:val="single" w:sz="12"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7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42" descr=""/>
                          <pic:cNvPicPr>
                            <a:picLocks noChangeAspect="1" noChangeArrowheads="1"/>
                          </pic:cNvPicPr>
                        </pic:nvPicPr>
                        <pic:blipFill>
                          <a:blip r:embed="rId161"/>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772" w:type="dxa"/>
            <w:tcBorders>
              <w:bottom w:val="single" w:sz="12" w:space="0" w:color="1F2668"/>
            </w:tcBorders>
            <w:tcMar>
              <w:bottom w:w="28" w:type="dxa"/>
            </w:tcMar>
            <w:vAlign w:val="center"/>
          </w:tcPr>
          <w:p>
            <w:pPr>
              <w:pStyle w:val="TableContents"/>
              <w:bidi w:val="0"/>
              <w:spacing w:before="0" w:after="0"/>
              <w:jc w:val="center"/>
              <w:rPr/>
            </w:pPr>
            <w:r>
              <w:rPr/>
              <w:drawing>
                <wp:inline distT="0" distB="0" distL="0" distR="0">
                  <wp:extent cx="180975" cy="123825"/>
                  <wp:effectExtent l="0" t="0" r="0" b="0"/>
                  <wp:docPr id="27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43" descr=""/>
                          <pic:cNvPicPr>
                            <a:picLocks noChangeAspect="1" noChangeArrowheads="1"/>
                          </pic:cNvPicPr>
                        </pic:nvPicPr>
                        <pic:blipFill>
                          <a:blip r:embed="rId162"/>
                          <a:stretch>
                            <a:fillRect/>
                          </a:stretch>
                        </pic:blipFill>
                        <pic:spPr bwMode="auto">
                          <a:xfrm>
                            <a:off x="0" y="0"/>
                            <a:ext cx="180975" cy="123825"/>
                          </a:xfrm>
                          <a:prstGeom prst="rect">
                            <a:avLst/>
                          </a:prstGeom>
                        </pic:spPr>
                      </pic:pic>
                    </a:graphicData>
                  </a:graphic>
                </wp:inline>
              </w:drawing>
            </w:r>
            <w:r>
              <w:rPr/>
              <w:t xml:space="preserve"> </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695"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847"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938"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109" w:type="dxa"/>
            <w:tcBorders/>
            <w:shd w:fill="4B5088" w:val="clear"/>
            <w:tcMar>
              <w:bottom w:w="0" w:type="dxa"/>
            </w:tcMar>
            <w:vAlign w:val="center"/>
          </w:tcPr>
          <w:p>
            <w:pPr>
              <w:pStyle w:val="TableContents"/>
              <w:bidi w:val="0"/>
              <w:spacing w:before="0" w:after="283"/>
              <w:jc w:val="left"/>
              <w:rPr/>
            </w:pPr>
            <w:r>
              <w:rPr/>
              <w:t>​</w:t>
            </w:r>
          </w:p>
        </w:tc>
        <w:tc>
          <w:tcPr>
            <w:tcW w:w="109" w:type="dxa"/>
            <w:tcBorders>
              <w:bottom w:val="single" w:sz="12" w:space="0" w:color="1F2668"/>
            </w:tcBorders>
            <w:tcMar>
              <w:bottom w:w="28" w:type="dxa"/>
            </w:tcMar>
            <w:vAlign w:val="center"/>
          </w:tcPr>
          <w:p>
            <w:pPr>
              <w:pStyle w:val="TableContents"/>
              <w:bidi w:val="0"/>
              <w:spacing w:before="0" w:after="283"/>
              <w:jc w:val="left"/>
              <w:rPr/>
            </w:pPr>
            <w:r>
              <w:rPr/>
              <w:t>​</w:t>
            </w:r>
          </w:p>
        </w:tc>
        <w:tc>
          <w:tcPr>
            <w:tcW w:w="862" w:type="dxa"/>
            <w:tcBorders>
              <w:bottom w:val="single" w:sz="12" w:space="0" w:color="1F2668"/>
            </w:tcBorders>
            <w:tcMar>
              <w:bottom w:w="28" w:type="dxa"/>
            </w:tcMar>
            <w:vAlign w:val="center"/>
          </w:tcPr>
          <w:p>
            <w:pPr>
              <w:pStyle w:val="TableContents"/>
              <w:bidi w:val="0"/>
              <w:spacing w:before="0" w:after="283"/>
              <w:jc w:val="left"/>
              <w:rPr/>
            </w:pPr>
            <w:r>
              <w:rPr/>
              <w:t>​</w:t>
            </w:r>
          </w:p>
        </w:tc>
        <w:tc>
          <w:tcPr>
            <w:tcW w:w="154" w:type="dxa"/>
            <w:tcBorders>
              <w:bottom w:val="single" w:sz="12" w:space="0" w:color="1F2668"/>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10" w:after="283"/>
        <w:ind w:left="90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Following the Annual Meeting, our Board will include two female directors, including one racially/ethnically diverse director.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Director Nominees</w:t>
      </w:r>
      <w:r>
        <w:rPr>
          <w:rFonts w:ascii="Arial;Helvetica;sans-serif" w:hAnsi="Arial;Helvetica;sans-serif"/>
          <w:b/>
          <w:i w:val="false"/>
          <w:caps w:val="false"/>
          <w:smallCaps w:val="false"/>
          <w:color w:val="000000"/>
          <w:spacing w:val="5"/>
          <w:sz w:val="26"/>
        </w:rPr>
        <w:t xml:space="preserve"> </w:t>
      </w:r>
    </w:p>
    <w:p>
      <w:pPr>
        <w:pStyle w:val="TextBody"/>
        <w:bidi w:val="0"/>
        <w:spacing w:before="0" w:after="2619"/>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4584700" cy="9972040"/>
                <wp:effectExtent l="0" t="0" r="0" b="0"/>
                <wp:wrapSquare wrapText="right"/>
                <wp:docPr id="272" name="Frame120"/>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provide the Board with the ability to assess the real estate market and the Company’s business from a knowledgeable and informed perspective, from which he provides valuable insights into the Company’s business.</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7"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Executive Chairman of Therme Group US, a privately-held company which designs, builds and operates large scale well-being facilities, since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 of HR&amp;A Advisors Inc., an economic development, real-estate and public policy consulting organization, from 2008 to 2021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Adjunct Associate Professor, Graduate School of Architecture, Planning &amp; Preservation at Columbia University, teaching real estate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Board of Directors of the Center for an Urban Future, Friends of the High Line Inc., and the Sag Harbor Cinema Arts Center, each a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Wesleyan University and Ed.D. degree from the University of Massachusetts at Amherst</w:t>
                            </w:r>
                            <w:r>
                              <w:rPr/>
                              <w:t xml:space="preserve"> </w:t>
                            </w:r>
                          </w:p>
                          <w:p>
                            <w:pPr>
                              <w:pStyle w:val="TextBody"/>
                              <w:bidi w:val="0"/>
                              <w:spacing w:before="0" w:after="0"/>
                              <w:ind w:left="0" w:right="0" w:hanging="0"/>
                              <w:jc w:val="left"/>
                              <w:rPr/>
                            </w:pPr>
                            <w:r>
                              <w:rPr/>
                              <w:t>​</w:t>
                            </w:r>
                          </w:p>
                          <w:p>
                            <w:pPr>
                              <w:pStyle w:val="TextBody"/>
                              <w:bidi w:val="0"/>
                              <w:spacing w:lineRule="atLeast" w:line="260" w:before="269" w:after="283"/>
                              <w:jc w:val="left"/>
                              <w:rPr>
                                <w:b/>
                                <w:color w:val="1F2668"/>
                                <w:sz w:val="22"/>
                              </w:rPr>
                            </w:pPr>
                            <w:r>
                              <w:rPr>
                                <w:b/>
                                <w:color w:val="1F2668"/>
                                <w:sz w:val="22"/>
                              </w:rPr>
                              <w:t>Other Public Board Directorships</w:t>
                            </w:r>
                          </w:p>
                          <w:p>
                            <w:pPr>
                              <w:pStyle w:val="TextBody"/>
                              <w:bidi w:val="0"/>
                              <w:spacing w:lineRule="atLeast" w:line="220" w:before="102" w:after="0"/>
                              <w:ind w:left="200" w:right="0" w:hanging="0"/>
                              <w:jc w:val="left"/>
                              <w:rPr/>
                            </w:pPr>
                            <w:r>
                              <w:rPr>
                                <w:spacing w:val="-2"/>
                              </w:rPr>
                              <w:t>Xenia Hotels and Resorts, Inc. since 2015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The Macerich Company since 2015</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0"/>
                              <w:gridCol w:w="109"/>
                              <w:gridCol w:w="109"/>
                              <w:gridCol w:w="3134"/>
                              <w:gridCol w:w="109"/>
                              <w:gridCol w:w="109"/>
                              <w:gridCol w:w="795"/>
                              <w:gridCol w:w="109"/>
                              <w:gridCol w:w="109"/>
                              <w:gridCol w:w="4622"/>
                              <w:gridCol w:w="156"/>
                            </w:tblGrid>
                            <w:tr>
                              <w:trPr/>
                              <w:tc>
                                <w:tcPr>
                                  <w:tcW w:w="12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0"/>
                                    <w:jc w:val="left"/>
                                    <w:rPr/>
                                  </w:pPr>
                                  <w:r>
                                    <w:rPr/>
                                    <w:drawing>
                                      <wp:inline distT="0" distB="0" distL="0" distR="0">
                                        <wp:extent cx="371475" cy="390525"/>
                                        <wp:effectExtent l="0" t="0" r="0" b="0"/>
                                        <wp:docPr id="27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45" descr=""/>
                                                <pic:cNvPicPr>
                                                  <a:picLocks noChangeAspect="1" noChangeArrowheads="1"/>
                                                </pic:cNvPicPr>
                                              </pic:nvPicPr>
                                              <pic:blipFill>
                                                <a:blip r:embed="rId163"/>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7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46" descr=""/>
                                                <pic:cNvPicPr>
                                                  <a:picLocks noChangeAspect="1" noChangeArrowheads="1"/>
                                                </pic:cNvPicPr>
                                              </pic:nvPicPr>
                                              <pic:blipFill>
                                                <a:blip r:embed="rId164"/>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7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47" descr=""/>
                                                <pic:cNvPicPr>
                                                  <a:picLocks noChangeAspect="1" noChangeArrowheads="1"/>
                                                </pic:cNvPicPr>
                                              </pic:nvPicPr>
                                              <pic:blipFill>
                                                <a:blip r:embed="rId165"/>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7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48" descr=""/>
                                                <pic:cNvPicPr>
                                                  <a:picLocks noChangeAspect="1" noChangeArrowheads="1"/>
                                                </pic:cNvPicPr>
                                              </pic:nvPicPr>
                                              <pic:blipFill>
                                                <a:blip r:embed="rId166"/>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7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49" descr=""/>
                                                <pic:cNvPicPr>
                                                  <a:picLocks noChangeAspect="1" noChangeArrowheads="1"/>
                                                </pic:cNvPicPr>
                                              </pic:nvPicPr>
                                              <pic:blipFill>
                                                <a:blip r:embed="rId167"/>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7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0" descr=""/>
                                                <pic:cNvPicPr>
                                                  <a:picLocks noChangeAspect="1" noChangeArrowheads="1"/>
                                                </pic:cNvPicPr>
                                              </pic:nvPicPr>
                                              <pic:blipFill>
                                                <a:blip r:embed="rId168"/>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7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51" descr=""/>
                                                <pic:cNvPicPr>
                                                  <a:picLocks noChangeAspect="1" noChangeArrowheads="1"/>
                                                </pic:cNvPicPr>
                                              </pic:nvPicPr>
                                              <pic:blipFill>
                                                <a:blip r:embed="rId16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8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52" descr=""/>
                                                <pic:cNvPicPr>
                                                  <a:picLocks noChangeAspect="1" noChangeArrowheads="1"/>
                                                </pic:cNvPicPr>
                                              </pic:nvPicPr>
                                              <pic:blipFill>
                                                <a:blip r:embed="rId170"/>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8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53" descr=""/>
                                                <pic:cNvPicPr>
                                                  <a:picLocks noChangeAspect="1" noChangeArrowheads="1"/>
                                                </pic:cNvPicPr>
                                              </pic:nvPicPr>
                                              <pic:blipFill>
                                                <a:blip r:embed="rId171"/>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provide the Board with the ability to assess the real estate market and the Company’s business from a knowledgeable and informed perspective, from which he provides valuable insights into the Company’s business.</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7"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Executive Chairman of Therme Group US, a privately-held company which designs, builds and operates large scale well-being facilities, since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 of HR&amp;A Advisors Inc., an economic development, real-estate and public policy consulting organization, from 2008 to 2021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Adjunct Associate Professor, Graduate School of Architecture, Planning &amp; Preservation at Columbia University, teaching real estate development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Board of Directors of the Center for an Urban Future, Friends of the High Line Inc., and the Sag Harbor Cinema Arts Center, each a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Wesleyan University and Ed.D. degree from the University of Massachusetts at Amherst</w:t>
                      </w:r>
                      <w:r>
                        <w:rPr/>
                        <w:t xml:space="preserve"> </w:t>
                      </w:r>
                    </w:p>
                    <w:p>
                      <w:pPr>
                        <w:pStyle w:val="TextBody"/>
                        <w:bidi w:val="0"/>
                        <w:spacing w:before="0" w:after="0"/>
                        <w:ind w:left="0" w:right="0" w:hanging="0"/>
                        <w:jc w:val="left"/>
                        <w:rPr/>
                      </w:pPr>
                      <w:r>
                        <w:rPr/>
                        <w:t>​</w:t>
                      </w:r>
                    </w:p>
                    <w:p>
                      <w:pPr>
                        <w:pStyle w:val="TextBody"/>
                        <w:bidi w:val="0"/>
                        <w:spacing w:lineRule="atLeast" w:line="260" w:before="269" w:after="283"/>
                        <w:jc w:val="left"/>
                        <w:rPr>
                          <w:b/>
                          <w:color w:val="1F2668"/>
                          <w:sz w:val="22"/>
                        </w:rPr>
                      </w:pPr>
                      <w:r>
                        <w:rPr>
                          <w:b/>
                          <w:color w:val="1F2668"/>
                          <w:sz w:val="22"/>
                        </w:rPr>
                        <w:t>Other Public Board Directorships</w:t>
                      </w:r>
                    </w:p>
                    <w:p>
                      <w:pPr>
                        <w:pStyle w:val="TextBody"/>
                        <w:bidi w:val="0"/>
                        <w:spacing w:lineRule="atLeast" w:line="220" w:before="102" w:after="0"/>
                        <w:ind w:left="200" w:right="0" w:hanging="0"/>
                        <w:jc w:val="left"/>
                        <w:rPr/>
                      </w:pPr>
                      <w:r>
                        <w:rPr>
                          <w:spacing w:val="-2"/>
                        </w:rPr>
                        <w:t>Xenia Hotels and Resorts, Inc. since 2015</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The Macerich Company since 2015</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5"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0"/>
                        <w:gridCol w:w="109"/>
                        <w:gridCol w:w="109"/>
                        <w:gridCol w:w="3134"/>
                        <w:gridCol w:w="109"/>
                        <w:gridCol w:w="109"/>
                        <w:gridCol w:w="795"/>
                        <w:gridCol w:w="109"/>
                        <w:gridCol w:w="109"/>
                        <w:gridCol w:w="4622"/>
                        <w:gridCol w:w="156"/>
                      </w:tblGrid>
                      <w:tr>
                        <w:trPr/>
                        <w:tc>
                          <w:tcPr>
                            <w:tcW w:w="124" w:type="dxa"/>
                            <w:tcBorders/>
                            <w:vAlign w:val="center"/>
                          </w:tcPr>
                          <w:p>
                            <w:pPr>
                              <w:pStyle w:val="TableContents"/>
                              <w:bidi w:val="0"/>
                              <w:spacing w:before="0" w:after="283"/>
                              <w:jc w:val="left"/>
                              <w:rPr/>
                            </w:pPr>
                            <w:r>
                              <w:rPr/>
                              <w:t>​</w:t>
                            </w:r>
                          </w:p>
                        </w:tc>
                        <w:tc>
                          <w:tcPr>
                            <w:tcW w:w="720" w:type="dxa"/>
                            <w:tcBorders/>
                            <w:vAlign w:val="center"/>
                          </w:tcPr>
                          <w:p>
                            <w:pPr>
                              <w:pStyle w:val="TableContents"/>
                              <w:bidi w:val="0"/>
                              <w:spacing w:before="0" w:after="0"/>
                              <w:jc w:val="left"/>
                              <w:rPr/>
                            </w:pPr>
                            <w:r>
                              <w:rPr/>
                              <w:drawing>
                                <wp:inline distT="0" distB="0" distL="0" distR="0">
                                  <wp:extent cx="371475" cy="390525"/>
                                  <wp:effectExtent l="0" t="0" r="0" b="0"/>
                                  <wp:docPr id="28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45" descr=""/>
                                          <pic:cNvPicPr>
                                            <a:picLocks noChangeAspect="1" noChangeArrowheads="1"/>
                                          </pic:cNvPicPr>
                                        </pic:nvPicPr>
                                        <pic:blipFill>
                                          <a:blip r:embed="rId172"/>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28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46" descr=""/>
                                          <pic:cNvPicPr>
                                            <a:picLocks noChangeAspect="1" noChangeArrowheads="1"/>
                                          </pic:cNvPicPr>
                                        </pic:nvPicPr>
                                        <pic:blipFill>
                                          <a:blip r:embed="rId173"/>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28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47" descr=""/>
                                          <pic:cNvPicPr>
                                            <a:picLocks noChangeAspect="1" noChangeArrowheads="1"/>
                                          </pic:cNvPicPr>
                                        </pic:nvPicPr>
                                        <pic:blipFill>
                                          <a:blip r:embed="rId174"/>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28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48" descr=""/>
                                          <pic:cNvPicPr>
                                            <a:picLocks noChangeAspect="1" noChangeArrowheads="1"/>
                                          </pic:cNvPicPr>
                                        </pic:nvPicPr>
                                        <pic:blipFill>
                                          <a:blip r:embed="rId175"/>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28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49" descr=""/>
                                          <pic:cNvPicPr>
                                            <a:picLocks noChangeAspect="1" noChangeArrowheads="1"/>
                                          </pic:cNvPicPr>
                                        </pic:nvPicPr>
                                        <pic:blipFill>
                                          <a:blip r:embed="rId176"/>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28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50" descr=""/>
                                          <pic:cNvPicPr>
                                            <a:picLocks noChangeAspect="1" noChangeArrowheads="1"/>
                                          </pic:cNvPicPr>
                                        </pic:nvPicPr>
                                        <pic:blipFill>
                                          <a:blip r:embed="rId177"/>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28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51" descr=""/>
                                          <pic:cNvPicPr>
                                            <a:picLocks noChangeAspect="1" noChangeArrowheads="1"/>
                                          </pic:cNvPicPr>
                                        </pic:nvPicPr>
                                        <pic:blipFill>
                                          <a:blip r:embed="rId178"/>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28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52" descr=""/>
                                          <pic:cNvPicPr>
                                            <a:picLocks noChangeAspect="1" noChangeArrowheads="1"/>
                                          </pic:cNvPicPr>
                                        </pic:nvPicPr>
                                        <pic:blipFill>
                                          <a:blip r:embed="rId179"/>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29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53" descr=""/>
                                          <pic:cNvPicPr>
                                            <a:picLocks noChangeAspect="1" noChangeArrowheads="1"/>
                                          </pic:cNvPicPr>
                                        </pic:nvPicPr>
                                        <pic:blipFill>
                                          <a:blip r:embed="rId180"/>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3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2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47">
                <wp:simplePos x="0" y="0"/>
                <wp:positionH relativeFrom="column">
                  <wp:align>left</wp:align>
                </wp:positionH>
                <wp:positionV relativeFrom="line">
                  <wp:posOffset>635</wp:posOffset>
                </wp:positionV>
                <wp:extent cx="1562100" cy="6215380"/>
                <wp:effectExtent l="0" t="0" r="0" b="0"/>
                <wp:wrapSquare wrapText="right"/>
                <wp:docPr id="291" name="Frame117"/>
                <a:graphic xmlns:a="http://schemas.openxmlformats.org/drawingml/2006/main">
                  <a:graphicData uri="http://schemas.microsoft.com/office/word/2010/wordprocessingShape">
                    <wps:wsp>
                      <wps:cNvSpPr txBox="1"/>
                      <wps:spPr>
                        <a:xfrm>
                          <a:off x="0" y="0"/>
                          <a:ext cx="1562100" cy="621538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787" w:type="dxa"/>
                              <w:jc w:val="left"/>
                              <w:tblInd w:w="0" w:type="dxa"/>
                              <w:tblLayout w:type="fixed"/>
                              <w:tblCellMar>
                                <w:top w:w="0" w:type="dxa"/>
                                <w:left w:w="0" w:type="dxa"/>
                                <w:bottom w:w="0" w:type="dxa"/>
                                <w:right w:w="0" w:type="dxa"/>
                              </w:tblCellMar>
                            </w:tblPr>
                            <w:tblGrid>
                              <w:gridCol w:w="124"/>
                              <w:gridCol w:w="109"/>
                              <w:gridCol w:w="52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1" w:type="dxa"/>
                                  <w:tcBorders/>
                                  <w:shd w:fill="1F2668" w:val="clear"/>
                                  <w:vAlign w:val="center"/>
                                </w:tcPr>
                                <w:p>
                                  <w:pPr>
                                    <w:pStyle w:val="TableContents"/>
                                    <w:bidi w:val="0"/>
                                    <w:spacing w:lineRule="atLeast" w:line="280" w:before="0" w:after="0"/>
                                    <w:ind w:left="0" w:right="160" w:hanging="0"/>
                                    <w:jc w:val="left"/>
                                    <w:rPr>
                                      <w:sz w:val="24"/>
                                    </w:rPr>
                                  </w:pPr>
                                  <w:r>
                                    <w:rPr>
                                      <w:sz w:val="24"/>
                                    </w:rPr>
                                    <w:t>JOHN H.</w:t>
                                    <w:br/>
                                    <w:t>ALSCHULER</w:t>
                                  </w:r>
                                </w:p>
                                <w:p>
                                  <w:pPr>
                                    <w:pStyle w:val="TableContents"/>
                                    <w:bidi w:val="0"/>
                                    <w:spacing w:before="200" w:after="283"/>
                                    <w:ind w:left="0" w:right="160" w:hanging="0"/>
                                    <w:jc w:val="left"/>
                                    <w:rPr/>
                                  </w:pPr>
                                  <w:r>
                                    <w:rPr/>
                                    <w:drawing>
                                      <wp:inline distT="0" distB="0" distL="0" distR="0">
                                        <wp:extent cx="1190625" cy="1447800"/>
                                        <wp:effectExtent l="0" t="0" r="0" b="0"/>
                                        <wp:docPr id="29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44" descr=""/>
                                                <pic:cNvPicPr>
                                                  <a:picLocks noChangeAspect="1" noChangeArrowheads="1"/>
                                                </pic:cNvPicPr>
                                              </pic:nvPicPr>
                                              <pic:blipFill>
                                                <a:blip r:embed="rId181"/>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t xml:space="preserve">Lead Independent </w:t>
                                    <w:b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76</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Nominating and Corporate Governance Committee</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9.4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787" w:type="dxa"/>
                        <w:jc w:val="left"/>
                        <w:tblInd w:w="0" w:type="dxa"/>
                        <w:tblLayout w:type="fixed"/>
                        <w:tblCellMar>
                          <w:top w:w="0" w:type="dxa"/>
                          <w:left w:w="0" w:type="dxa"/>
                          <w:bottom w:w="0" w:type="dxa"/>
                          <w:right w:w="0" w:type="dxa"/>
                        </w:tblCellMar>
                      </w:tblPr>
                      <w:tblGrid>
                        <w:gridCol w:w="124"/>
                        <w:gridCol w:w="109"/>
                        <w:gridCol w:w="52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1" w:type="dxa"/>
                            <w:tcBorders/>
                            <w:shd w:fill="1F2668" w:val="clear"/>
                            <w:vAlign w:val="center"/>
                          </w:tcPr>
                          <w:p>
                            <w:pPr>
                              <w:pStyle w:val="TableContents"/>
                              <w:bidi w:val="0"/>
                              <w:spacing w:lineRule="atLeast" w:line="280" w:before="0" w:after="0"/>
                              <w:ind w:left="0" w:right="160" w:hanging="0"/>
                              <w:jc w:val="left"/>
                              <w:rPr>
                                <w:sz w:val="24"/>
                              </w:rPr>
                            </w:pPr>
                            <w:r>
                              <w:rPr>
                                <w:sz w:val="24"/>
                              </w:rPr>
                              <w:t>JOHN H.</w:t>
                              <w:br/>
                              <w:t>ALSCHULER</w:t>
                            </w:r>
                          </w:p>
                          <w:p>
                            <w:pPr>
                              <w:pStyle w:val="TableContents"/>
                              <w:bidi w:val="0"/>
                              <w:spacing w:before="200" w:after="283"/>
                              <w:ind w:left="0" w:right="160" w:hanging="0"/>
                              <w:jc w:val="left"/>
                              <w:rPr/>
                            </w:pPr>
                            <w:r>
                              <w:rPr/>
                              <w:drawing>
                                <wp:inline distT="0" distB="0" distL="0" distR="0">
                                  <wp:extent cx="1190625" cy="1447800"/>
                                  <wp:effectExtent l="0" t="0" r="0" b="0"/>
                                  <wp:docPr id="29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44" descr=""/>
                                          <pic:cNvPicPr>
                                            <a:picLocks noChangeAspect="1" noChangeArrowheads="1"/>
                                          </pic:cNvPicPr>
                                        </pic:nvPicPr>
                                        <pic:blipFill>
                                          <a:blip r:embed="rId182"/>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t xml:space="preserve">Lead Independent </w:t>
                              <w:b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76</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Nominating and Corporate Governance Committee</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29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29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29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29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29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29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30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46">
                <wp:simplePos x="0" y="0"/>
                <wp:positionH relativeFrom="column">
                  <wp:align>left</wp:align>
                </wp:positionH>
                <wp:positionV relativeFrom="line">
                  <wp:align>top</wp:align>
                </wp:positionV>
                <wp:extent cx="114300" cy="350520"/>
                <wp:effectExtent l="0" t="0" r="0" b="0"/>
                <wp:wrapSquare wrapText="right"/>
                <wp:docPr id="301" name="Frame1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447">
                <wp:simplePos x="0" y="0"/>
                <wp:positionH relativeFrom="column">
                  <wp:align>left</wp:align>
                </wp:positionH>
                <wp:positionV relativeFrom="line">
                  <wp:align>top</wp:align>
                </wp:positionV>
                <wp:extent cx="114300" cy="350520"/>
                <wp:effectExtent l="0" t="0" r="0" b="0"/>
                <wp:wrapSquare wrapText="right"/>
                <wp:docPr id="302" name="Frame1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15</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107">
                <wp:simplePos x="0" y="0"/>
                <wp:positionH relativeFrom="column">
                  <wp:align>left</wp:align>
                </wp:positionH>
                <wp:positionV relativeFrom="line">
                  <wp:posOffset>635</wp:posOffset>
                </wp:positionV>
                <wp:extent cx="4584700" cy="8008620"/>
                <wp:effectExtent l="0" t="0" r="0" b="0"/>
                <wp:wrapSquare wrapText="right"/>
                <wp:docPr id="303" name="Frame131"/>
                <a:graphic xmlns:a="http://schemas.openxmlformats.org/drawingml/2006/main">
                  <a:graphicData uri="http://schemas.microsoft.com/office/word/2010/wordprocessingShape">
                    <wps:wsp>
                      <wps:cNvSpPr txBox="1"/>
                      <wps:spPr>
                        <a:xfrm>
                          <a:off x="0" y="0"/>
                          <a:ext cx="4584700" cy="8008620"/>
                        </a:xfrm>
                        <a:prstGeom prst="rect"/>
                        <a:solidFill>
                          <a:srgbClr val="FFFFFF"/>
                        </a:solidFill>
                      </wps:spPr>
                      <wps:txbx>
                        <w:txbxContent>
                          <w:p>
                            <w:pPr>
                              <w:pStyle w:val="TextBody"/>
                              <w:bidi w:val="0"/>
                              <w:spacing w:lineRule="atLeast" w:line="240" w:before="500" w:after="283"/>
                              <w:jc w:val="left"/>
                              <w:rPr/>
                            </w:pPr>
                            <w:r>
                              <w:rPr>
                                <w:spacing w:val="-2"/>
                              </w:rPr>
                              <w:t>Ms. Brown’s extensive experience in academia, including teaching and writing in the areas of property, land use planning, real estate transactions, and housing law, contribute a unique and valuable perspective to the Board.</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60" w:after="0"/>
                              <w:ind w:left="200" w:right="0" w:hanging="0"/>
                              <w:jc w:val="left"/>
                              <w:rPr/>
                            </w:pPr>
                            <w:r>
                              <w:rPr>
                                <w:spacing w:val="-2"/>
                              </w:rPr>
                              <w:t>Professor at the University of Richmond School of Law since 2012, teaching Property Law Survey, Housing Law, Land Use Planning, and Real Estate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Professor at the University of North Carolina School of Law from 2008 to 2012 and Associate Professor from 2007 to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Professor of Law at the University of Alabama School of Law, and Assistant Professor from 2001 to 2004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Sirote &amp; Permutt, P.C. in Birmingham, Alabama focusing on general business, real estate, and consumer finance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McGuire, Woods, Battle &amp; Bootle, L.L.P. in Richmond, Virginia focusing on labor and employment discrimination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Judicial Law Clerk for the Honorable Sharon L. Blackburn, United States District Court, Northern District of Alabama</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B.A. from Duke University and J.D./L.L.M. from Duke University School of Law</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z w:val="22"/>
                              </w:rPr>
                              <w:t>Skills, Experiences and Attributes</w:t>
                            </w:r>
                            <w:r>
                              <w:rPr>
                                <w:b/>
                                <w:color w:val="000000"/>
                                <w:spacing w:val="4"/>
                                <w:sz w:val="22"/>
                              </w:rPr>
                              <w:t xml:space="preserve"> </w:t>
                            </w:r>
                          </w:p>
                          <w:tbl>
                            <w:tblPr>
                              <w:tblW w:w="8585" w:type="dxa"/>
                              <w:jc w:val="left"/>
                              <w:tblInd w:w="0" w:type="dxa"/>
                              <w:tblLayout w:type="fixed"/>
                              <w:tblCellMar>
                                <w:top w:w="0" w:type="dxa"/>
                                <w:left w:w="0" w:type="dxa"/>
                                <w:bottom w:w="0" w:type="dxa"/>
                                <w:right w:w="0" w:type="dxa"/>
                              </w:tblCellMar>
                            </w:tblPr>
                            <w:tblGrid>
                              <w:gridCol w:w="124"/>
                              <w:gridCol w:w="731"/>
                              <w:gridCol w:w="109"/>
                              <w:gridCol w:w="109"/>
                              <w:gridCol w:w="2644"/>
                              <w:gridCol w:w="109"/>
                              <w:gridCol w:w="109"/>
                              <w:gridCol w:w="746"/>
                              <w:gridCol w:w="109"/>
                              <w:gridCol w:w="109"/>
                              <w:gridCol w:w="3532"/>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52425" cy="409575"/>
                                        <wp:effectExtent l="0" t="0" r="0" b="0"/>
                                        <wp:docPr id="30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55" descr=""/>
                                                <pic:cNvPicPr>
                                                  <a:picLocks noChangeAspect="1" noChangeArrowheads="1"/>
                                                </pic:cNvPicPr>
                                              </pic:nvPicPr>
                                              <pic:blipFill>
                                                <a:blip r:embed="rId183"/>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0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56" descr=""/>
                                                <pic:cNvPicPr>
                                                  <a:picLocks noChangeAspect="1" noChangeArrowheads="1"/>
                                                </pic:cNvPicPr>
                                              </pic:nvPicPr>
                                              <pic:blipFill>
                                                <a:blip r:embed="rId184"/>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30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57" descr=""/>
                                                <pic:cNvPicPr>
                                                  <a:picLocks noChangeAspect="1" noChangeArrowheads="1"/>
                                                </pic:cNvPicPr>
                                              </pic:nvPicPr>
                                              <pic:blipFill>
                                                <a:blip r:embed="rId185"/>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0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58" descr=""/>
                                                <pic:cNvPicPr>
                                                  <a:picLocks noChangeAspect="1" noChangeArrowheads="1"/>
                                                </pic:cNvPicPr>
                                              </pic:nvPicPr>
                                              <pic:blipFill>
                                                <a:blip r:embed="rId186"/>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0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59" descr=""/>
                                                <pic:cNvPicPr>
                                                  <a:picLocks noChangeAspect="1" noChangeArrowheads="1"/>
                                                </pic:cNvPicPr>
                                              </pic:nvPicPr>
                                              <pic:blipFill>
                                                <a:blip r:embed="rId187"/>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81000" cy="381000"/>
                                        <wp:effectExtent l="0" t="0" r="0" b="0"/>
                                        <wp:docPr id="30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60" descr=""/>
                                                <pic:cNvPicPr>
                                                  <a:picLocks noChangeAspect="1" noChangeArrowheads="1"/>
                                                </pic:cNvPicPr>
                                              </pic:nvPicPr>
                                              <pic:blipFill>
                                                <a:blip r:embed="rId188"/>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Diversity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630.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500" w:after="283"/>
                        <w:jc w:val="left"/>
                        <w:rPr/>
                      </w:pPr>
                      <w:r>
                        <w:rPr>
                          <w:spacing w:val="-2"/>
                        </w:rPr>
                        <w:t>Ms. Brown’s extensive experience in academia, including teaching and writing in the areas of property, land use planning, real estate transactions, and housing law, contribute a unique and valuable perspective to the Board.</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60" w:after="0"/>
                        <w:ind w:left="200" w:right="0" w:hanging="0"/>
                        <w:jc w:val="left"/>
                        <w:rPr/>
                      </w:pPr>
                      <w:r>
                        <w:rPr>
                          <w:spacing w:val="-2"/>
                        </w:rPr>
                        <w:t>Professor at the University of Richmond School of Law since 2012, teaching Property Law Survey, Housing Law, Land Use Planning, and Real Estate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Professor at the University of North Carolina School of Law from 2008 to 2012 and Associate Professor from 2007 to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Professor of Law at the University of Alabama School of Law, and Assistant Professor from 2001 to 2004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Sirote &amp; Permutt, P.C. in Birmingham, Alabama focusing on general business, real estate, and consumer finance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Associate at McGuire, Woods, Battle &amp; Bootle, L.L.P. in Richmond, Virginia focusing on labor and employment discrimination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Former Judicial Law Clerk for the Honorable Sharon L. Blackburn, United States District Court, Northern District of Alabama</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pPr>
                      <w:r>
                        <w:rPr>
                          <w:spacing w:val="-2"/>
                        </w:rPr>
                        <w:t>B.A. from Duke University and J.D./L.L.M. from Duke University School of Law</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480" w:after="283"/>
                        <w:jc w:val="left"/>
                        <w:rPr>
                          <w:b/>
                          <w:color w:val="1F2668"/>
                          <w:sz w:val="22"/>
                        </w:rPr>
                      </w:pPr>
                      <w:r>
                        <w:rPr>
                          <w:b/>
                          <w:color w:val="1F2668"/>
                          <w:sz w:val="22"/>
                        </w:rPr>
                        <w:t>Skills, Experiences and Attributes</w:t>
                      </w:r>
                      <w:r>
                        <w:rPr>
                          <w:b/>
                          <w:color w:val="000000"/>
                          <w:spacing w:val="4"/>
                          <w:sz w:val="22"/>
                        </w:rPr>
                        <w:t xml:space="preserve"> </w:t>
                      </w:r>
                    </w:p>
                    <w:tbl>
                      <w:tblPr>
                        <w:tblW w:w="8585" w:type="dxa"/>
                        <w:jc w:val="left"/>
                        <w:tblInd w:w="0" w:type="dxa"/>
                        <w:tblLayout w:type="fixed"/>
                        <w:tblCellMar>
                          <w:top w:w="0" w:type="dxa"/>
                          <w:left w:w="0" w:type="dxa"/>
                          <w:bottom w:w="0" w:type="dxa"/>
                          <w:right w:w="0" w:type="dxa"/>
                        </w:tblCellMar>
                      </w:tblPr>
                      <w:tblGrid>
                        <w:gridCol w:w="124"/>
                        <w:gridCol w:w="731"/>
                        <w:gridCol w:w="109"/>
                        <w:gridCol w:w="109"/>
                        <w:gridCol w:w="2644"/>
                        <w:gridCol w:w="109"/>
                        <w:gridCol w:w="109"/>
                        <w:gridCol w:w="746"/>
                        <w:gridCol w:w="109"/>
                        <w:gridCol w:w="109"/>
                        <w:gridCol w:w="3532"/>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52425" cy="409575"/>
                                  <wp:effectExtent l="0" t="0" r="0" b="0"/>
                                  <wp:docPr id="31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55" descr=""/>
                                          <pic:cNvPicPr>
                                            <a:picLocks noChangeAspect="1" noChangeArrowheads="1"/>
                                          </pic:cNvPicPr>
                                        </pic:nvPicPr>
                                        <pic:blipFill>
                                          <a:blip r:embed="rId18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1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56" descr=""/>
                                          <pic:cNvPicPr>
                                            <a:picLocks noChangeAspect="1" noChangeArrowheads="1"/>
                                          </pic:cNvPicPr>
                                        </pic:nvPicPr>
                                        <pic:blipFill>
                                          <a:blip r:embed="rId190"/>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31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57" descr=""/>
                                          <pic:cNvPicPr>
                                            <a:picLocks noChangeAspect="1" noChangeArrowheads="1"/>
                                          </pic:cNvPicPr>
                                        </pic:nvPicPr>
                                        <pic:blipFill>
                                          <a:blip r:embed="rId191"/>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1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58" descr=""/>
                                          <pic:cNvPicPr>
                                            <a:picLocks noChangeAspect="1" noChangeArrowheads="1"/>
                                          </pic:cNvPicPr>
                                        </pic:nvPicPr>
                                        <pic:blipFill>
                                          <a:blip r:embed="rId192"/>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1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59" descr=""/>
                                          <pic:cNvPicPr>
                                            <a:picLocks noChangeAspect="1" noChangeArrowheads="1"/>
                                          </pic:cNvPicPr>
                                        </pic:nvPicPr>
                                        <pic:blipFill>
                                          <a:blip r:embed="rId193"/>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4"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81000" cy="381000"/>
                                  <wp:effectExtent l="0" t="0" r="0" b="0"/>
                                  <wp:docPr id="31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60" descr=""/>
                                          <pic:cNvPicPr>
                                            <a:picLocks noChangeAspect="1" noChangeArrowheads="1"/>
                                          </pic:cNvPicPr>
                                        </pic:nvPicPr>
                                        <pic:blipFill>
                                          <a:blip r:embed="rId194"/>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32"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Diversity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25">
                <wp:simplePos x="0" y="0"/>
                <wp:positionH relativeFrom="column">
                  <wp:align>left</wp:align>
                </wp:positionH>
                <wp:positionV relativeFrom="line">
                  <wp:posOffset>635</wp:posOffset>
                </wp:positionV>
                <wp:extent cx="1562100" cy="6177280"/>
                <wp:effectExtent l="0" t="0" r="0" b="0"/>
                <wp:wrapSquare wrapText="right"/>
                <wp:docPr id="316" name="Frame128"/>
                <a:graphic xmlns:a="http://schemas.openxmlformats.org/drawingml/2006/main">
                  <a:graphicData uri="http://schemas.microsoft.com/office/word/2010/wordprocessingShape">
                    <wps:wsp>
                      <wps:cNvSpPr txBox="1"/>
                      <wps:spPr>
                        <a:xfrm>
                          <a:off x="0" y="0"/>
                          <a:ext cx="1562100" cy="617728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787" w:type="dxa"/>
                              <w:jc w:val="left"/>
                              <w:tblInd w:w="0" w:type="dxa"/>
                              <w:tblLayout w:type="fixed"/>
                              <w:tblCellMar>
                                <w:top w:w="0" w:type="dxa"/>
                                <w:left w:w="0" w:type="dxa"/>
                                <w:bottom w:w="0" w:type="dxa"/>
                                <w:right w:w="0" w:type="dxa"/>
                              </w:tblCellMar>
                            </w:tblPr>
                            <w:tblGrid>
                              <w:gridCol w:w="124"/>
                              <w:gridCol w:w="109"/>
                              <w:gridCol w:w="52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1" w:type="dxa"/>
                                  <w:tcBorders/>
                                  <w:shd w:fill="1F2668" w:val="clear"/>
                                  <w:vAlign w:val="center"/>
                                </w:tcPr>
                                <w:p>
                                  <w:pPr>
                                    <w:pStyle w:val="TableContents"/>
                                    <w:bidi w:val="0"/>
                                    <w:spacing w:lineRule="atLeast" w:line="280" w:before="0" w:after="0"/>
                                    <w:ind w:left="0" w:right="160" w:hanging="0"/>
                                    <w:jc w:val="left"/>
                                    <w:rPr>
                                      <w:sz w:val="24"/>
                                    </w:rPr>
                                  </w:pPr>
                                  <w:r>
                                    <w:rPr>
                                      <w:sz w:val="24"/>
                                    </w:rPr>
                                    <w:t>CAROL N.</w:t>
                                    <w:br/>
                                    <w:t>BROWN</w:t>
                                  </w:r>
                                </w:p>
                                <w:p>
                                  <w:pPr>
                                    <w:pStyle w:val="TableContents"/>
                                    <w:bidi w:val="0"/>
                                    <w:spacing w:before="200" w:after="283"/>
                                    <w:ind w:left="0" w:right="160" w:hanging="0"/>
                                    <w:jc w:val="left"/>
                                    <w:rPr/>
                                  </w:pPr>
                                  <w:r>
                                    <w:rPr/>
                                    <w:drawing>
                                      <wp:inline distT="0" distB="0" distL="0" distR="0">
                                        <wp:extent cx="1219200" cy="1495425"/>
                                        <wp:effectExtent l="0" t="0" r="0" b="0"/>
                                        <wp:docPr id="31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54" descr=""/>
                                                <pic:cNvPicPr>
                                                  <a:picLocks noChangeAspect="1" noChangeArrowheads="1"/>
                                                </pic:cNvPicPr>
                                              </pic:nvPicPr>
                                              <pic:blipFill>
                                                <a:blip r:embed="rId195"/>
                                                <a:stretch>
                                                  <a:fillRect/>
                                                </a:stretch>
                                              </pic:blipFill>
                                              <pic:spPr bwMode="auto">
                                                <a:xfrm>
                                                  <a:off x="0" y="0"/>
                                                  <a:ext cx="1219200" cy="14954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Independent 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2022</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54</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b w:val="false"/>
                                    </w:rPr>
                                  </w:pPr>
                                  <w:r>
                                    <w:rPr>
                                      <w:b/>
                                    </w:rPr>
                                    <w:t>Compensation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t>Nominating and Corporate Governance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6.4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5787" w:type="dxa"/>
                        <w:jc w:val="left"/>
                        <w:tblInd w:w="0" w:type="dxa"/>
                        <w:tblLayout w:type="fixed"/>
                        <w:tblCellMar>
                          <w:top w:w="0" w:type="dxa"/>
                          <w:left w:w="0" w:type="dxa"/>
                          <w:bottom w:w="0" w:type="dxa"/>
                          <w:right w:w="0" w:type="dxa"/>
                        </w:tblCellMar>
                      </w:tblPr>
                      <w:tblGrid>
                        <w:gridCol w:w="124"/>
                        <w:gridCol w:w="109"/>
                        <w:gridCol w:w="52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91" w:type="dxa"/>
                            <w:tcBorders/>
                            <w:shd w:fill="1F2668" w:val="clear"/>
                            <w:vAlign w:val="center"/>
                          </w:tcPr>
                          <w:p>
                            <w:pPr>
                              <w:pStyle w:val="TableContents"/>
                              <w:bidi w:val="0"/>
                              <w:spacing w:lineRule="atLeast" w:line="280" w:before="0" w:after="0"/>
                              <w:ind w:left="0" w:right="160" w:hanging="0"/>
                              <w:jc w:val="left"/>
                              <w:rPr>
                                <w:sz w:val="24"/>
                              </w:rPr>
                            </w:pPr>
                            <w:r>
                              <w:rPr>
                                <w:sz w:val="24"/>
                              </w:rPr>
                              <w:t>CAROL N.</w:t>
                              <w:br/>
                              <w:t>BROWN</w:t>
                            </w:r>
                          </w:p>
                          <w:p>
                            <w:pPr>
                              <w:pStyle w:val="TableContents"/>
                              <w:bidi w:val="0"/>
                              <w:spacing w:before="200" w:after="283"/>
                              <w:ind w:left="0" w:right="160" w:hanging="0"/>
                              <w:jc w:val="left"/>
                              <w:rPr/>
                            </w:pPr>
                            <w:r>
                              <w:rPr/>
                              <w:drawing>
                                <wp:inline distT="0" distB="0" distL="0" distR="0">
                                  <wp:extent cx="1219200" cy="1495425"/>
                                  <wp:effectExtent l="0" t="0" r="0" b="0"/>
                                  <wp:docPr id="31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54" descr=""/>
                                          <pic:cNvPicPr>
                                            <a:picLocks noChangeAspect="1" noChangeArrowheads="1"/>
                                          </pic:cNvPicPr>
                                        </pic:nvPicPr>
                                        <pic:blipFill>
                                          <a:blip r:embed="rId196"/>
                                          <a:stretch>
                                            <a:fillRect/>
                                          </a:stretch>
                                        </pic:blipFill>
                                        <pic:spPr bwMode="auto">
                                          <a:xfrm>
                                            <a:off x="0" y="0"/>
                                            <a:ext cx="1219200" cy="14954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Independent 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2022</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54</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b w:val="false"/>
                              </w:rPr>
                            </w:pPr>
                            <w:r>
                              <w:rPr>
                                <w:b/>
                              </w:rPr>
                              <w:t>Compensation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60" w:after="0"/>
                              <w:ind w:left="180" w:right="160" w:hanging="0"/>
                              <w:jc w:val="left"/>
                              <w:rPr/>
                            </w:pPr>
                            <w:r>
                              <w:rPr/>
                              <w:t>Nominating and Corporate Governance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319"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320"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321"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322"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323"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324"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8100" distB="0" distL="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325"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55">
                <wp:simplePos x="0" y="0"/>
                <wp:positionH relativeFrom="column">
                  <wp:align>left</wp:align>
                </wp:positionH>
                <wp:positionV relativeFrom="line">
                  <wp:align>top</wp:align>
                </wp:positionV>
                <wp:extent cx="114300" cy="350520"/>
                <wp:effectExtent l="0" t="0" r="0" b="0"/>
                <wp:wrapSquare wrapText="right"/>
                <wp:docPr id="326" name="Frame1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val="false"/>
                        </w:rPr>
                        <w:br/>
                      </w:r>
                    </w:p>
                  </w:txbxContent>
                </v:textbox>
                <w10:wrap type="square" side="right"/>
              </v:rect>
            </w:pict>
          </mc:Fallback>
        </mc:AlternateContent>
      </w:r>
      <w:r>
        <mc:AlternateContent>
          <mc:Choice Requires="wps">
            <w:drawing>
              <wp:anchor behindDoc="0" distT="101600" distB="0" distL="0" distR="0" simplePos="0" locked="0" layoutInCell="1" allowOverlap="1" relativeHeight="456">
                <wp:simplePos x="0" y="0"/>
                <wp:positionH relativeFrom="column">
                  <wp:align>left</wp:align>
                </wp:positionH>
                <wp:positionV relativeFrom="line">
                  <wp:align>top</wp:align>
                </wp:positionV>
                <wp:extent cx="114300" cy="350520"/>
                <wp:effectExtent l="0" t="0" r="0" b="0"/>
                <wp:wrapSquare wrapText="right"/>
                <wp:docPr id="327" name="Frame1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3099"/>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94">
                <wp:simplePos x="0" y="0"/>
                <wp:positionH relativeFrom="column">
                  <wp:align>left</wp:align>
                </wp:positionH>
                <wp:positionV relativeFrom="line">
                  <wp:posOffset>635</wp:posOffset>
                </wp:positionV>
                <wp:extent cx="4584700" cy="9972040"/>
                <wp:effectExtent l="0" t="0" r="0" b="0"/>
                <wp:wrapSquare wrapText="right"/>
                <wp:docPr id="328" name="Frame142"/>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Ms. Dillard’s sophisticated understanding of tax, real estate, investment programs, finance, compensation and corporate governance, all viewed through the lens of over fifteen years of global private equity experience and together with her considerable operational expertise, provide the Board and the Company with deep and practical insight on a broad range of matters.</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7"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Senior Managing Director and Chief Financial Officer of Vista Equity Partners, a leading global investment firm focused exclusively on enterprise software, data and technology-enabled businesses, since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Executive Vice President of Investment Intelligence of Nasdaq, Inc., a global technology firm serving the capital markets and other industries, from June 2019 to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for the Carlyle Group, a global alternative asset manager, from 2011 to May 2019, head of Carlyle’s Investment Solutions Group from December 2015 to May 2019, and member of Carlyle’s Management Committee; joined Carlyle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the Real Estate and Financial Services Group of the Tax Practice of Arthur Andersen, LLP prior to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in business administration from the University of Richmond</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7"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7"/>
                              <w:gridCol w:w="109"/>
                              <w:gridCol w:w="109"/>
                              <w:gridCol w:w="2581"/>
                              <w:gridCol w:w="109"/>
                              <w:gridCol w:w="109"/>
                              <w:gridCol w:w="802"/>
                              <w:gridCol w:w="109"/>
                              <w:gridCol w:w="109"/>
                              <w:gridCol w:w="5160"/>
                              <w:gridCol w:w="157"/>
                            </w:tblGrid>
                            <w:tr>
                              <w:trPr/>
                              <w:tc>
                                <w:tcPr>
                                  <w:tcW w:w="124" w:type="dxa"/>
                                  <w:tcBorders/>
                                  <w:vAlign w:val="center"/>
                                </w:tcPr>
                                <w:p>
                                  <w:pPr>
                                    <w:pStyle w:val="TableContents"/>
                                    <w:bidi w:val="0"/>
                                    <w:spacing w:before="0" w:after="283"/>
                                    <w:jc w:val="left"/>
                                    <w:rPr/>
                                  </w:pPr>
                                  <w:r>
                                    <w:rPr/>
                                    <w:t>​</w:t>
                                  </w:r>
                                </w:p>
                              </w:tc>
                              <w:tc>
                                <w:tcPr>
                                  <w:tcW w:w="727" w:type="dxa"/>
                                  <w:tcBorders/>
                                  <w:vAlign w:val="center"/>
                                </w:tcPr>
                                <w:p>
                                  <w:pPr>
                                    <w:pStyle w:val="TableContents"/>
                                    <w:bidi w:val="0"/>
                                    <w:spacing w:before="0" w:after="0"/>
                                    <w:jc w:val="left"/>
                                    <w:rPr/>
                                  </w:pPr>
                                  <w:r>
                                    <w:rPr/>
                                    <w:drawing>
                                      <wp:inline distT="0" distB="0" distL="0" distR="0">
                                        <wp:extent cx="371475" cy="390525"/>
                                        <wp:effectExtent l="0" t="0" r="0" b="0"/>
                                        <wp:docPr id="32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62" descr=""/>
                                                <pic:cNvPicPr>
                                                  <a:picLocks noChangeAspect="1" noChangeArrowheads="1"/>
                                                </pic:cNvPicPr>
                                              </pic:nvPicPr>
                                              <pic:blipFill>
                                                <a:blip r:embed="rId197"/>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3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63" descr=""/>
                                                <pic:cNvPicPr>
                                                  <a:picLocks noChangeAspect="1" noChangeArrowheads="1"/>
                                                </pic:cNvPicPr>
                                              </pic:nvPicPr>
                                              <pic:blipFill>
                                                <a:blip r:embed="rId198"/>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3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64" descr=""/>
                                                <pic:cNvPicPr>
                                                  <a:picLocks noChangeAspect="1" noChangeArrowheads="1"/>
                                                </pic:cNvPicPr>
                                              </pic:nvPicPr>
                                              <pic:blipFill>
                                                <a:blip r:embed="rId19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3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65" descr=""/>
                                                <pic:cNvPicPr>
                                                  <a:picLocks noChangeAspect="1" noChangeArrowheads="1"/>
                                                </pic:cNvPicPr>
                                              </pic:nvPicPr>
                                              <pic:blipFill>
                                                <a:blip r:embed="rId20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3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66" descr=""/>
                                                <pic:cNvPicPr>
                                                  <a:picLocks noChangeAspect="1" noChangeArrowheads="1"/>
                                                </pic:cNvPicPr>
                                              </pic:nvPicPr>
                                              <pic:blipFill>
                                                <a:blip r:embed="rId20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3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67" descr=""/>
                                                <pic:cNvPicPr>
                                                  <a:picLocks noChangeAspect="1" noChangeArrowheads="1"/>
                                                </pic:cNvPicPr>
                                              </pic:nvPicPr>
                                              <pic:blipFill>
                                                <a:blip r:embed="rId20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3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68" descr=""/>
                                                <pic:cNvPicPr>
                                                  <a:picLocks noChangeAspect="1" noChangeArrowheads="1"/>
                                                </pic:cNvPicPr>
                                              </pic:nvPicPr>
                                              <pic:blipFill>
                                                <a:blip r:embed="rId203"/>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3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69" descr=""/>
                                                <pic:cNvPicPr>
                                                  <a:picLocks noChangeAspect="1" noChangeArrowheads="1"/>
                                                </pic:cNvPicPr>
                                              </pic:nvPicPr>
                                              <pic:blipFill>
                                                <a:blip r:embed="rId204"/>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3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70" descr=""/>
                                                <pic:cNvPicPr>
                                                  <a:picLocks noChangeAspect="1" noChangeArrowheads="1"/>
                                                </pic:cNvPicPr>
                                              </pic:nvPicPr>
                                              <pic:blipFill>
                                                <a:blip r:embed="rId205"/>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81000" cy="381000"/>
                                        <wp:effectExtent l="0" t="0" r="0" b="0"/>
                                        <wp:docPr id="33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71" descr=""/>
                                                <pic:cNvPicPr>
                                                  <a:picLocks noChangeAspect="1" noChangeArrowheads="1"/>
                                                </pic:cNvPicPr>
                                              </pic:nvPicPr>
                                              <pic:blipFill>
                                                <a:blip r:embed="rId206"/>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Diversity</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Ms. Dillard’s sophisticated understanding of tax, real estate, investment programs, finance, compensation and corporate governance, all viewed through the lens of over fifteen years of global private equity experience and together with her considerable operational expertise, provide the Board and the Company with deep and practical insight on a broad range of matters.</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7"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Senior Managing Director and Chief Financial Officer of Vista Equity Partners, a leading global investment firm focused exclusively on enterprise software, data and technology-enabled businesses, since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Executive Vice President of Investment Intelligence of Nasdaq, Inc., a global technology firm serving the capital markets and other industries, from June 2019 to April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for the Carlyle Group, a global alternative asset manager, from 2011 to May 2019, head of Carlyle’s Investment Solutions Group from December 2015 to May 2019, and member of Carlyle’s Management Committee; joined Carlyle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Operating Officer and Chief Financial Officer of Carlyle’s Investment Solutions Group from 2013 to December 2015; former head of Global Tax Department and head of Global Equity Programs; and member of Carlyle’s Transaction Team where she played a significant role in transactions, including Carlyle’s initial public offering</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the Real Estate and Financial Services Group of the Tax Practice of Arthur Andersen, LLP prior to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in business administration from the University of Richmond</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7"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7"/>
                        <w:gridCol w:w="109"/>
                        <w:gridCol w:w="109"/>
                        <w:gridCol w:w="2581"/>
                        <w:gridCol w:w="109"/>
                        <w:gridCol w:w="109"/>
                        <w:gridCol w:w="802"/>
                        <w:gridCol w:w="109"/>
                        <w:gridCol w:w="109"/>
                        <w:gridCol w:w="5160"/>
                        <w:gridCol w:w="157"/>
                      </w:tblGrid>
                      <w:tr>
                        <w:trPr/>
                        <w:tc>
                          <w:tcPr>
                            <w:tcW w:w="124" w:type="dxa"/>
                            <w:tcBorders/>
                            <w:vAlign w:val="center"/>
                          </w:tcPr>
                          <w:p>
                            <w:pPr>
                              <w:pStyle w:val="TableContents"/>
                              <w:bidi w:val="0"/>
                              <w:spacing w:before="0" w:after="283"/>
                              <w:jc w:val="left"/>
                              <w:rPr/>
                            </w:pPr>
                            <w:r>
                              <w:rPr/>
                              <w:t>​</w:t>
                            </w:r>
                          </w:p>
                        </w:tc>
                        <w:tc>
                          <w:tcPr>
                            <w:tcW w:w="727" w:type="dxa"/>
                            <w:tcBorders/>
                            <w:vAlign w:val="center"/>
                          </w:tcPr>
                          <w:p>
                            <w:pPr>
                              <w:pStyle w:val="TableContents"/>
                              <w:bidi w:val="0"/>
                              <w:spacing w:before="0" w:after="0"/>
                              <w:jc w:val="left"/>
                              <w:rPr/>
                            </w:pPr>
                            <w:r>
                              <w:rPr/>
                              <w:drawing>
                                <wp:inline distT="0" distB="0" distL="0" distR="0">
                                  <wp:extent cx="371475" cy="390525"/>
                                  <wp:effectExtent l="0" t="0" r="0" b="0"/>
                                  <wp:docPr id="33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62" descr=""/>
                                          <pic:cNvPicPr>
                                            <a:picLocks noChangeAspect="1" noChangeArrowheads="1"/>
                                          </pic:cNvPicPr>
                                        </pic:nvPicPr>
                                        <pic:blipFill>
                                          <a:blip r:embed="rId207"/>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4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63" descr=""/>
                                          <pic:cNvPicPr>
                                            <a:picLocks noChangeAspect="1" noChangeArrowheads="1"/>
                                          </pic:cNvPicPr>
                                        </pic:nvPicPr>
                                        <pic:blipFill>
                                          <a:blip r:embed="rId208"/>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4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64" descr=""/>
                                          <pic:cNvPicPr>
                                            <a:picLocks noChangeAspect="1" noChangeArrowheads="1"/>
                                          </pic:cNvPicPr>
                                        </pic:nvPicPr>
                                        <pic:blipFill>
                                          <a:blip r:embed="rId20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4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65" descr=""/>
                                          <pic:cNvPicPr>
                                            <a:picLocks noChangeAspect="1" noChangeArrowheads="1"/>
                                          </pic:cNvPicPr>
                                        </pic:nvPicPr>
                                        <pic:blipFill>
                                          <a:blip r:embed="rId21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4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66" descr=""/>
                                          <pic:cNvPicPr>
                                            <a:picLocks noChangeAspect="1" noChangeArrowheads="1"/>
                                          </pic:cNvPicPr>
                                        </pic:nvPicPr>
                                        <pic:blipFill>
                                          <a:blip r:embed="rId21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4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7" descr=""/>
                                          <pic:cNvPicPr>
                                            <a:picLocks noChangeAspect="1" noChangeArrowheads="1"/>
                                          </pic:cNvPicPr>
                                        </pic:nvPicPr>
                                        <pic:blipFill>
                                          <a:blip r:embed="rId21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4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68" descr=""/>
                                          <pic:cNvPicPr>
                                            <a:picLocks noChangeAspect="1" noChangeArrowheads="1"/>
                                          </pic:cNvPicPr>
                                        </pic:nvPicPr>
                                        <pic:blipFill>
                                          <a:blip r:embed="rId213"/>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4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69" descr=""/>
                                          <pic:cNvPicPr>
                                            <a:picLocks noChangeAspect="1" noChangeArrowheads="1"/>
                                          </pic:cNvPicPr>
                                        </pic:nvPicPr>
                                        <pic:blipFill>
                                          <a:blip r:embed="rId214"/>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7"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4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70" descr=""/>
                                          <pic:cNvPicPr>
                                            <a:picLocks noChangeAspect="1" noChangeArrowheads="1"/>
                                          </pic:cNvPicPr>
                                        </pic:nvPicPr>
                                        <pic:blipFill>
                                          <a:blip r:embed="rId215"/>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Technology/Cybersecurity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2"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81000" cy="381000"/>
                                  <wp:effectExtent l="0" t="0" r="0" b="0"/>
                                  <wp:docPr id="34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71" descr=""/>
                                          <pic:cNvPicPr>
                                            <a:picLocks noChangeAspect="1" noChangeArrowheads="1"/>
                                          </pic:cNvPicPr>
                                        </pic:nvPicPr>
                                        <pic:blipFill>
                                          <a:blip r:embed="rId216"/>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60"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Diversity</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14">
                <wp:simplePos x="0" y="0"/>
                <wp:positionH relativeFrom="column">
                  <wp:align>left</wp:align>
                </wp:positionH>
                <wp:positionV relativeFrom="line">
                  <wp:posOffset>635</wp:posOffset>
                </wp:positionV>
                <wp:extent cx="1562100" cy="6129655"/>
                <wp:effectExtent l="0" t="0" r="0" b="0"/>
                <wp:wrapSquare wrapText="right"/>
                <wp:docPr id="349" name="Frame139"/>
                <a:graphic xmlns:a="http://schemas.openxmlformats.org/drawingml/2006/main">
                  <a:graphicData uri="http://schemas.microsoft.com/office/word/2010/wordprocessingShape">
                    <wps:wsp>
                      <wps:cNvSpPr txBox="1"/>
                      <wps:spPr>
                        <a:xfrm>
                          <a:off x="0" y="0"/>
                          <a:ext cx="1562100" cy="612965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302" w:type="dxa"/>
                              <w:jc w:val="left"/>
                              <w:tblInd w:w="0" w:type="dxa"/>
                              <w:tblLayout w:type="fixed"/>
                              <w:tblCellMar>
                                <w:top w:w="0" w:type="dxa"/>
                                <w:left w:w="0" w:type="dxa"/>
                                <w:bottom w:w="0" w:type="dxa"/>
                                <w:right w:w="0" w:type="dxa"/>
                              </w:tblCellMar>
                            </w:tblPr>
                            <w:tblGrid>
                              <w:gridCol w:w="124"/>
                              <w:gridCol w:w="109"/>
                              <w:gridCol w:w="380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6" w:type="dxa"/>
                                  <w:tcBorders/>
                                  <w:shd w:fill="1F2668" w:val="clear"/>
                                  <w:vAlign w:val="center"/>
                                </w:tcPr>
                                <w:p>
                                  <w:pPr>
                                    <w:pStyle w:val="TableContents"/>
                                    <w:bidi w:val="0"/>
                                    <w:spacing w:lineRule="atLeast" w:line="280" w:before="0" w:after="0"/>
                                    <w:ind w:left="0" w:right="160" w:hanging="0"/>
                                    <w:jc w:val="left"/>
                                    <w:rPr>
                                      <w:b/>
                                      <w:sz w:val="24"/>
                                    </w:rPr>
                                  </w:pPr>
                                  <w:r>
                                    <w:rPr>
                                      <w:b/>
                                      <w:sz w:val="24"/>
                                    </w:rPr>
                                    <w:t>LAUREN B.</w:t>
                                    <w:br/>
                                    <w:t>DILLARD</w:t>
                                  </w:r>
                                </w:p>
                                <w:p>
                                  <w:pPr>
                                    <w:pStyle w:val="TableContents"/>
                                    <w:bidi w:val="0"/>
                                    <w:spacing w:before="200" w:after="283"/>
                                    <w:ind w:left="0" w:right="160" w:hanging="0"/>
                                    <w:jc w:val="left"/>
                                    <w:rPr/>
                                  </w:pPr>
                                  <w:r>
                                    <w:rPr/>
                                    <w:drawing>
                                      <wp:inline distT="0" distB="0" distL="0" distR="0">
                                        <wp:extent cx="1219200" cy="1524000"/>
                                        <wp:effectExtent l="0" t="0" r="0" b="0"/>
                                        <wp:docPr id="35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1" descr=""/>
                                                <pic:cNvPicPr>
                                                  <a:picLocks noChangeAspect="1" noChangeArrowheads="1"/>
                                                </pic:cNvPicPr>
                                              </pic:nvPicPr>
                                              <pic:blipFill>
                                                <a:blip r:embed="rId217"/>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rPr>
                                    <w:t>Independent Director</w:t>
                                  </w:r>
                                </w:p>
                                <w:p>
                                  <w:pPr>
                                    <w:pStyle w:val="TableContents"/>
                                    <w:bidi w:val="0"/>
                                    <w:spacing w:lineRule="atLeast" w:line="180" w:before="160" w:after="283"/>
                                    <w:ind w:left="0" w:right="160" w:hanging="0"/>
                                    <w:jc w:val="left"/>
                                    <w:rPr/>
                                  </w:pPr>
                                  <w:r>
                                    <w:rPr>
                                      <w:spacing w:val="-2"/>
                                    </w:rPr>
                                    <w:t xml:space="preserve">Director Since: </w:t>
                                  </w:r>
                                  <w:r>
                                    <w:rPr>
                                      <w:b/>
                                    </w:rPr>
                                    <w:t>2016</w:t>
                                  </w:r>
                                  <w:r>
                                    <w:rPr/>
                                    <w:t xml:space="preserve"> </w:t>
                                  </w:r>
                                </w:p>
                                <w:p>
                                  <w:pPr>
                                    <w:pStyle w:val="TableContents"/>
                                    <w:bidi w:val="0"/>
                                    <w:spacing w:lineRule="atLeast" w:line="180" w:before="160" w:after="283"/>
                                    <w:ind w:left="0" w:right="160" w:hanging="0"/>
                                    <w:jc w:val="left"/>
                                    <w:rPr/>
                                  </w:pPr>
                                  <w:r>
                                    <w:rPr>
                                      <w:spacing w:val="-2"/>
                                    </w:rPr>
                                    <w:t xml:space="preserve">Age: </w:t>
                                  </w:r>
                                  <w:r>
                                    <w:rPr>
                                      <w:b/>
                                    </w:rPr>
                                    <w:t>48</w:t>
                                  </w:r>
                                  <w:r>
                                    <w:rPr/>
                                    <w:t xml:space="preserve"> </w:t>
                                  </w:r>
                                </w:p>
                                <w:p>
                                  <w:pPr>
                                    <w:pStyle w:val="TableContents"/>
                                    <w:bidi w:val="0"/>
                                    <w:spacing w:lineRule="atLeast" w:line="220" w:before="160" w:after="283"/>
                                    <w:ind w:left="0" w:right="160" w:hanging="0"/>
                                    <w:jc w:val="left"/>
                                    <w:rPr/>
                                  </w:pPr>
                                  <w:r>
                                    <w:rPr>
                                      <w:spacing w:val="-2"/>
                                    </w:rPr>
                                    <w:t xml:space="preserve">SL Green </w:t>
                                    <w:br/>
                                    <w:t>Board Service:</w:t>
                                  </w:r>
                                  <w:r>
                                    <w:rPr/>
                                    <w:t xml:space="preserve"> </w:t>
                                  </w:r>
                                </w:p>
                                <w:p>
                                  <w:pPr>
                                    <w:pStyle w:val="TableContents"/>
                                    <w:bidi w:val="0"/>
                                    <w:spacing w:lineRule="atLeast" w:line="180" w:before="160" w:after="0"/>
                                    <w:ind w:left="180" w:right="160" w:hanging="0"/>
                                    <w:jc w:val="left"/>
                                    <w:rPr/>
                                  </w:pPr>
                                  <w:r>
                                    <w:rPr>
                                      <w:b/>
                                    </w:rPr>
                                    <w:t>Audit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b/>
                                    </w:rPr>
                                  </w:pPr>
                                  <w:r>
                                    <w:rPr>
                                      <w:b/>
                                    </w:rPr>
                                    <w:t>Compensation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2.6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4302" w:type="dxa"/>
                        <w:jc w:val="left"/>
                        <w:tblInd w:w="0" w:type="dxa"/>
                        <w:tblLayout w:type="fixed"/>
                        <w:tblCellMar>
                          <w:top w:w="0" w:type="dxa"/>
                          <w:left w:w="0" w:type="dxa"/>
                          <w:bottom w:w="0" w:type="dxa"/>
                          <w:right w:w="0" w:type="dxa"/>
                        </w:tblCellMar>
                      </w:tblPr>
                      <w:tblGrid>
                        <w:gridCol w:w="124"/>
                        <w:gridCol w:w="109"/>
                        <w:gridCol w:w="380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6" w:type="dxa"/>
                            <w:tcBorders/>
                            <w:shd w:fill="1F2668" w:val="clear"/>
                            <w:vAlign w:val="center"/>
                          </w:tcPr>
                          <w:p>
                            <w:pPr>
                              <w:pStyle w:val="TableContents"/>
                              <w:bidi w:val="0"/>
                              <w:spacing w:lineRule="atLeast" w:line="280" w:before="0" w:after="0"/>
                              <w:ind w:left="0" w:right="160" w:hanging="0"/>
                              <w:jc w:val="left"/>
                              <w:rPr>
                                <w:b/>
                                <w:sz w:val="24"/>
                              </w:rPr>
                            </w:pPr>
                            <w:r>
                              <w:rPr>
                                <w:b/>
                                <w:sz w:val="24"/>
                              </w:rPr>
                              <w:t>LAUREN B.</w:t>
                              <w:br/>
                              <w:t>DILLARD</w:t>
                            </w:r>
                          </w:p>
                          <w:p>
                            <w:pPr>
                              <w:pStyle w:val="TableContents"/>
                              <w:bidi w:val="0"/>
                              <w:spacing w:before="200" w:after="283"/>
                              <w:ind w:left="0" w:right="160" w:hanging="0"/>
                              <w:jc w:val="left"/>
                              <w:rPr/>
                            </w:pPr>
                            <w:r>
                              <w:rPr/>
                              <w:drawing>
                                <wp:inline distT="0" distB="0" distL="0" distR="0">
                                  <wp:extent cx="1219200" cy="1524000"/>
                                  <wp:effectExtent l="0" t="0" r="0" b="0"/>
                                  <wp:docPr id="35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61" descr=""/>
                                          <pic:cNvPicPr>
                                            <a:picLocks noChangeAspect="1" noChangeArrowheads="1"/>
                                          </pic:cNvPicPr>
                                        </pic:nvPicPr>
                                        <pic:blipFill>
                                          <a:blip r:embed="rId218"/>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b/>
                              </w:rPr>
                            </w:pPr>
                            <w:r>
                              <w:rPr>
                                <w:b/>
                              </w:rPr>
                              <w:t>Independent Director</w:t>
                            </w:r>
                          </w:p>
                          <w:p>
                            <w:pPr>
                              <w:pStyle w:val="TableContents"/>
                              <w:bidi w:val="0"/>
                              <w:spacing w:lineRule="atLeast" w:line="180" w:before="160" w:after="283"/>
                              <w:ind w:left="0" w:right="160" w:hanging="0"/>
                              <w:jc w:val="left"/>
                              <w:rPr/>
                            </w:pPr>
                            <w:r>
                              <w:rPr>
                                <w:spacing w:val="-2"/>
                              </w:rPr>
                              <w:t xml:space="preserve">Director Since: </w:t>
                            </w:r>
                            <w:r>
                              <w:rPr>
                                <w:b/>
                              </w:rPr>
                              <w:t>2016</w:t>
                            </w:r>
                            <w:r>
                              <w:rPr/>
                              <w:t xml:space="preserve"> </w:t>
                            </w:r>
                          </w:p>
                          <w:p>
                            <w:pPr>
                              <w:pStyle w:val="TableContents"/>
                              <w:bidi w:val="0"/>
                              <w:spacing w:lineRule="atLeast" w:line="180" w:before="160" w:after="283"/>
                              <w:ind w:left="0" w:right="160" w:hanging="0"/>
                              <w:jc w:val="left"/>
                              <w:rPr/>
                            </w:pPr>
                            <w:r>
                              <w:rPr>
                                <w:spacing w:val="-2"/>
                              </w:rPr>
                              <w:t xml:space="preserve">Age: </w:t>
                            </w:r>
                            <w:r>
                              <w:rPr>
                                <w:b/>
                              </w:rPr>
                              <w:t>48</w:t>
                            </w:r>
                            <w:r>
                              <w:rPr/>
                              <w:t xml:space="preserve"> </w:t>
                            </w:r>
                          </w:p>
                          <w:p>
                            <w:pPr>
                              <w:pStyle w:val="TableContents"/>
                              <w:bidi w:val="0"/>
                              <w:spacing w:lineRule="atLeast" w:line="220" w:before="160" w:after="283"/>
                              <w:ind w:left="0" w:right="160" w:hanging="0"/>
                              <w:jc w:val="left"/>
                              <w:rPr/>
                            </w:pPr>
                            <w:r>
                              <w:rPr>
                                <w:spacing w:val="-2"/>
                              </w:rPr>
                              <w:t xml:space="preserve">SL Green </w:t>
                              <w:br/>
                              <w:t>Board Service:</w:t>
                            </w:r>
                            <w:r>
                              <w:rPr/>
                              <w:t xml:space="preserve"> </w:t>
                            </w:r>
                          </w:p>
                          <w:p>
                            <w:pPr>
                              <w:pStyle w:val="TableContents"/>
                              <w:bidi w:val="0"/>
                              <w:spacing w:lineRule="atLeast" w:line="180" w:before="160" w:after="0"/>
                              <w:ind w:left="180" w:right="160" w:hanging="0"/>
                              <w:jc w:val="left"/>
                              <w:rPr/>
                            </w:pPr>
                            <w:r>
                              <w:rPr>
                                <w:b/>
                              </w:rPr>
                              <w:t>Audit Committee</w:t>
                            </w:r>
                            <w:r>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b/>
                              </w:rPr>
                            </w:pPr>
                            <w:r>
                              <w:rPr>
                                <w:b/>
                              </w:rPr>
                              <w:t>Compensation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352"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353"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354"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355"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356"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357"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64">
                <wp:simplePos x="0" y="0"/>
                <wp:positionH relativeFrom="column">
                  <wp:align>left</wp:align>
                </wp:positionH>
                <wp:positionV relativeFrom="line">
                  <wp:align>top</wp:align>
                </wp:positionV>
                <wp:extent cx="114300" cy="350520"/>
                <wp:effectExtent l="0" t="0" r="0" b="0"/>
                <wp:wrapSquare wrapText="right"/>
                <wp:docPr id="358" name="Frame1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465">
                <wp:simplePos x="0" y="0"/>
                <wp:positionH relativeFrom="column">
                  <wp:align>left</wp:align>
                </wp:positionH>
                <wp:positionV relativeFrom="line">
                  <wp:align>top</wp:align>
                </wp:positionV>
                <wp:extent cx="114300" cy="350520"/>
                <wp:effectExtent l="0" t="0" r="0" b="0"/>
                <wp:wrapSquare wrapText="right"/>
                <wp:docPr id="359" name="Frame1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17</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82">
                <wp:simplePos x="0" y="0"/>
                <wp:positionH relativeFrom="column">
                  <wp:align>left</wp:align>
                </wp:positionH>
                <wp:positionV relativeFrom="line">
                  <wp:posOffset>635</wp:posOffset>
                </wp:positionV>
                <wp:extent cx="1562100" cy="5753735"/>
                <wp:effectExtent l="0" t="0" r="0" b="0"/>
                <wp:wrapSquare wrapText="right"/>
                <wp:docPr id="360" name="Frame149"/>
                <a:graphic xmlns:a="http://schemas.openxmlformats.org/drawingml/2006/main">
                  <a:graphicData uri="http://schemas.microsoft.com/office/word/2010/wordprocessingShape">
                    <wps:wsp>
                      <wps:cNvSpPr txBox="1"/>
                      <wps:spPr>
                        <a:xfrm>
                          <a:off x="0" y="0"/>
                          <a:ext cx="1562100" cy="575373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82" w:type="dxa"/>
                              <w:jc w:val="left"/>
                              <w:tblInd w:w="0" w:type="dxa"/>
                              <w:tblLayout w:type="fixed"/>
                              <w:tblCellMar>
                                <w:top w:w="0" w:type="dxa"/>
                                <w:left w:w="0" w:type="dxa"/>
                                <w:bottom w:w="0" w:type="dxa"/>
                                <w:right w:w="0" w:type="dxa"/>
                              </w:tblCellMar>
                            </w:tblPr>
                            <w:tblGrid>
                              <w:gridCol w:w="124"/>
                              <w:gridCol w:w="109"/>
                              <w:gridCol w:w="24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shd w:fill="1F2668" w:val="clear"/>
                                  <w:vAlign w:val="center"/>
                                </w:tcPr>
                                <w:p>
                                  <w:pPr>
                                    <w:pStyle w:val="TableContents"/>
                                    <w:bidi w:val="0"/>
                                    <w:spacing w:lineRule="atLeast" w:line="280" w:before="0" w:after="0"/>
                                    <w:ind w:left="0" w:right="160" w:hanging="0"/>
                                    <w:jc w:val="left"/>
                                    <w:rPr>
                                      <w:sz w:val="24"/>
                                    </w:rPr>
                                  </w:pPr>
                                  <w:r>
                                    <w:rPr>
                                      <w:sz w:val="24"/>
                                    </w:rPr>
                                    <w:t>STEPHEN L.</w:t>
                                    <w:br/>
                                    <w:t>GREEN</w:t>
                                  </w:r>
                                </w:p>
                                <w:p>
                                  <w:pPr>
                                    <w:pStyle w:val="TableContents"/>
                                    <w:bidi w:val="0"/>
                                    <w:spacing w:before="200" w:after="283"/>
                                    <w:ind w:left="0" w:right="160" w:hanging="0"/>
                                    <w:jc w:val="left"/>
                                    <w:rPr/>
                                  </w:pPr>
                                  <w:r>
                                    <w:rPr/>
                                    <w:drawing>
                                      <wp:inline distT="0" distB="0" distL="0" distR="0">
                                        <wp:extent cx="1219200" cy="1524000"/>
                                        <wp:effectExtent l="0" t="0" r="0" b="0"/>
                                        <wp:docPr id="36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72" descr=""/>
                                                <pic:cNvPicPr>
                                                  <a:picLocks noChangeAspect="1" noChangeArrowheads="1"/>
                                                </pic:cNvPicPr>
                                              </pic:nvPicPr>
                                              <pic:blipFill>
                                                <a:blip r:embed="rId219"/>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86</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53.0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82" w:type="dxa"/>
                        <w:jc w:val="left"/>
                        <w:tblInd w:w="0" w:type="dxa"/>
                        <w:tblLayout w:type="fixed"/>
                        <w:tblCellMar>
                          <w:top w:w="0" w:type="dxa"/>
                          <w:left w:w="0" w:type="dxa"/>
                          <w:bottom w:w="0" w:type="dxa"/>
                          <w:right w:w="0" w:type="dxa"/>
                        </w:tblCellMar>
                      </w:tblPr>
                      <w:tblGrid>
                        <w:gridCol w:w="124"/>
                        <w:gridCol w:w="109"/>
                        <w:gridCol w:w="24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shd w:fill="1F2668" w:val="clear"/>
                            <w:vAlign w:val="center"/>
                          </w:tcPr>
                          <w:p>
                            <w:pPr>
                              <w:pStyle w:val="TableContents"/>
                              <w:bidi w:val="0"/>
                              <w:spacing w:lineRule="atLeast" w:line="280" w:before="0" w:after="0"/>
                              <w:ind w:left="0" w:right="160" w:hanging="0"/>
                              <w:jc w:val="left"/>
                              <w:rPr>
                                <w:sz w:val="24"/>
                              </w:rPr>
                            </w:pPr>
                            <w:r>
                              <w:rPr>
                                <w:sz w:val="24"/>
                              </w:rPr>
                              <w:t>STEPHEN L.</w:t>
                              <w:br/>
                              <w:t>GREEN</w:t>
                            </w:r>
                          </w:p>
                          <w:p>
                            <w:pPr>
                              <w:pStyle w:val="TableContents"/>
                              <w:bidi w:val="0"/>
                              <w:spacing w:before="200" w:after="283"/>
                              <w:ind w:left="0" w:right="160" w:hanging="0"/>
                              <w:jc w:val="left"/>
                              <w:rPr/>
                            </w:pPr>
                            <w:r>
                              <w:rPr/>
                              <w:drawing>
                                <wp:inline distT="0" distB="0" distL="0" distR="0">
                                  <wp:extent cx="1219200" cy="1524000"/>
                                  <wp:effectExtent l="0" t="0" r="0" b="0"/>
                                  <wp:docPr id="36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72" descr=""/>
                                          <pic:cNvPicPr>
                                            <a:picLocks noChangeAspect="1" noChangeArrowheads="1"/>
                                          </pic:cNvPicPr>
                                        </pic:nvPicPr>
                                        <pic:blipFill>
                                          <a:blip r:embed="rId220"/>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1997</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86</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4584700" cy="9972040"/>
                <wp:effectExtent l="0" t="0" r="0" b="0"/>
                <wp:wrapSquare wrapText="right"/>
                <wp:docPr id="363" name="Frame151"/>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In addition to his industry-wide reputation, Mr. Green’s extensive skills and experience in real estate, including founding our predecessor company, provide the Board with invaluable knowledge of and expertise in our business and industry. This experience, particularly his experience having led our predecessor and the Company, contributes depth and context to the Board’s discussions of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1"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Chairman Emeritus at the Company since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the Company from 1997 through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executive officer working in conjunction with our Chief Executive Officer and overseeing the Company’s long-term strategic direction; formerly served as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Founded our predecessor, S.L. Green Properties, Inc., in 1980; prior to our initial public offering in 1997, Mr. Green was involved in the acquisition of over 50 Manhattan office buildings containing in excess of 10.0 million square feet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Gramercy Capital Corp. from August 2004 to June 2009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At-large member of the Executive Committee of the Board of Governors of the Real Estate Board of New York</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Streetsquash, Inc., a Section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Previously member of the Board of Directors of Stemedica Cell Technologies, Inc., August 2007 to April 2009; Chairman of the Real Estate Board of New York’s Tax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Hartwick College and J.D. degree from Boston College Law School</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69"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36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73" descr=""/>
                                                <pic:cNvPicPr>
                                                  <a:picLocks noChangeAspect="1" noChangeArrowheads="1"/>
                                                </pic:cNvPicPr>
                                              </pic:nvPicPr>
                                              <pic:blipFill>
                                                <a:blip r:embed="rId221"/>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4" descr=""/>
                                                <pic:cNvPicPr>
                                                  <a:picLocks noChangeAspect="1" noChangeArrowheads="1"/>
                                                </pic:cNvPicPr>
                                              </pic:nvPicPr>
                                              <pic:blipFill>
                                                <a:blip r:embed="rId222"/>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6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5" descr=""/>
                                                <pic:cNvPicPr>
                                                  <a:picLocks noChangeAspect="1" noChangeArrowheads="1"/>
                                                </pic:cNvPicPr>
                                              </pic:nvPicPr>
                                              <pic:blipFill>
                                                <a:blip r:embed="rId223"/>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6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6" descr=""/>
                                                <pic:cNvPicPr>
                                                  <a:picLocks noChangeAspect="1" noChangeArrowheads="1"/>
                                                </pic:cNvPicPr>
                                              </pic:nvPicPr>
                                              <pic:blipFill>
                                                <a:blip r:embed="rId224"/>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6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77" descr=""/>
                                                <pic:cNvPicPr>
                                                  <a:picLocks noChangeAspect="1" noChangeArrowheads="1"/>
                                                </pic:cNvPicPr>
                                              </pic:nvPicPr>
                                              <pic:blipFill>
                                                <a:blip r:embed="rId225"/>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6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78" descr=""/>
                                                <pic:cNvPicPr>
                                                  <a:picLocks noChangeAspect="1" noChangeArrowheads="1"/>
                                                </pic:cNvPicPr>
                                              </pic:nvPicPr>
                                              <pic:blipFill>
                                                <a:blip r:embed="rId226"/>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7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79" descr=""/>
                                                <pic:cNvPicPr>
                                                  <a:picLocks noChangeAspect="1" noChangeArrowheads="1"/>
                                                </pic:cNvPicPr>
                                              </pic:nvPicPr>
                                              <pic:blipFill>
                                                <a:blip r:embed="rId227"/>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In addition to his industry-wide reputation, Mr. Green’s extensive skills and experience in real estate, including founding our predecessor company, provide the Board with invaluable knowledge of and expertise in our business and industry. This experience, particularly his experience having led our predecessor and the Company, contributes depth and context to the Board’s discussions of the Company’s business.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71"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Chairman Emeritus at the Company since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the Company from 1997 through January 2019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Former executive officer working in conjunction with our Chief Executive Officer and overseeing the Company’s long-term strategic direction; formerly served as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Founded our predecessor, S.L. Green Properties, Inc., in 1980; prior to our initial public offering in 1997, Mr. Green was involved in the acquisition of over 50 Manhattan office buildings containing in excess of 10.0 million square feet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Gramercy Capital Corp. from August 2004 to June 2009</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At-large member of the Executive Committee of the Board of Governors of the Real Estate Board of New York</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of Streetsquash, Inc., a Section 501(c)(3) tax-exempt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Previously member of the Board of Directors of Stemedica Cell Technologies, Inc., August 2007 to April 2009; Chairman of the Real Estate Board of New York’s Tax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B.A. degree from Hartwick College and J.D. degree from Boston College Law School</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69"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37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73" descr=""/>
                                          <pic:cNvPicPr>
                                            <a:picLocks noChangeAspect="1" noChangeArrowheads="1"/>
                                          </pic:cNvPicPr>
                                        </pic:nvPicPr>
                                        <pic:blipFill>
                                          <a:blip r:embed="rId228"/>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7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74" descr=""/>
                                          <pic:cNvPicPr>
                                            <a:picLocks noChangeAspect="1" noChangeArrowheads="1"/>
                                          </pic:cNvPicPr>
                                        </pic:nvPicPr>
                                        <pic:blipFill>
                                          <a:blip r:embed="rId229"/>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7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75" descr=""/>
                                          <pic:cNvPicPr>
                                            <a:picLocks noChangeAspect="1" noChangeArrowheads="1"/>
                                          </pic:cNvPicPr>
                                        </pic:nvPicPr>
                                        <pic:blipFill>
                                          <a:blip r:embed="rId230"/>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7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76" descr=""/>
                                          <pic:cNvPicPr>
                                            <a:picLocks noChangeAspect="1" noChangeArrowheads="1"/>
                                          </pic:cNvPicPr>
                                        </pic:nvPicPr>
                                        <pic:blipFill>
                                          <a:blip r:embed="rId231"/>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7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77" descr=""/>
                                          <pic:cNvPicPr>
                                            <a:picLocks noChangeAspect="1" noChangeArrowheads="1"/>
                                          </pic:cNvPicPr>
                                        </pic:nvPicPr>
                                        <pic:blipFill>
                                          <a:blip r:embed="rId232"/>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7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78" descr=""/>
                                          <pic:cNvPicPr>
                                            <a:picLocks noChangeAspect="1" noChangeArrowheads="1"/>
                                          </pic:cNvPicPr>
                                        </pic:nvPicPr>
                                        <pic:blipFill>
                                          <a:blip r:embed="rId233"/>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37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79" descr=""/>
                                          <pic:cNvPicPr>
                                            <a:picLocks noChangeAspect="1" noChangeArrowheads="1"/>
                                          </pic:cNvPicPr>
                                        </pic:nvPicPr>
                                        <pic:blipFill>
                                          <a:blip r:embed="rId234"/>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472">
                <wp:simplePos x="0" y="0"/>
                <wp:positionH relativeFrom="column">
                  <wp:align>left</wp:align>
                </wp:positionH>
                <wp:positionV relativeFrom="line">
                  <wp:align>top</wp:align>
                </wp:positionV>
                <wp:extent cx="114300" cy="350520"/>
                <wp:effectExtent l="0" t="0" r="0" b="0"/>
                <wp:wrapSquare wrapText="right"/>
                <wp:docPr id="378" name="Frame1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379"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380"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381"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382"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383"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384"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385"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386"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387"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18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4584700" cy="9972040"/>
                <wp:effectExtent l="0" t="0" r="0" b="0"/>
                <wp:wrapSquare wrapText="right"/>
                <wp:docPr id="388" name="Frame164"/>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190" w:before="500" w:after="283"/>
                              <w:jc w:val="left"/>
                              <w:rPr/>
                            </w:pPr>
                            <w:r>
                              <w:rPr>
                                <w:spacing w:val="-2"/>
                              </w:rPr>
                              <w:t>Mr. Hatkoff has in-depth expertise and knowledge of real estate, capital markets, finance, private investing, entrepreneurship, and executive management through his work with Chemical Bank, Victor Capital Group, and Capital Trust. As a result of the foregoing, Mr. Hatkoff provides the Board with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2"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04" w:before="104" w:after="0"/>
                              <w:ind w:left="200" w:right="0" w:hanging="0"/>
                              <w:jc w:val="left"/>
                              <w:rPr/>
                            </w:pPr>
                            <w:r>
                              <w:rPr>
                                <w:spacing w:val="-2"/>
                              </w:rPr>
                              <w:t>Vice Chairman of Capital Trust, Inc., a real estate investment management company that was listed on the New York Stock Exchange, and one of the largest dedicated real estate mezzanine lenders, from 1997 to 2000, and served on its Board of Directors from 1997 to 2010</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Trustee of the New York City School Construction Authority, the agency responsible for the construction of all public schools in New York City, from 2002 to 2005</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Founder and a managing partner of Victor Capital Group, L.P. from 1989 until its acquisition by Capital Trust, Inc. in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Former co-head of the real estate investment banking unit at Chemical Bank, where he was a pioneer in commercial mortgage securitization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Co-founder of the Tribeca Film Festival; Chairman of Turtle Pond Publications LLC, which is active in children’s publishing and entertainment, and private investor in other entrepreneurial ventures</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Adjunct Professor at Columbia Business School</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Colgate University Entrepreneur of the Year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Other Current or Previous Non-Profit Directorships: Sesame Workshop; Rock &amp; Roll Hall of Fame; Mandela Institute for Humanity; Desmond Tutu Peace Foundation, Wildlife Direct; Tribeca Film Institute</w:t>
                            </w:r>
                            <w:r>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Former member of the Board of Directors of Taubman Centers, Inc., 2004 to January 2019 and Colony Capital, Inc. from February 2019 to February 2021</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160" w:after="283"/>
                              <w:jc w:val="left"/>
                              <w:rPr>
                                <w:b/>
                                <w:color w:val="1F2668"/>
                                <w:sz w:val="22"/>
                              </w:rPr>
                            </w:pPr>
                            <w:r>
                              <w:rPr>
                                <w:b/>
                                <w:color w:val="1F2668"/>
                                <w:sz w:val="22"/>
                              </w:rPr>
                              <w:t>Other Public Board Directorships</w:t>
                            </w:r>
                            <w:r>
                              <w:rPr>
                                <w:b/>
                                <w:color w:val="000000"/>
                                <w:spacing w:val="4"/>
                                <w:sz w:val="22"/>
                              </w:rPr>
                              <w:t xml:space="preserve"> </w:t>
                            </w:r>
                          </w:p>
                          <w:p>
                            <w:pPr>
                              <w:pStyle w:val="TextBody"/>
                              <w:bidi w:val="0"/>
                              <w:spacing w:lineRule="atLeast" w:line="204" w:before="126" w:after="0"/>
                              <w:ind w:left="200" w:right="0" w:hanging="0"/>
                              <w:jc w:val="left"/>
                              <w:rPr/>
                            </w:pPr>
                            <w:r>
                              <w:rPr>
                                <w:spacing w:val="-2"/>
                              </w:rPr>
                              <w:t>Jaguar Global Growth Corporation I since February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Captivision since November 2023</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4"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69"/>
                              <w:gridCol w:w="109"/>
                              <w:gridCol w:w="109"/>
                              <w:gridCol w:w="803"/>
                              <w:gridCol w:w="109"/>
                              <w:gridCol w:w="109"/>
                              <w:gridCol w:w="5172"/>
                              <w:gridCol w:w="155"/>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8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81" descr=""/>
                                                <pic:cNvPicPr>
                                                  <a:picLocks noChangeAspect="1" noChangeArrowheads="1"/>
                                                </pic:cNvPicPr>
                                              </pic:nvPicPr>
                                              <pic:blipFill>
                                                <a:blip r:embed="rId23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39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82" descr=""/>
                                                <pic:cNvPicPr>
                                                  <a:picLocks noChangeAspect="1" noChangeArrowheads="1"/>
                                                </pic:cNvPicPr>
                                              </pic:nvPicPr>
                                              <pic:blipFill>
                                                <a:blip r:embed="rId236"/>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39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83" descr=""/>
                                                <pic:cNvPicPr>
                                                  <a:picLocks noChangeAspect="1" noChangeArrowheads="1"/>
                                                </pic:cNvPicPr>
                                              </pic:nvPicPr>
                                              <pic:blipFill>
                                                <a:blip r:embed="rId237"/>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39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84" descr=""/>
                                                <pic:cNvPicPr>
                                                  <a:picLocks noChangeAspect="1" noChangeArrowheads="1"/>
                                                </pic:cNvPicPr>
                                              </pic:nvPicPr>
                                              <pic:blipFill>
                                                <a:blip r:embed="rId238"/>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39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85" descr=""/>
                                                <pic:cNvPicPr>
                                                  <a:picLocks noChangeAspect="1" noChangeArrowheads="1"/>
                                                </pic:cNvPicPr>
                                              </pic:nvPicPr>
                                              <pic:blipFill>
                                                <a:blip r:embed="rId239"/>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9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86" descr=""/>
                                                <pic:cNvPicPr>
                                                  <a:picLocks noChangeAspect="1" noChangeArrowheads="1"/>
                                                </pic:cNvPicPr>
                                              </pic:nvPicPr>
                                              <pic:blipFill>
                                                <a:blip r:embed="rId240"/>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39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87" descr=""/>
                                                <pic:cNvPicPr>
                                                  <a:picLocks noChangeAspect="1" noChangeArrowheads="1"/>
                                                </pic:cNvPicPr>
                                              </pic:nvPicPr>
                                              <pic:blipFill>
                                                <a:blip r:embed="rId241"/>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39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88" descr=""/>
                                                <pic:cNvPicPr>
                                                  <a:picLocks noChangeAspect="1" noChangeArrowheads="1"/>
                                                </pic:cNvPicPr>
                                              </pic:nvPicPr>
                                              <pic:blipFill>
                                                <a:blip r:embed="rId242"/>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39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89" descr=""/>
                                                <pic:cNvPicPr>
                                                  <a:picLocks noChangeAspect="1" noChangeArrowheads="1"/>
                                                </pic:cNvPicPr>
                                              </pic:nvPicPr>
                                              <pic:blipFill>
                                                <a:blip r:embed="rId243"/>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39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90" descr=""/>
                                                <pic:cNvPicPr>
                                                  <a:picLocks noChangeAspect="1" noChangeArrowheads="1"/>
                                                </pic:cNvPicPr>
                                              </pic:nvPicPr>
                                              <pic:blipFill>
                                                <a:blip r:embed="rId244"/>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Technology/Cybersecurity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190" w:before="500" w:after="283"/>
                        <w:jc w:val="left"/>
                        <w:rPr/>
                      </w:pPr>
                      <w:r>
                        <w:rPr>
                          <w:spacing w:val="-2"/>
                        </w:rPr>
                        <w:t>Mr. Hatkoff has in-depth expertise and knowledge of real estate, capital markets, finance, private investing, entrepreneurship, and executive management through his work with Chemical Bank, Victor Capital Group, and Capital Trust. As a result of the foregoing, Mr. Hatkoff provides the Board with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prior service at Taubman Centers, Inc. and his long-standing service to Capital Trust, Inc., which enables him to provide significant insight as to governance and compliance-related matters particular to real estate companies.</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2"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04" w:before="104" w:after="0"/>
                        <w:ind w:left="200" w:right="0" w:hanging="0"/>
                        <w:jc w:val="left"/>
                        <w:rPr/>
                      </w:pPr>
                      <w:r>
                        <w:rPr>
                          <w:spacing w:val="-2"/>
                        </w:rPr>
                        <w:t>Vice Chairman of Capital Trust, Inc., a real estate investment management company that was listed on the New York Stock Exchange, and one of the largest dedicated real estate mezzanine lenders, from 1997 to 2000, and served on its Board of Directors from 1997 to 2010</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Trustee of the New York City School Construction Authority, the agency responsible for the construction of all public schools in New York City, from 2002 to 2005</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Founder and a managing partner of Victor Capital Group, L.P. from 1989 until its acquisition by Capital Trust, Inc. in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Former co-head of the real estate investment banking unit at Chemical Bank, where he was a pioneer in commercial mortgage securitization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Co-founder of the Tribeca Film Festival; Chairman of Turtle Pond Publications LLC, which is active in children’s publishing and entertainment, and private investor in other entrepreneurial ventures</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Adjunct Professor at Columbia Business School</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Colgate University Entrepreneur of the Year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Other Current or Previous Non-Profit Directorships: Sesame Workshop; Rock &amp; Roll Hall of Fame; Mandela Institute for Humanity; Desmond Tutu Peace Foundation, Wildlife Direct; Tribeca Film Institute</w:t>
                      </w:r>
                      <w:r>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Former member of the Board of Directors of Taubman Centers, Inc., 2004 to January 2019 and Colony Capital, Inc. from February 2019 to February 2021</w:t>
                      </w:r>
                      <w:r>
                        <w:rPr>
                          <w:spacing w:val="4"/>
                        </w:rPr>
                        <w:t xml:space="preserve"> </w:t>
                      </w:r>
                    </w:p>
                    <w:p>
                      <w:pPr>
                        <w:pStyle w:val="TextBody"/>
                        <w:bidi w:val="0"/>
                        <w:spacing w:before="0" w:after="0"/>
                        <w:ind w:left="0" w:right="0" w:hanging="0"/>
                        <w:jc w:val="left"/>
                        <w:rPr/>
                      </w:pPr>
                      <w:r>
                        <w:rPr/>
                        <w:t>​</w:t>
                      </w:r>
                    </w:p>
                    <w:p>
                      <w:pPr>
                        <w:pStyle w:val="TextBody"/>
                        <w:bidi w:val="0"/>
                        <w:spacing w:lineRule="atLeast" w:line="260" w:before="160" w:after="283"/>
                        <w:jc w:val="left"/>
                        <w:rPr>
                          <w:b/>
                          <w:color w:val="1F2668"/>
                          <w:sz w:val="22"/>
                        </w:rPr>
                      </w:pPr>
                      <w:r>
                        <w:rPr>
                          <w:b/>
                          <w:color w:val="1F2668"/>
                          <w:sz w:val="22"/>
                        </w:rPr>
                        <w:t>Other Public Board Directorships</w:t>
                      </w:r>
                      <w:r>
                        <w:rPr>
                          <w:b/>
                          <w:color w:val="000000"/>
                          <w:spacing w:val="4"/>
                          <w:sz w:val="22"/>
                        </w:rPr>
                        <w:t xml:space="preserve"> </w:t>
                      </w:r>
                    </w:p>
                    <w:p>
                      <w:pPr>
                        <w:pStyle w:val="TextBody"/>
                        <w:bidi w:val="0"/>
                        <w:spacing w:lineRule="atLeast" w:line="204" w:before="126" w:after="0"/>
                        <w:ind w:left="200" w:right="0" w:hanging="0"/>
                        <w:jc w:val="left"/>
                        <w:rPr/>
                      </w:pPr>
                      <w:r>
                        <w:rPr>
                          <w:spacing w:val="-2"/>
                        </w:rPr>
                        <w:t>Jaguar Global Growth Corporation I since February 2022</w:t>
                      </w:r>
                      <w:r>
                        <w:rPr>
                          <w:spacing w:val="4"/>
                        </w:rPr>
                        <w:t xml:space="preserve"> </w:t>
                      </w:r>
                    </w:p>
                    <w:p>
                      <w:pPr>
                        <w:pStyle w:val="TextBody"/>
                        <w:bidi w:val="0"/>
                        <w:spacing w:before="0" w:after="0"/>
                        <w:ind w:left="0" w:right="0" w:hanging="0"/>
                        <w:jc w:val="left"/>
                        <w:rPr/>
                      </w:pPr>
                      <w:r>
                        <w:rPr/>
                        <w:t>​</w:t>
                      </w:r>
                    </w:p>
                    <w:p>
                      <w:pPr>
                        <w:pStyle w:val="TextBody"/>
                        <w:bidi w:val="0"/>
                        <w:spacing w:lineRule="atLeast" w:line="204" w:before="50" w:after="0"/>
                        <w:ind w:left="200" w:right="0" w:hanging="0"/>
                        <w:jc w:val="left"/>
                        <w:rPr/>
                      </w:pPr>
                      <w:r>
                        <w:rPr>
                          <w:spacing w:val="-2"/>
                        </w:rPr>
                        <w:t>Captivision since November 2023</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174" w:after="283"/>
                        <w:jc w:val="left"/>
                        <w:rPr>
                          <w:b/>
                          <w:color w:val="1F2668"/>
                          <w:sz w:val="22"/>
                        </w:rPr>
                      </w:pPr>
                      <w:r>
                        <w:rPr>
                          <w:b/>
                          <w:color w:val="1F2668"/>
                          <w:sz w:val="22"/>
                        </w:rPr>
                        <w:t>Skills, Experiences and Attributes</w:t>
                      </w:r>
                      <w:r>
                        <w:rPr>
                          <w:b/>
                          <w:color w:val="000000"/>
                          <w:spacing w:val="4"/>
                          <w:sz w:val="22"/>
                        </w:rPr>
                        <w:t xml:space="preserve"> </w:t>
                      </w:r>
                    </w:p>
                    <w:tbl>
                      <w:tblPr>
                        <w:tblW w:w="10205" w:type="dxa"/>
                        <w:jc w:val="left"/>
                        <w:tblInd w:w="0" w:type="dxa"/>
                        <w:tblLayout w:type="fixed"/>
                        <w:tblCellMar>
                          <w:top w:w="0" w:type="dxa"/>
                          <w:left w:w="0" w:type="dxa"/>
                          <w:bottom w:w="0" w:type="dxa"/>
                          <w:right w:w="0" w:type="dxa"/>
                        </w:tblCellMar>
                      </w:tblPr>
                      <w:tblGrid>
                        <w:gridCol w:w="124"/>
                        <w:gridCol w:w="728"/>
                        <w:gridCol w:w="109"/>
                        <w:gridCol w:w="109"/>
                        <w:gridCol w:w="2569"/>
                        <w:gridCol w:w="109"/>
                        <w:gridCol w:w="109"/>
                        <w:gridCol w:w="803"/>
                        <w:gridCol w:w="109"/>
                        <w:gridCol w:w="109"/>
                        <w:gridCol w:w="5172"/>
                        <w:gridCol w:w="155"/>
                      </w:tblGrid>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90525"/>
                                  <wp:effectExtent l="0" t="0" r="0" b="0"/>
                                  <wp:docPr id="39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81" descr=""/>
                                          <pic:cNvPicPr>
                                            <a:picLocks noChangeAspect="1" noChangeArrowheads="1"/>
                                          </pic:cNvPicPr>
                                        </pic:nvPicPr>
                                        <pic:blipFill>
                                          <a:blip r:embed="rId24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0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82" descr=""/>
                                          <pic:cNvPicPr>
                                            <a:picLocks noChangeAspect="1" noChangeArrowheads="1"/>
                                          </pic:cNvPicPr>
                                        </pic:nvPicPr>
                                        <pic:blipFill>
                                          <a:blip r:embed="rId246"/>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0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83" descr=""/>
                                          <pic:cNvPicPr>
                                            <a:picLocks noChangeAspect="1" noChangeArrowheads="1"/>
                                          </pic:cNvPicPr>
                                        </pic:nvPicPr>
                                        <pic:blipFill>
                                          <a:blip r:embed="rId247"/>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419100" cy="419100"/>
                                  <wp:effectExtent l="0" t="0" r="0" b="0"/>
                                  <wp:docPr id="40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84" descr=""/>
                                          <pic:cNvPicPr>
                                            <a:picLocks noChangeAspect="1" noChangeArrowheads="1"/>
                                          </pic:cNvPicPr>
                                        </pic:nvPicPr>
                                        <pic:blipFill>
                                          <a:blip r:embed="rId248"/>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Public Company Board Service/ Corporate Governance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0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85" descr=""/>
                                          <pic:cNvPicPr>
                                            <a:picLocks noChangeAspect="1" noChangeArrowheads="1"/>
                                          </pic:cNvPicPr>
                                        </pic:nvPicPr>
                                        <pic:blipFill>
                                          <a:blip r:embed="rId249"/>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0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86" descr=""/>
                                          <pic:cNvPicPr>
                                            <a:picLocks noChangeAspect="1" noChangeArrowheads="1"/>
                                          </pic:cNvPicPr>
                                        </pic:nvPicPr>
                                        <pic:blipFill>
                                          <a:blip r:embed="rId250"/>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0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87" descr=""/>
                                          <pic:cNvPicPr>
                                            <a:picLocks noChangeAspect="1" noChangeArrowheads="1"/>
                                          </pic:cNvPicPr>
                                        </pic:nvPicPr>
                                        <pic:blipFill>
                                          <a:blip r:embed="rId251"/>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257175"/>
                                  <wp:effectExtent l="0" t="0" r="0" b="0"/>
                                  <wp:docPr id="40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88" descr=""/>
                                          <pic:cNvPicPr>
                                            <a:picLocks noChangeAspect="1" noChangeArrowheads="1"/>
                                          </pic:cNvPicPr>
                                        </pic:nvPicPr>
                                        <pic:blipFill>
                                          <a:blip r:embed="rId252"/>
                                          <a:stretch>
                                            <a:fillRect/>
                                          </a:stretch>
                                        </pic:blipFill>
                                        <pic:spPr bwMode="auto">
                                          <a:xfrm>
                                            <a:off x="0" y="0"/>
                                            <a:ext cx="333375" cy="2571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Academia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28"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0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89" descr=""/>
                                          <pic:cNvPicPr>
                                            <a:picLocks noChangeAspect="1" noChangeArrowheads="1"/>
                                          </pic:cNvPicPr>
                                        </pic:nvPicPr>
                                        <pic:blipFill>
                                          <a:blip r:embed="rId253"/>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69"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Accounting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295275"/>
                                  <wp:effectExtent l="0" t="0" r="0" b="0"/>
                                  <wp:docPr id="40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90" descr=""/>
                                          <pic:cNvPicPr>
                                            <a:picLocks noChangeAspect="1" noChangeArrowheads="1"/>
                                          </pic:cNvPicPr>
                                        </pic:nvPicPr>
                                        <pic:blipFill>
                                          <a:blip r:embed="rId254"/>
                                          <a:stretch>
                                            <a:fillRect/>
                                          </a:stretch>
                                        </pic:blipFill>
                                        <pic:spPr bwMode="auto">
                                          <a:xfrm>
                                            <a:off x="0" y="0"/>
                                            <a:ext cx="371475" cy="2952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72" w:type="dxa"/>
                            <w:tcBorders/>
                            <w:tcMar>
                              <w:top w:w="28" w:type="dxa"/>
                              <w:left w:w="28" w:type="dxa"/>
                              <w:bottom w:w="28" w:type="dxa"/>
                              <w:right w:w="28" w:type="dxa"/>
                            </w:tcMar>
                            <w:vAlign w:val="center"/>
                          </w:tcPr>
                          <w:p>
                            <w:pPr>
                              <w:pStyle w:val="TableContents"/>
                              <w:bidi w:val="0"/>
                              <w:spacing w:lineRule="atLeast" w:line="220" w:before="0" w:after="0"/>
                              <w:jc w:val="left"/>
                              <w:rPr/>
                            </w:pPr>
                            <w:r>
                              <w:rPr>
                                <w:spacing w:val="-2"/>
                              </w:rPr>
                              <w:t>Technology/Cybersecurity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104">
                <wp:simplePos x="0" y="0"/>
                <wp:positionH relativeFrom="column">
                  <wp:align>left</wp:align>
                </wp:positionH>
                <wp:positionV relativeFrom="line">
                  <wp:posOffset>635</wp:posOffset>
                </wp:positionV>
                <wp:extent cx="1562100" cy="6129655"/>
                <wp:effectExtent l="0" t="0" r="0" b="0"/>
                <wp:wrapSquare wrapText="right"/>
                <wp:docPr id="409" name="Frame161"/>
                <a:graphic xmlns:a="http://schemas.openxmlformats.org/drawingml/2006/main">
                  <a:graphicData uri="http://schemas.microsoft.com/office/word/2010/wordprocessingShape">
                    <wps:wsp>
                      <wps:cNvSpPr txBox="1"/>
                      <wps:spPr>
                        <a:xfrm>
                          <a:off x="0" y="0"/>
                          <a:ext cx="1562100" cy="612965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432" w:type="dxa"/>
                              <w:jc w:val="left"/>
                              <w:tblInd w:w="0" w:type="dxa"/>
                              <w:tblLayout w:type="fixed"/>
                              <w:tblCellMar>
                                <w:top w:w="0" w:type="dxa"/>
                                <w:left w:w="0" w:type="dxa"/>
                                <w:bottom w:w="0" w:type="dxa"/>
                                <w:right w:w="0" w:type="dxa"/>
                              </w:tblCellMar>
                            </w:tblPr>
                            <w:tblGrid>
                              <w:gridCol w:w="124"/>
                              <w:gridCol w:w="109"/>
                              <w:gridCol w:w="59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36" w:type="dxa"/>
                                  <w:tcBorders/>
                                  <w:shd w:fill="1F2668" w:val="clear"/>
                                  <w:vAlign w:val="center"/>
                                </w:tcPr>
                                <w:p>
                                  <w:pPr>
                                    <w:pStyle w:val="TableContents"/>
                                    <w:bidi w:val="0"/>
                                    <w:spacing w:lineRule="atLeast" w:line="280" w:before="0" w:after="0"/>
                                    <w:ind w:left="0" w:right="160" w:hanging="0"/>
                                    <w:jc w:val="left"/>
                                    <w:rPr>
                                      <w:sz w:val="24"/>
                                    </w:rPr>
                                  </w:pPr>
                                  <w:r>
                                    <w:rPr>
                                      <w:sz w:val="24"/>
                                    </w:rPr>
                                    <w:t>CRAIG M.</w:t>
                                    <w:br/>
                                    <w:t>HATKOFF</w:t>
                                  </w:r>
                                </w:p>
                                <w:p>
                                  <w:pPr>
                                    <w:pStyle w:val="TableContents"/>
                                    <w:bidi w:val="0"/>
                                    <w:spacing w:before="200" w:after="283"/>
                                    <w:ind w:left="0" w:right="160" w:hanging="0"/>
                                    <w:jc w:val="left"/>
                                    <w:rPr/>
                                  </w:pPr>
                                  <w:r>
                                    <w:rPr/>
                                    <w:drawing>
                                      <wp:inline distT="0" distB="0" distL="0" distR="0">
                                        <wp:extent cx="1219200" cy="1524000"/>
                                        <wp:effectExtent l="0" t="0" r="0" b="0"/>
                                        <wp:docPr id="41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80" descr=""/>
                                                <pic:cNvPicPr>
                                                  <a:picLocks noChangeAspect="1" noChangeArrowheads="1"/>
                                                </pic:cNvPicPr>
                                              </pic:nvPicPr>
                                              <pic:blipFill>
                                                <a:blip r:embed="rId255"/>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Independent 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2011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70</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180" w:before="160" w:after="0"/>
                                    <w:ind w:left="180" w:right="160" w:hanging="0"/>
                                    <w:jc w:val="left"/>
                                    <w:rPr>
                                      <w:b w:val="false"/>
                                    </w:rPr>
                                  </w:pPr>
                                  <w:r>
                                    <w:rPr>
                                      <w:b/>
                                    </w:rPr>
                                    <w:t>Audit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t>Nominating and Corporate Governance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82.6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432" w:type="dxa"/>
                        <w:jc w:val="left"/>
                        <w:tblInd w:w="0" w:type="dxa"/>
                        <w:tblLayout w:type="fixed"/>
                        <w:tblCellMar>
                          <w:top w:w="0" w:type="dxa"/>
                          <w:left w:w="0" w:type="dxa"/>
                          <w:bottom w:w="0" w:type="dxa"/>
                          <w:right w:w="0" w:type="dxa"/>
                        </w:tblCellMar>
                      </w:tblPr>
                      <w:tblGrid>
                        <w:gridCol w:w="124"/>
                        <w:gridCol w:w="109"/>
                        <w:gridCol w:w="593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936" w:type="dxa"/>
                            <w:tcBorders/>
                            <w:shd w:fill="1F2668" w:val="clear"/>
                            <w:vAlign w:val="center"/>
                          </w:tcPr>
                          <w:p>
                            <w:pPr>
                              <w:pStyle w:val="TableContents"/>
                              <w:bidi w:val="0"/>
                              <w:spacing w:lineRule="atLeast" w:line="280" w:before="0" w:after="0"/>
                              <w:ind w:left="0" w:right="160" w:hanging="0"/>
                              <w:jc w:val="left"/>
                              <w:rPr>
                                <w:sz w:val="24"/>
                              </w:rPr>
                            </w:pPr>
                            <w:r>
                              <w:rPr>
                                <w:sz w:val="24"/>
                              </w:rPr>
                              <w:t>CRAIG M.</w:t>
                              <w:br/>
                              <w:t>HATKOFF</w:t>
                            </w:r>
                          </w:p>
                          <w:p>
                            <w:pPr>
                              <w:pStyle w:val="TableContents"/>
                              <w:bidi w:val="0"/>
                              <w:spacing w:before="200" w:after="283"/>
                              <w:ind w:left="0" w:right="160" w:hanging="0"/>
                              <w:jc w:val="left"/>
                              <w:rPr/>
                            </w:pPr>
                            <w:r>
                              <w:rPr/>
                              <w:drawing>
                                <wp:inline distT="0" distB="0" distL="0" distR="0">
                                  <wp:extent cx="1219200" cy="1524000"/>
                                  <wp:effectExtent l="0" t="0" r="0" b="0"/>
                                  <wp:docPr id="41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80" descr=""/>
                                          <pic:cNvPicPr>
                                            <a:picLocks noChangeAspect="1" noChangeArrowheads="1"/>
                                          </pic:cNvPicPr>
                                        </pic:nvPicPr>
                                        <pic:blipFill>
                                          <a:blip r:embed="rId256"/>
                                          <a:stretch>
                                            <a:fillRect/>
                                          </a:stretch>
                                        </pic:blipFill>
                                        <pic:spPr bwMode="auto">
                                          <a:xfrm>
                                            <a:off x="0" y="0"/>
                                            <a:ext cx="1219200" cy="1524000"/>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Independent 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2011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70</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180" w:before="160" w:after="0"/>
                              <w:ind w:left="180" w:right="160" w:hanging="0"/>
                              <w:jc w:val="left"/>
                              <w:rPr>
                                <w:b w:val="false"/>
                              </w:rPr>
                            </w:pPr>
                            <w:r>
                              <w:rPr>
                                <w:b/>
                              </w:rPr>
                              <w:t>Audit Committee</w:t>
                            </w:r>
                            <w:r>
                              <w:rPr>
                                <w:b w:val="false"/>
                              </w:rPr>
                              <w:t xml:space="preserve"> </w:t>
                            </w:r>
                          </w:p>
                          <w:p>
                            <w:pPr>
                              <w:pStyle w:val="TableContents"/>
                              <w:bidi w:val="0"/>
                              <w:spacing w:before="0" w:after="0"/>
                              <w:ind w:left="0" w:right="0" w:hanging="0"/>
                              <w:jc w:val="left"/>
                              <w:rPr/>
                            </w:pPr>
                            <w:r>
                              <w:rPr/>
                              <w:t>​</w:t>
                            </w:r>
                          </w:p>
                          <w:p>
                            <w:pPr>
                              <w:pStyle w:val="TableContents"/>
                              <w:bidi w:val="0"/>
                              <w:spacing w:lineRule="atLeast" w:line="220" w:before="100" w:after="0"/>
                              <w:ind w:left="180" w:right="160" w:hanging="0"/>
                              <w:jc w:val="left"/>
                              <w:rPr/>
                            </w:pPr>
                            <w:r>
                              <w:rPr/>
                              <w:t>Nominating and Corporate Governance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6040" distB="0" distL="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12"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13"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14"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15"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16"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17"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18"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19"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20"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21"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31750" distB="0" distL="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22"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4"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4"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82">
                <wp:simplePos x="0" y="0"/>
                <wp:positionH relativeFrom="column">
                  <wp:align>left</wp:align>
                </wp:positionH>
                <wp:positionV relativeFrom="line">
                  <wp:align>top</wp:align>
                </wp:positionV>
                <wp:extent cx="114300" cy="350520"/>
                <wp:effectExtent l="0" t="0" r="0" b="0"/>
                <wp:wrapSquare wrapText="right"/>
                <wp:docPr id="423" name="Frame1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 w:val="false"/>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 w:val="false"/>
                        </w:rPr>
                        <w:br/>
                      </w:r>
                    </w:p>
                  </w:txbxContent>
                </v:textbox>
                <w10:wrap type="square" side="right"/>
              </v:rect>
            </w:pict>
          </mc:Fallback>
        </mc:AlternateContent>
      </w:r>
      <w:r>
        <mc:AlternateContent>
          <mc:Choice Requires="wps">
            <w:drawing>
              <wp:anchor behindDoc="0" distT="63500" distB="0" distL="0" distR="0" simplePos="0" locked="0" layoutInCell="1" allowOverlap="1" relativeHeight="483">
                <wp:simplePos x="0" y="0"/>
                <wp:positionH relativeFrom="column">
                  <wp:align>left</wp:align>
                </wp:positionH>
                <wp:positionV relativeFrom="line">
                  <wp:align>top</wp:align>
                </wp:positionV>
                <wp:extent cx="114300" cy="350520"/>
                <wp:effectExtent l="0" t="0" r="0" b="0"/>
                <wp:wrapSquare wrapText="right"/>
                <wp:docPr id="424" name="Frame1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19</w:t>
            </w:r>
          </w:p>
        </w:tc>
        <w:tc>
          <w:tcPr>
            <w:tcW w:w="154" w:type="dxa"/>
            <w:tcBorders/>
            <w:vAlign w:val="center"/>
          </w:tcPr>
          <w:p>
            <w:pPr>
              <w:pStyle w:val="TableContents"/>
              <w:bidi w:val="0"/>
              <w:spacing w:before="0" w:after="283"/>
              <w:jc w:val="left"/>
              <w:rPr/>
            </w:pPr>
            <w:r>
              <w:rPr/>
              <w:t>​</w:t>
            </w:r>
          </w:p>
        </w:tc>
      </w:tr>
    </w:tbl>
    <w:p>
      <w:pPr>
        <w:pStyle w:val="TextBody"/>
        <w:bidi w:val="0"/>
        <w:spacing w:before="0" w:after="3611"/>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254000" distR="0" simplePos="0" locked="0" layoutInCell="1" allowOverlap="1" relativeHeight="42">
                <wp:simplePos x="0" y="0"/>
                <wp:positionH relativeFrom="column">
                  <wp:align>left</wp:align>
                </wp:positionH>
                <wp:positionV relativeFrom="line">
                  <wp:posOffset>635</wp:posOffset>
                </wp:positionV>
                <wp:extent cx="4584700" cy="9972040"/>
                <wp:effectExtent l="0" t="0" r="0" b="0"/>
                <wp:wrapSquare wrapText="right"/>
                <wp:docPr id="425" name="Frame178"/>
                <a:graphic xmlns:a="http://schemas.openxmlformats.org/drawingml/2006/main">
                  <a:graphicData uri="http://schemas.microsoft.com/office/word/2010/wordprocessingShape">
                    <wps:wsp>
                      <wps:cNvSpPr txBox="1"/>
                      <wps:spPr>
                        <a:xfrm>
                          <a:off x="0" y="0"/>
                          <a:ext cx="4584700" cy="9972040"/>
                        </a:xfrm>
                        <a:prstGeom prst="rect"/>
                        <a:solidFill>
                          <a:srgbClr val="FFFFFF"/>
                        </a:solidFill>
                      </wps:spPr>
                      <wps:txbx>
                        <w:txbxContent>
                          <w:p>
                            <w:pPr>
                              <w:pStyle w:val="TextBody"/>
                              <w:bidi w:val="0"/>
                              <w:spacing w:lineRule="atLeast" w:line="230" w:before="500" w:after="283"/>
                              <w:jc w:val="left"/>
                              <w:rPr/>
                            </w:pPr>
                            <w:r>
                              <w:rPr>
                                <w:spacing w:val="-2"/>
                              </w:rPr>
                              <w:t>Mr. Holliday’s extensive experience and skills in real estate and finance, as well as his role as Chief Executive Officer and Interim President of the Company, provide the Board with valuable knowledge of and expertise in our business and industry. Furthermore, Mr. Holliday’s role as Chairman and Chief Executive Officer facilitates communication between the Board and the Company’s senior management.</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1"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Chief Executive Officer of the Company since January 2004; Chairman of the Board since January 2019; Interim President of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as Chief Investment Officer in July 1998; stepped down as President in April 2007 following promotion of Andrew Mathias to that 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and Chief Executive Officer of Gramercy Capital Corp., from August 2004 to October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and Head of Direct Originations for New York-based Capital Trust Inc., a mezzanine finance company, where he was in charge of originating direct principal investments for the firm, consisting of mezzanine debt, preferred equity and first mortgages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various management positions, including Senior Vice President at Capital Trust, Inc.’s predecessor, Victor Capital Group, L.P. from 1991 to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Directors of NYRA, Executive Committee member of the Real Estate Board of New York Board of Governors, and a former member of the Board of Directors of Columbia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Business and Finance from Lehigh University in 1988 and M.S. degree in Real Estate Development from Columbia University in 1990</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1"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2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92" descr=""/>
                                                <pic:cNvPicPr>
                                                  <a:picLocks noChangeAspect="1" noChangeArrowheads="1"/>
                                                </pic:cNvPicPr>
                                              </pic:nvPicPr>
                                              <pic:blipFill>
                                                <a:blip r:embed="rId257"/>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2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93" descr=""/>
                                                <pic:cNvPicPr>
                                                  <a:picLocks noChangeAspect="1" noChangeArrowheads="1"/>
                                                </pic:cNvPicPr>
                                              </pic:nvPicPr>
                                              <pic:blipFill>
                                                <a:blip r:embed="rId258"/>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2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94" descr=""/>
                                                <pic:cNvPicPr>
                                                  <a:picLocks noChangeAspect="1" noChangeArrowheads="1"/>
                                                </pic:cNvPicPr>
                                              </pic:nvPicPr>
                                              <pic:blipFill>
                                                <a:blip r:embed="rId259"/>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2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95" descr=""/>
                                                <pic:cNvPicPr>
                                                  <a:picLocks noChangeAspect="1" noChangeArrowheads="1"/>
                                                </pic:cNvPicPr>
                                              </pic:nvPicPr>
                                              <pic:blipFill>
                                                <a:blip r:embed="rId260"/>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3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96" descr=""/>
                                                <pic:cNvPicPr>
                                                  <a:picLocks noChangeAspect="1" noChangeArrowheads="1"/>
                                                </pic:cNvPicPr>
                                              </pic:nvPicPr>
                                              <pic:blipFill>
                                                <a:blip r:embed="rId261"/>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3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97" descr=""/>
                                                <pic:cNvPicPr>
                                                  <a:picLocks noChangeAspect="1" noChangeArrowheads="1"/>
                                                </pic:cNvPicPr>
                                              </pic:nvPicPr>
                                              <pic:blipFill>
                                                <a:blip r:embed="rId262"/>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3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98" descr=""/>
                                                <pic:cNvPicPr>
                                                  <a:picLocks noChangeAspect="1" noChangeArrowheads="1"/>
                                                </pic:cNvPicPr>
                                              </pic:nvPicPr>
                                              <pic:blipFill>
                                                <a:blip r:embed="rId263"/>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Holliday’s extensive experience and skills in real estate and finance, as well as his role as Chief Executive Officer and Interim President of the Company, provide the Board with valuable knowledge of and expertise in our business and industry. Furthermore, Mr. Holliday’s role as Chairman and Chief Executive Officer facilitates communication between the Board and the Company’s senior management.</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1"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Chief Executive Officer of the Company since January 2004; Chairman of the Board since January 2019; Interim President of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as Chief Investment Officer in July 1998; stepped down as President in April 2007 following promotion of Andrew Mathias to that position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and Chief Executive Officer of Gramercy Capital Corp., from August 2004 to October 2008</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Managing Director and Head of Direct Originations for New York-based Capital Trust Inc., a mezzanine finance company, where he was in charge of originating direct principal investments for the firm, consisting of mezzanine debt, preferred equity and first mortgages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Served in various management positions, including Senior Vice President at Capital Trust, Inc.’s predecessor, Victor Capital Group, L.P. from 1991 to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Chairman of the Board of Directors of NYRA, Executive Committee member of the Real Estate Board of New York Board of Governors, and a former member of the Board of Directors of Columbia University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Business and Finance from Lehigh University in 1988 and M.S. degree in Real Estate Development from Columbia University in 1990</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1"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3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192" descr=""/>
                                          <pic:cNvPicPr>
                                            <a:picLocks noChangeAspect="1" noChangeArrowheads="1"/>
                                          </pic:cNvPicPr>
                                        </pic:nvPicPr>
                                        <pic:blipFill>
                                          <a:blip r:embed="rId264"/>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3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93" descr=""/>
                                          <pic:cNvPicPr>
                                            <a:picLocks noChangeAspect="1" noChangeArrowheads="1"/>
                                          </pic:cNvPicPr>
                                        </pic:nvPicPr>
                                        <pic:blipFill>
                                          <a:blip r:embed="rId265"/>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3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194" descr=""/>
                                          <pic:cNvPicPr>
                                            <a:picLocks noChangeAspect="1" noChangeArrowheads="1"/>
                                          </pic:cNvPicPr>
                                        </pic:nvPicPr>
                                        <pic:blipFill>
                                          <a:blip r:embed="rId266"/>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3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195" descr=""/>
                                          <pic:cNvPicPr>
                                            <a:picLocks noChangeAspect="1" noChangeArrowheads="1"/>
                                          </pic:cNvPicPr>
                                        </pic:nvPicPr>
                                        <pic:blipFill>
                                          <a:blip r:embed="rId267"/>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3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196" descr=""/>
                                          <pic:cNvPicPr>
                                            <a:picLocks noChangeAspect="1" noChangeArrowheads="1"/>
                                          </pic:cNvPicPr>
                                        </pic:nvPicPr>
                                        <pic:blipFill>
                                          <a:blip r:embed="rId268"/>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3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197" descr=""/>
                                          <pic:cNvPicPr>
                                            <a:picLocks noChangeAspect="1" noChangeArrowheads="1"/>
                                          </pic:cNvPicPr>
                                        </pic:nvPicPr>
                                        <pic:blipFill>
                                          <a:blip r:embed="rId269"/>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3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198" descr=""/>
                                          <pic:cNvPicPr>
                                            <a:picLocks noChangeAspect="1" noChangeArrowheads="1"/>
                                          </pic:cNvPicPr>
                                        </pic:nvPicPr>
                                        <pic:blipFill>
                                          <a:blip r:embed="rId270"/>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571500" distR="0" simplePos="0" locked="0" layoutInCell="1" allowOverlap="1" relativeHeight="79">
                <wp:simplePos x="0" y="0"/>
                <wp:positionH relativeFrom="column">
                  <wp:align>left</wp:align>
                </wp:positionH>
                <wp:positionV relativeFrom="line">
                  <wp:posOffset>635</wp:posOffset>
                </wp:positionV>
                <wp:extent cx="1562100" cy="5848985"/>
                <wp:effectExtent l="0" t="0" r="0" b="0"/>
                <wp:wrapSquare wrapText="right"/>
                <wp:docPr id="440" name="Frame176"/>
                <a:graphic xmlns:a="http://schemas.openxmlformats.org/drawingml/2006/main">
                  <a:graphicData uri="http://schemas.microsoft.com/office/word/2010/wordprocessingShape">
                    <wps:wsp>
                      <wps:cNvSpPr txBox="1"/>
                      <wps:spPr>
                        <a:xfrm>
                          <a:off x="0" y="0"/>
                          <a:ext cx="1562100" cy="584898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7227" w:type="dxa"/>
                              <w:jc w:val="left"/>
                              <w:tblInd w:w="0" w:type="dxa"/>
                              <w:tblLayout w:type="fixed"/>
                              <w:tblCellMar>
                                <w:top w:w="0" w:type="dxa"/>
                                <w:left w:w="0" w:type="dxa"/>
                                <w:bottom w:w="0" w:type="dxa"/>
                                <w:right w:w="0" w:type="dxa"/>
                              </w:tblCellMar>
                            </w:tblPr>
                            <w:tblGrid>
                              <w:gridCol w:w="124"/>
                              <w:gridCol w:w="109"/>
                              <w:gridCol w:w="6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1" w:type="dxa"/>
                                  <w:tcBorders/>
                                  <w:shd w:fill="1F2668" w:val="clear"/>
                                  <w:vAlign w:val="center"/>
                                </w:tcPr>
                                <w:p>
                                  <w:pPr>
                                    <w:pStyle w:val="TableContents"/>
                                    <w:bidi w:val="0"/>
                                    <w:spacing w:lineRule="atLeast" w:line="280" w:before="0" w:after="0"/>
                                    <w:ind w:left="0" w:right="160" w:hanging="0"/>
                                    <w:jc w:val="left"/>
                                    <w:rPr>
                                      <w:sz w:val="24"/>
                                    </w:rPr>
                                  </w:pPr>
                                  <w:r>
                                    <w:rPr>
                                      <w:sz w:val="24"/>
                                    </w:rPr>
                                    <w:t>MARC</w:t>
                                    <w:br/>
                                    <w:t>HOLLIDAY</w:t>
                                  </w:r>
                                </w:p>
                                <w:p>
                                  <w:pPr>
                                    <w:pStyle w:val="TableContents"/>
                                    <w:bidi w:val="0"/>
                                    <w:spacing w:before="200" w:after="283"/>
                                    <w:ind w:left="0" w:right="160" w:hanging="0"/>
                                    <w:jc w:val="left"/>
                                    <w:rPr/>
                                  </w:pPr>
                                  <w:r>
                                    <w:rPr/>
                                    <w:drawing>
                                      <wp:inline distT="0" distB="0" distL="0" distR="0">
                                        <wp:extent cx="1219200" cy="1457325"/>
                                        <wp:effectExtent l="0" t="0" r="0" b="0"/>
                                        <wp:docPr id="44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191" descr=""/>
                                                <pic:cNvPicPr>
                                                  <a:picLocks noChangeAspect="1" noChangeArrowheads="1"/>
                                                </pic:cNvPicPr>
                                              </pic:nvPicPr>
                                              <pic:blipFill>
                                                <a:blip r:embed="rId271"/>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t>Chairman of the Board, Chief Executive Officer &amp; Interim President</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2001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57</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Executive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60.5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7227" w:type="dxa"/>
                        <w:jc w:val="left"/>
                        <w:tblInd w:w="0" w:type="dxa"/>
                        <w:tblLayout w:type="fixed"/>
                        <w:tblCellMar>
                          <w:top w:w="0" w:type="dxa"/>
                          <w:left w:w="0" w:type="dxa"/>
                          <w:bottom w:w="0" w:type="dxa"/>
                          <w:right w:w="0" w:type="dxa"/>
                        </w:tblCellMar>
                      </w:tblPr>
                      <w:tblGrid>
                        <w:gridCol w:w="124"/>
                        <w:gridCol w:w="109"/>
                        <w:gridCol w:w="6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1" w:type="dxa"/>
                            <w:tcBorders/>
                            <w:shd w:fill="1F2668" w:val="clear"/>
                            <w:vAlign w:val="center"/>
                          </w:tcPr>
                          <w:p>
                            <w:pPr>
                              <w:pStyle w:val="TableContents"/>
                              <w:bidi w:val="0"/>
                              <w:spacing w:lineRule="atLeast" w:line="280" w:before="0" w:after="0"/>
                              <w:ind w:left="0" w:right="160" w:hanging="0"/>
                              <w:jc w:val="left"/>
                              <w:rPr>
                                <w:sz w:val="24"/>
                              </w:rPr>
                            </w:pPr>
                            <w:r>
                              <w:rPr>
                                <w:sz w:val="24"/>
                              </w:rPr>
                              <w:t>MARC</w:t>
                              <w:br/>
                              <w:t>HOLLIDAY</w:t>
                            </w:r>
                          </w:p>
                          <w:p>
                            <w:pPr>
                              <w:pStyle w:val="TableContents"/>
                              <w:bidi w:val="0"/>
                              <w:spacing w:before="200" w:after="283"/>
                              <w:ind w:left="0" w:right="160" w:hanging="0"/>
                              <w:jc w:val="left"/>
                              <w:rPr/>
                            </w:pPr>
                            <w:r>
                              <w:rPr/>
                              <w:drawing>
                                <wp:inline distT="0" distB="0" distL="0" distR="0">
                                  <wp:extent cx="1219200" cy="1457325"/>
                                  <wp:effectExtent l="0" t="0" r="0" b="0"/>
                                  <wp:docPr id="44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191" descr=""/>
                                          <pic:cNvPicPr>
                                            <a:picLocks noChangeAspect="1" noChangeArrowheads="1"/>
                                          </pic:cNvPicPr>
                                        </pic:nvPicPr>
                                        <pic:blipFill>
                                          <a:blip r:embed="rId272"/>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199" w:after="283"/>
                              <w:ind w:left="0" w:right="160" w:hanging="0"/>
                              <w:jc w:val="left"/>
                              <w:rPr/>
                            </w:pPr>
                            <w:r>
                              <w:rPr/>
                              <w:t>Chairman of the Board, Chief Executive Officer &amp; Interim President</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2001</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57</w:t>
                            </w:r>
                            <w:r>
                              <w:rPr>
                                <w:b w:val="false"/>
                              </w:rPr>
                              <w:t xml:space="preserve"> </w:t>
                            </w:r>
                          </w:p>
                          <w:p>
                            <w:pPr>
                              <w:pStyle w:val="TableContents"/>
                              <w:bidi w:val="0"/>
                              <w:spacing w:lineRule="atLeast" w:line="220" w:before="160" w:after="283"/>
                              <w:ind w:left="0" w:right="160" w:hanging="0"/>
                              <w:jc w:val="left"/>
                              <w:rPr>
                                <w:b w:val="false"/>
                              </w:rPr>
                            </w:pPr>
                            <w:r>
                              <w:rPr>
                                <w:b w:val="false"/>
                                <w:spacing w:val="-2"/>
                              </w:rPr>
                              <w:t xml:space="preserve">SL Green </w:t>
                              <w:br/>
                              <w:t>Board Service:</w:t>
                            </w:r>
                            <w:r>
                              <w:rPr>
                                <w:b w:val="false"/>
                              </w:rPr>
                              <w:t xml:space="preserve"> </w:t>
                            </w:r>
                          </w:p>
                          <w:p>
                            <w:pPr>
                              <w:pStyle w:val="TableContents"/>
                              <w:bidi w:val="0"/>
                              <w:spacing w:lineRule="atLeast" w:line="220" w:before="160" w:after="0"/>
                              <w:ind w:left="180" w:right="160" w:hanging="0"/>
                              <w:jc w:val="left"/>
                              <w:rPr/>
                            </w:pPr>
                            <w:r>
                              <w:rPr/>
                              <w:t>Executive Committee, Chair</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64770" distB="0" distL="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4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4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4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4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4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4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4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495">
                <wp:simplePos x="0" y="0"/>
                <wp:positionH relativeFrom="column">
                  <wp:align>left</wp:align>
                </wp:positionH>
                <wp:positionV relativeFrom="line">
                  <wp:align>top</wp:align>
                </wp:positionV>
                <wp:extent cx="114300" cy="350520"/>
                <wp:effectExtent l="0" t="0" r="0" b="0"/>
                <wp:wrapSquare wrapText="right"/>
                <wp:docPr id="450" name="Frame1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4315"/>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72">
                <wp:simplePos x="0" y="0"/>
                <wp:positionH relativeFrom="column">
                  <wp:align>left</wp:align>
                </wp:positionH>
                <wp:positionV relativeFrom="line">
                  <wp:posOffset>635</wp:posOffset>
                </wp:positionV>
                <wp:extent cx="1562100" cy="5687060"/>
                <wp:effectExtent l="0" t="0" r="0" b="0"/>
                <wp:wrapSquare wrapText="right"/>
                <wp:docPr id="451" name="Frame186"/>
                <a:graphic xmlns:a="http://schemas.openxmlformats.org/drawingml/2006/main">
                  <a:graphicData uri="http://schemas.microsoft.com/office/word/2010/wordprocessingShape">
                    <wps:wsp>
                      <wps:cNvSpPr txBox="1"/>
                      <wps:spPr>
                        <a:xfrm>
                          <a:off x="0" y="0"/>
                          <a:ext cx="1562100" cy="568706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82" w:type="dxa"/>
                              <w:jc w:val="left"/>
                              <w:tblInd w:w="0" w:type="dxa"/>
                              <w:tblLayout w:type="fixed"/>
                              <w:tblCellMar>
                                <w:top w:w="0" w:type="dxa"/>
                                <w:left w:w="0" w:type="dxa"/>
                                <w:bottom w:w="0" w:type="dxa"/>
                                <w:right w:w="0" w:type="dxa"/>
                              </w:tblCellMar>
                            </w:tblPr>
                            <w:tblGrid>
                              <w:gridCol w:w="124"/>
                              <w:gridCol w:w="109"/>
                              <w:gridCol w:w="24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shd w:fill="1F2668" w:val="clear"/>
                                  <w:vAlign w:val="center"/>
                                </w:tcPr>
                                <w:p>
                                  <w:pPr>
                                    <w:pStyle w:val="TableContents"/>
                                    <w:bidi w:val="0"/>
                                    <w:spacing w:lineRule="atLeast" w:line="280" w:before="0" w:after="0"/>
                                    <w:ind w:left="0" w:right="160" w:hanging="0"/>
                                    <w:jc w:val="left"/>
                                    <w:rPr>
                                      <w:sz w:val="24"/>
                                    </w:rPr>
                                  </w:pPr>
                                  <w:r>
                                    <w:rPr>
                                      <w:sz w:val="24"/>
                                    </w:rPr>
                                    <w:t>ANDREW W.</w:t>
                                    <w:br/>
                                    <w:t>MATHIAS</w:t>
                                  </w:r>
                                </w:p>
                                <w:p>
                                  <w:pPr>
                                    <w:pStyle w:val="TableContents"/>
                                    <w:bidi w:val="0"/>
                                    <w:spacing w:before="200" w:after="283"/>
                                    <w:ind w:left="0" w:right="160" w:hanging="0"/>
                                    <w:jc w:val="left"/>
                                    <w:rPr/>
                                  </w:pPr>
                                  <w:r>
                                    <w:rPr/>
                                    <w:drawing>
                                      <wp:inline distT="0" distB="0" distL="0" distR="0">
                                        <wp:extent cx="1219200" cy="1457325"/>
                                        <wp:effectExtent l="0" t="0" r="0" b="0"/>
                                        <wp:docPr id="45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99" descr=""/>
                                                <pic:cNvPicPr>
                                                  <a:picLocks noChangeAspect="1" noChangeArrowheads="1"/>
                                                </pic:cNvPicPr>
                                              </pic:nvPicPr>
                                              <pic:blipFill>
                                                <a:blip r:embed="rId273"/>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2014</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50</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447.8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82" w:type="dxa"/>
                        <w:jc w:val="left"/>
                        <w:tblInd w:w="0" w:type="dxa"/>
                        <w:tblLayout w:type="fixed"/>
                        <w:tblCellMar>
                          <w:top w:w="0" w:type="dxa"/>
                          <w:left w:w="0" w:type="dxa"/>
                          <w:bottom w:w="0" w:type="dxa"/>
                          <w:right w:w="0" w:type="dxa"/>
                        </w:tblCellMar>
                      </w:tblPr>
                      <w:tblGrid>
                        <w:gridCol w:w="124"/>
                        <w:gridCol w:w="109"/>
                        <w:gridCol w:w="24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shd w:fill="1F2668" w:val="clear"/>
                            <w:vAlign w:val="center"/>
                          </w:tcPr>
                          <w:p>
                            <w:pPr>
                              <w:pStyle w:val="TableContents"/>
                              <w:bidi w:val="0"/>
                              <w:spacing w:lineRule="atLeast" w:line="280" w:before="0" w:after="0"/>
                              <w:ind w:left="0" w:right="160" w:hanging="0"/>
                              <w:jc w:val="left"/>
                              <w:rPr>
                                <w:sz w:val="24"/>
                              </w:rPr>
                            </w:pPr>
                            <w:r>
                              <w:rPr>
                                <w:sz w:val="24"/>
                              </w:rPr>
                              <w:t>ANDREW W.</w:t>
                              <w:br/>
                              <w:t>MATHIAS</w:t>
                            </w:r>
                          </w:p>
                          <w:p>
                            <w:pPr>
                              <w:pStyle w:val="TableContents"/>
                              <w:bidi w:val="0"/>
                              <w:spacing w:before="200" w:after="283"/>
                              <w:ind w:left="0" w:right="160" w:hanging="0"/>
                              <w:jc w:val="left"/>
                              <w:rPr/>
                            </w:pPr>
                            <w:r>
                              <w:rPr/>
                              <w:drawing>
                                <wp:inline distT="0" distB="0" distL="0" distR="0">
                                  <wp:extent cx="1219200" cy="1457325"/>
                                  <wp:effectExtent l="0" t="0" r="0" b="0"/>
                                  <wp:docPr id="45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99" descr=""/>
                                          <pic:cNvPicPr>
                                            <a:picLocks noChangeAspect="1" noChangeArrowheads="1"/>
                                          </pic:cNvPicPr>
                                        </pic:nvPicPr>
                                        <pic:blipFill>
                                          <a:blip r:embed="rId274"/>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0" w:before="220" w:after="283"/>
                              <w:ind w:left="0" w:right="160" w:hanging="0"/>
                              <w:jc w:val="left"/>
                              <w:rPr/>
                            </w:pPr>
                            <w:r>
                              <w:rPr/>
                              <w:t>Director</w:t>
                            </w:r>
                          </w:p>
                          <w:p>
                            <w:pPr>
                              <w:pStyle w:val="TableContents"/>
                              <w:bidi w:val="0"/>
                              <w:spacing w:lineRule="atLeast" w:line="180" w:before="160" w:after="283"/>
                              <w:ind w:left="0" w:right="160" w:hanging="0"/>
                              <w:jc w:val="left"/>
                              <w:rPr>
                                <w:b w:val="false"/>
                              </w:rPr>
                            </w:pPr>
                            <w:r>
                              <w:rPr>
                                <w:b w:val="false"/>
                                <w:spacing w:val="-2"/>
                              </w:rPr>
                              <w:t xml:space="preserve">Director Since: </w:t>
                            </w:r>
                            <w:r>
                              <w:rPr>
                                <w:b/>
                              </w:rPr>
                              <w:t>2014</w:t>
                            </w:r>
                            <w:r>
                              <w:rPr>
                                <w:b w:val="false"/>
                              </w:rPr>
                              <w:t xml:space="preserve"> </w:t>
                            </w:r>
                          </w:p>
                          <w:p>
                            <w:pPr>
                              <w:pStyle w:val="TableContents"/>
                              <w:bidi w:val="0"/>
                              <w:spacing w:lineRule="atLeast" w:line="180" w:before="160" w:after="283"/>
                              <w:ind w:left="0" w:right="160" w:hanging="0"/>
                              <w:jc w:val="left"/>
                              <w:rPr>
                                <w:b w:val="false"/>
                              </w:rPr>
                            </w:pPr>
                            <w:r>
                              <w:rPr>
                                <w:b w:val="false"/>
                                <w:spacing w:val="-2"/>
                              </w:rPr>
                              <w:t xml:space="preserve">Age: </w:t>
                            </w:r>
                            <w:r>
                              <w:rPr>
                                <w:b/>
                              </w:rPr>
                              <w:t>50</w:t>
                            </w:r>
                            <w:r>
                              <w:rPr>
                                <w:b w:val="false"/>
                              </w:rPr>
                              <w:t xml:space="preserve"> </w:t>
                            </w:r>
                          </w:p>
                          <w:p>
                            <w:pPr>
                              <w:pStyle w:val="TableContents"/>
                              <w:bidi w:val="0"/>
                              <w:spacing w:lineRule="atLeast" w:line="220" w:before="160" w:after="283"/>
                              <w:ind w:left="0" w:right="160" w:hanging="0"/>
                              <w:jc w:val="left"/>
                              <w:rPr>
                                <w:b w:val="false"/>
                                <w:spacing w:val="-2"/>
                              </w:rPr>
                            </w:pPr>
                            <w:r>
                              <w:rPr>
                                <w:b w:val="false"/>
                                <w:spacing w:val="-2"/>
                              </w:rPr>
                              <w:t xml:space="preserve">SL Green </w:t>
                              <w:br/>
                              <w:t xml:space="preserve">Board Service: </w:t>
                            </w:r>
                          </w:p>
                          <w:p>
                            <w:pPr>
                              <w:pStyle w:val="TableContents"/>
                              <w:bidi w:val="0"/>
                              <w:spacing w:lineRule="atLeast" w:line="220" w:before="160" w:after="0"/>
                              <w:ind w:left="180" w:right="160" w:hanging="0"/>
                              <w:jc w:val="left"/>
                              <w:rPr/>
                            </w:pPr>
                            <w:r>
                              <w:rPr/>
                              <w:t>Executive Committee</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319">
                <wp:simplePos x="0" y="0"/>
                <wp:positionH relativeFrom="column">
                  <wp:align>left</wp:align>
                </wp:positionH>
                <wp:positionV relativeFrom="line">
                  <wp:posOffset>635</wp:posOffset>
                </wp:positionV>
                <wp:extent cx="4584700" cy="9597390"/>
                <wp:effectExtent l="0" t="0" r="0" b="0"/>
                <wp:wrapSquare wrapText="right"/>
                <wp:docPr id="454" name="Frame188"/>
                <a:graphic xmlns:a="http://schemas.openxmlformats.org/drawingml/2006/main">
                  <a:graphicData uri="http://schemas.microsoft.com/office/word/2010/wordprocessingShape">
                    <wps:wsp>
                      <wps:cNvSpPr txBox="1"/>
                      <wps:spPr>
                        <a:xfrm>
                          <a:off x="0" y="0"/>
                          <a:ext cx="4584700" cy="9597390"/>
                        </a:xfrm>
                        <a:prstGeom prst="rect"/>
                        <a:solidFill>
                          <a:srgbClr val="FFFFFF"/>
                        </a:solidFill>
                      </wps:spPr>
                      <wps:txbx>
                        <w:txbxContent>
                          <w:p>
                            <w:pPr>
                              <w:pStyle w:val="TextBody"/>
                              <w:bidi w:val="0"/>
                              <w:spacing w:lineRule="atLeast" w:line="230" w:before="500" w:after="283"/>
                              <w:jc w:val="left"/>
                              <w:rPr/>
                            </w:pPr>
                            <w:r>
                              <w:rPr>
                                <w:spacing w:val="-2"/>
                              </w:rPr>
                              <w:t>Mr. Mathias’ extensive experience in real estate, including commercial real estate investment, and in-depth knowledge of the New York City real estate market, as well as his former role as President of the Company, provide the Board with valuable knowledge of our business and industry.</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Founder of Edge Park Mgmt. LLC, a general investment and advisory services firm,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Advisor to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of the Company from April 2007 until December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in March 1999 as Vice President and was promoted to Director of Investments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Investment Officer of the Company from January 2004 until January 2011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Chief Investment Officer of Gramercy Capital Corp. from August 2004 to October 2008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Capital Trust, Inc. and its predecessor, Victor Capital Group, 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on the high yield and restructuring desk at Bear Stearns and Co.</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for the Regional Plan Association, which works to improve the prosperity, infrastructure, sustainability and quality of life of the New York-New Jersey-Connecticut metropolitan region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Economics from the Wharton School at the University of Pennsylvania</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55"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00" descr=""/>
                                                <pic:cNvPicPr>
                                                  <a:picLocks noChangeAspect="1" noChangeArrowheads="1"/>
                                                </pic:cNvPicPr>
                                              </pic:nvPicPr>
                                              <pic:blipFill>
                                                <a:blip r:embed="rId275"/>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5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01" descr=""/>
                                                <pic:cNvPicPr>
                                                  <a:picLocks noChangeAspect="1" noChangeArrowheads="1"/>
                                                </pic:cNvPicPr>
                                              </pic:nvPicPr>
                                              <pic:blipFill>
                                                <a:blip r:embed="rId276"/>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57"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02" descr=""/>
                                                <pic:cNvPicPr>
                                                  <a:picLocks noChangeAspect="1" noChangeArrowheads="1"/>
                                                </pic:cNvPicPr>
                                              </pic:nvPicPr>
                                              <pic:blipFill>
                                                <a:blip r:embed="rId277"/>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5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03" descr=""/>
                                                <pic:cNvPicPr>
                                                  <a:picLocks noChangeAspect="1" noChangeArrowheads="1"/>
                                                </pic:cNvPicPr>
                                              </pic:nvPicPr>
                                              <pic:blipFill>
                                                <a:blip r:embed="rId278"/>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5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04" descr=""/>
                                                <pic:cNvPicPr>
                                                  <a:picLocks noChangeAspect="1" noChangeArrowheads="1"/>
                                                </pic:cNvPicPr>
                                              </pic:nvPicPr>
                                              <pic:blipFill>
                                                <a:blip r:embed="rId279"/>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6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05" descr=""/>
                                                <pic:cNvPicPr>
                                                  <a:picLocks noChangeAspect="1" noChangeArrowheads="1"/>
                                                </pic:cNvPicPr>
                                              </pic:nvPicPr>
                                              <pic:blipFill>
                                                <a:blip r:embed="rId280"/>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6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06" descr=""/>
                                                <pic:cNvPicPr>
                                                  <a:picLocks noChangeAspect="1" noChangeArrowheads="1"/>
                                                </pic:cNvPicPr>
                                              </pic:nvPicPr>
                                              <pic:blipFill>
                                                <a:blip r:embed="rId281"/>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1pt;height:755.7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30" w:before="500" w:after="283"/>
                        <w:jc w:val="left"/>
                        <w:rPr/>
                      </w:pPr>
                      <w:r>
                        <w:rPr>
                          <w:spacing w:val="-2"/>
                        </w:rPr>
                        <w:t>Mr. Mathias’ extensive experience in real estate, including commercial real estate investment, and in-depth knowledge of the New York City real estate market, as well as his former role as President of the Company, provide the Board with valuable knowledge of our business and industry.</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z w:val="22"/>
                        </w:rPr>
                        <w:t>Professional Experience</w:t>
                      </w:r>
                      <w:r>
                        <w:rPr>
                          <w:b/>
                          <w:color w:val="000000"/>
                          <w:spacing w:val="4"/>
                          <w:sz w:val="22"/>
                        </w:rPr>
                        <w:t xml:space="preserve"> </w:t>
                      </w:r>
                    </w:p>
                    <w:p>
                      <w:pPr>
                        <w:pStyle w:val="TextBody"/>
                        <w:bidi w:val="0"/>
                        <w:spacing w:lineRule="atLeast" w:line="220" w:before="102" w:after="0"/>
                        <w:ind w:left="200" w:right="0" w:hanging="0"/>
                        <w:jc w:val="left"/>
                        <w:rPr/>
                      </w:pPr>
                      <w:r>
                        <w:rPr>
                          <w:spacing w:val="-2"/>
                        </w:rPr>
                        <w:t>Founder of Edge Park Mgmt. LLC, a general investment and advisory services firm,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Advisor to the Company since January 2024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President of the Company from April 2007 until December 2023</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Joined the Company in March 1999 as Vice President and was promoted to Director of Investments in 2002</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Chief Investment Officer of the Company from January 2004 until January 2011</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spacing w:val="-2"/>
                        </w:rPr>
                      </w:pPr>
                      <w:r>
                        <w:rPr>
                          <w:spacing w:val="-2"/>
                        </w:rPr>
                        <w:t xml:space="preserve">Chief Investment Officer of Gramercy Capital Corp. from August 2004 to October 2008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at Capital Trust, Inc. and its predecessor, Victor Capital Group, 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Worked on the high yield and restructuring desk at Bear Stearns and Co.</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Member of the Board of Directors for the Regional Plan Association, which works to improve the prosperity, infrastructure, sustainability and quality of life of the New York-New Jersey-Connecticut metropolitan region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B.S. degree in Economics from the Wharton School at the University of Pennsylvania</w:t>
                      </w:r>
                      <w:r>
                        <w:rPr/>
                        <w:t xml:space="preserve"> </w:t>
                      </w:r>
                    </w:p>
                    <w:p>
                      <w:pPr>
                        <w:pStyle w:val="TextBody"/>
                        <w:bidi w:val="0"/>
                        <w:spacing w:before="0" w:after="0"/>
                        <w:ind w:left="0" w:right="0" w:hanging="0"/>
                        <w:jc w:val="left"/>
                        <w:rPr/>
                      </w:pPr>
                      <w:r>
                        <w:rPr/>
                        <w:t>​</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60" w:before="345" w:after="283"/>
                        <w:jc w:val="left"/>
                        <w:rPr>
                          <w:b/>
                          <w:color w:val="1F2668"/>
                          <w:sz w:val="22"/>
                        </w:rPr>
                      </w:pPr>
                      <w:r>
                        <w:rPr>
                          <w:b/>
                          <w:color w:val="1F2668"/>
                          <w:sz w:val="22"/>
                        </w:rPr>
                        <w:t>Skills, Experiences and Attributes</w:t>
                      </w:r>
                      <w:r>
                        <w:rPr>
                          <w:b/>
                          <w:color w:val="000000"/>
                          <w:spacing w:val="4"/>
                          <w:sz w:val="22"/>
                        </w:rPr>
                        <w:t xml:space="preserve"> </w:t>
                      </w:r>
                    </w:p>
                    <w:tbl>
                      <w:tblPr>
                        <w:tblW w:w="9110" w:type="dxa"/>
                        <w:jc w:val="left"/>
                        <w:tblInd w:w="0" w:type="dxa"/>
                        <w:tblLayout w:type="fixed"/>
                        <w:tblCellMar>
                          <w:top w:w="0" w:type="dxa"/>
                          <w:left w:w="0" w:type="dxa"/>
                          <w:bottom w:w="0" w:type="dxa"/>
                          <w:right w:w="0" w:type="dxa"/>
                        </w:tblCellMar>
                      </w:tblPr>
                      <w:tblGrid>
                        <w:gridCol w:w="124"/>
                        <w:gridCol w:w="731"/>
                        <w:gridCol w:w="109"/>
                        <w:gridCol w:w="109"/>
                        <w:gridCol w:w="4081"/>
                        <w:gridCol w:w="109"/>
                        <w:gridCol w:w="109"/>
                        <w:gridCol w:w="731"/>
                        <w:gridCol w:w="109"/>
                        <w:gridCol w:w="109"/>
                        <w:gridCol w:w="2635"/>
                        <w:gridCol w:w="154"/>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jc w:val="left"/>
                              <w:rPr/>
                            </w:pPr>
                            <w:r>
                              <w:rPr/>
                              <w:drawing>
                                <wp:inline distT="0" distB="0" distL="0" distR="0">
                                  <wp:extent cx="371475" cy="390525"/>
                                  <wp:effectExtent l="0" t="0" r="0" b="0"/>
                                  <wp:docPr id="46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00" descr=""/>
                                          <pic:cNvPicPr>
                                            <a:picLocks noChangeAspect="1" noChangeArrowheads="1"/>
                                          </pic:cNvPicPr>
                                        </pic:nvPicPr>
                                        <pic:blipFill>
                                          <a:blip r:embed="rId282"/>
                                          <a:stretch>
                                            <a:fillRect/>
                                          </a:stretch>
                                        </pic:blipFill>
                                        <pic:spPr bwMode="auto">
                                          <a:xfrm>
                                            <a:off x="0" y="0"/>
                                            <a:ext cx="371475"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Executive Leadership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71475" cy="371475"/>
                                  <wp:effectExtent l="0" t="0" r="0" b="0"/>
                                  <wp:docPr id="46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01" descr=""/>
                                          <pic:cNvPicPr>
                                            <a:picLocks noChangeAspect="1" noChangeArrowheads="1"/>
                                          </pic:cNvPicPr>
                                        </pic:nvPicPr>
                                        <pic:blipFill>
                                          <a:blip r:embed="rId283"/>
                                          <a:stretch>
                                            <a:fillRect/>
                                          </a:stretch>
                                        </pic:blipFill>
                                        <pic:spPr bwMode="auto">
                                          <a:xfrm>
                                            <a:off x="0" y="0"/>
                                            <a:ext cx="37147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Finance/Capital Markets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409575"/>
                                  <wp:effectExtent l="0" t="0" r="0" b="0"/>
                                  <wp:docPr id="46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02" descr=""/>
                                          <pic:cNvPicPr>
                                            <a:picLocks noChangeAspect="1" noChangeArrowheads="1"/>
                                          </pic:cNvPicPr>
                                        </pic:nvPicPr>
                                        <pic:blipFill>
                                          <a:blip r:embed="rId284"/>
                                          <a:stretch>
                                            <a:fillRect/>
                                          </a:stretch>
                                        </pic:blipFill>
                                        <pic:spPr bwMode="auto">
                                          <a:xfrm>
                                            <a:off x="0" y="0"/>
                                            <a:ext cx="3524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Risk Management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33375" cy="304800"/>
                                  <wp:effectExtent l="0" t="0" r="0" b="0"/>
                                  <wp:docPr id="465"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03" descr=""/>
                                          <pic:cNvPicPr>
                                            <a:picLocks noChangeAspect="1" noChangeArrowheads="1"/>
                                          </pic:cNvPicPr>
                                        </pic:nvPicPr>
                                        <pic:blipFill>
                                          <a:blip r:embed="rId285"/>
                                          <a:stretch>
                                            <a:fillRect/>
                                          </a:stretch>
                                        </pic:blipFill>
                                        <pic:spPr bwMode="auto">
                                          <a:xfrm>
                                            <a:off x="0" y="0"/>
                                            <a:ext cx="333375" cy="3048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REIT/Real Estate Industry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71475"/>
                                  <wp:effectExtent l="0" t="0" r="0" b="0"/>
                                  <wp:docPr id="466"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04" descr=""/>
                                          <pic:cNvPicPr>
                                            <a:picLocks noChangeAspect="1" noChangeArrowheads="1"/>
                                          </pic:cNvPicPr>
                                        </pic:nvPicPr>
                                        <pic:blipFill>
                                          <a:blip r:embed="rId286"/>
                                          <a:stretch>
                                            <a:fillRect/>
                                          </a:stretch>
                                        </pic:blipFill>
                                        <pic:spPr bwMode="auto">
                                          <a:xfrm>
                                            <a:off x="0" y="0"/>
                                            <a:ext cx="352425"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Experience Over Several Business Cycles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52425" cy="352425"/>
                                  <wp:effectExtent l="0" t="0" r="0" b="0"/>
                                  <wp:docPr id="467"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05" descr=""/>
                                          <pic:cNvPicPr>
                                            <a:picLocks noChangeAspect="1" noChangeArrowheads="1"/>
                                          </pic:cNvPicPr>
                                        </pic:nvPicPr>
                                        <pic:blipFill>
                                          <a:blip r:embed="rId287"/>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Talent Management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342900" cy="381000"/>
                                  <wp:effectExtent l="0" t="0" r="0" b="0"/>
                                  <wp:docPr id="46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06" descr=""/>
                                          <pic:cNvPicPr>
                                            <a:picLocks noChangeAspect="1" noChangeArrowheads="1"/>
                                          </pic:cNvPicPr>
                                        </pic:nvPicPr>
                                        <pic:blipFill>
                                          <a:blip r:embed="rId288"/>
                                          <a:stretch>
                                            <a:fillRect/>
                                          </a:stretch>
                                        </pic:blipFill>
                                        <pic:spPr bwMode="auto">
                                          <a:xfrm>
                                            <a:off x="0" y="0"/>
                                            <a:ext cx="3429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81" w:type="dxa"/>
                            <w:tcBorders/>
                            <w:tcMar>
                              <w:top w:w="28" w:type="dxa"/>
                              <w:left w:w="28" w:type="dxa"/>
                              <w:bottom w:w="28" w:type="dxa"/>
                              <w:right w:w="28" w:type="dxa"/>
                            </w:tcMar>
                            <w:vAlign w:val="center"/>
                          </w:tcPr>
                          <w:p>
                            <w:pPr>
                              <w:pStyle w:val="TableContents"/>
                              <w:bidi w:val="0"/>
                              <w:spacing w:lineRule="atLeast" w:line="220" w:before="0" w:after="0"/>
                              <w:jc w:val="left"/>
                              <w:rPr>
                                <w:spacing w:val="-2"/>
                              </w:rPr>
                            </w:pPr>
                            <w:r>
                              <w:rPr>
                                <w:spacing w:val="-2"/>
                              </w:rPr>
                              <w:t xml:space="preserve">Government/Regulatory Experience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101600" distB="0" distL="0" distR="0" simplePos="0" locked="0" layoutInCell="1" allowOverlap="1" relativeHeight="503">
                <wp:simplePos x="0" y="0"/>
                <wp:positionH relativeFrom="column">
                  <wp:align>left</wp:align>
                </wp:positionH>
                <wp:positionV relativeFrom="line">
                  <wp:align>top</wp:align>
                </wp:positionV>
                <wp:extent cx="114300" cy="350520"/>
                <wp:effectExtent l="0" t="0" r="0" b="0"/>
                <wp:wrapSquare wrapText="right"/>
                <wp:docPr id="469" name="Frame1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47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47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47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47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47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47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47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47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47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47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Board Refreshment and Diversity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Led by our Nominating and Corporate Governance Committee, the Board engages in ongoing director succession planning, including a focus on refreshing the membership and leadership of the Board and its Committees and enhancing the level of diversity. In January 2019, the leadership of the Board was transitioned from Stephen L. Green, our founder and Chairman of the Board for over 20 years, to Marc Holliday, who also serves as our Chief Executive Officer and Interim President. Mr. Green continues to serve as a director and as our Chairman Emeritus.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March 2022, we added Carol N. Brown to our Board as an independent director, for a total of three women on the Board, including one racially/ethnically diverse director. As part of our Board succession planning, Ms. Atkins and Mr. Burton have not been renominated for election and will retire from our Board at our 2024 Annual Meeting of stockholders. We appreciate their years of dedication and service to the Company. In connection with their departures, we anticipate appointing a new Board member during 2024.</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748"/>
        <w:gridCol w:w="109"/>
        <w:gridCol w:w="109"/>
        <w:gridCol w:w="109"/>
        <w:gridCol w:w="1698"/>
        <w:gridCol w:w="109"/>
        <w:gridCol w:w="109"/>
        <w:gridCol w:w="109"/>
        <w:gridCol w:w="748"/>
        <w:gridCol w:w="109"/>
        <w:gridCol w:w="109"/>
        <w:gridCol w:w="109"/>
        <w:gridCol w:w="1683"/>
        <w:gridCol w:w="109"/>
        <w:gridCol w:w="109"/>
        <w:gridCol w:w="109"/>
        <w:gridCol w:w="748"/>
        <w:gridCol w:w="109"/>
        <w:gridCol w:w="109"/>
        <w:gridCol w:w="109"/>
        <w:gridCol w:w="1765"/>
        <w:gridCol w:w="156"/>
      </w:tblGrid>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pPr>
            <w:r>
              <w:rPr/>
              <w:drawing>
                <wp:inline distT="0" distB="0" distL="0" distR="0">
                  <wp:extent cx="381000" cy="381000"/>
                  <wp:effectExtent l="0" t="0" r="0" b="0"/>
                  <wp:docPr id="48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07" descr=""/>
                          <pic:cNvPicPr>
                            <a:picLocks noChangeAspect="1" noChangeArrowheads="1"/>
                          </pic:cNvPicPr>
                        </pic:nvPicPr>
                        <pic:blipFill>
                          <a:blip r:embed="rId289"/>
                          <a:stretch>
                            <a:fillRect/>
                          </a:stretch>
                        </pic:blipFill>
                        <pic:spPr bwMode="auto">
                          <a:xfrm>
                            <a:off x="0" y="0"/>
                            <a:ext cx="381000"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lineRule="atLeast" w:line="290" w:before="0" w:after="0"/>
              <w:jc w:val="left"/>
              <w:rPr>
                <w:b/>
                <w:sz w:val="26"/>
              </w:rPr>
            </w:pPr>
            <w:r>
              <w:rPr>
                <w:b/>
                <w:sz w:val="26"/>
              </w:rPr>
              <w:t>Diversity</w:t>
            </w:r>
          </w:p>
          <w:p>
            <w:pPr>
              <w:pStyle w:val="TableContents"/>
              <w:bidi w:val="0"/>
              <w:spacing w:lineRule="atLeast" w:line="210" w:before="120" w:after="283"/>
              <w:jc w:val="left"/>
              <w:rPr>
                <w:spacing w:val="-2"/>
              </w:rPr>
            </w:pPr>
            <w:r>
              <w:rPr>
                <w:spacing w:val="-2"/>
              </w:rPr>
              <w:t xml:space="preserve">Our Board nominees have a diversity of knowledge, skills, experience and perspectives, as well as diversity of age and gender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center"/>
              <w:rPr/>
            </w:pPr>
            <w:r>
              <w:rPr/>
              <w:drawing>
                <wp:inline distT="0" distB="0" distL="0" distR="0">
                  <wp:extent cx="419100" cy="419100"/>
                  <wp:effectExtent l="0" t="0" r="0" b="0"/>
                  <wp:docPr id="48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08" descr=""/>
                          <pic:cNvPicPr>
                            <a:picLocks noChangeAspect="1" noChangeArrowheads="1"/>
                          </pic:cNvPicPr>
                        </pic:nvPicPr>
                        <pic:blipFill>
                          <a:blip r:embed="rId29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3" w:type="dxa"/>
            <w:tcBorders/>
            <w:vAlign w:val="center"/>
          </w:tcPr>
          <w:p>
            <w:pPr>
              <w:pStyle w:val="TableContents"/>
              <w:bidi w:val="0"/>
              <w:spacing w:lineRule="atLeast" w:line="290" w:before="0" w:after="0"/>
              <w:jc w:val="left"/>
              <w:rPr>
                <w:b/>
                <w:sz w:val="26"/>
              </w:rPr>
            </w:pPr>
            <w:r>
              <w:rPr>
                <w:b/>
                <w:sz w:val="26"/>
              </w:rPr>
              <w:t>Experience</w:t>
            </w:r>
          </w:p>
          <w:p>
            <w:pPr>
              <w:pStyle w:val="TableContents"/>
              <w:bidi w:val="0"/>
              <w:spacing w:lineRule="atLeast" w:line="210" w:before="120" w:after="283"/>
              <w:jc w:val="left"/>
              <w:rPr>
                <w:spacing w:val="-2"/>
              </w:rPr>
            </w:pPr>
            <w:r>
              <w:rPr>
                <w:spacing w:val="-2"/>
              </w:rPr>
              <w:t xml:space="preserve">Our Board nominees have broad experience serving on public boards in industries relevant to the Company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pPr>
            <w:r>
              <w:rPr/>
              <w:drawing>
                <wp:inline distT="0" distB="0" distL="0" distR="0">
                  <wp:extent cx="323850" cy="523875"/>
                  <wp:effectExtent l="0" t="0" r="0" b="0"/>
                  <wp:docPr id="48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09" descr=""/>
                          <pic:cNvPicPr>
                            <a:picLocks noChangeAspect="1" noChangeArrowheads="1"/>
                          </pic:cNvPicPr>
                        </pic:nvPicPr>
                        <pic:blipFill>
                          <a:blip r:embed="rId291"/>
                          <a:stretch>
                            <a:fillRect/>
                          </a:stretch>
                        </pic:blipFill>
                        <pic:spPr bwMode="auto">
                          <a:xfrm>
                            <a:off x="0" y="0"/>
                            <a:ext cx="323850" cy="5238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65" w:type="dxa"/>
            <w:tcBorders/>
            <w:vAlign w:val="center"/>
          </w:tcPr>
          <w:p>
            <w:pPr>
              <w:pStyle w:val="TableContents"/>
              <w:bidi w:val="0"/>
              <w:spacing w:lineRule="atLeast" w:line="290" w:before="0" w:after="0"/>
              <w:jc w:val="left"/>
              <w:rPr>
                <w:b/>
                <w:sz w:val="26"/>
              </w:rPr>
            </w:pPr>
            <w:r>
              <w:rPr>
                <w:b/>
                <w:sz w:val="26"/>
              </w:rPr>
              <w:t>Leadership</w:t>
            </w:r>
          </w:p>
          <w:p>
            <w:pPr>
              <w:pStyle w:val="TableContents"/>
              <w:bidi w:val="0"/>
              <w:spacing w:lineRule="atLeast" w:line="210" w:before="120" w:after="283"/>
              <w:jc w:val="left"/>
              <w:rPr>
                <w:spacing w:val="-2"/>
              </w:rPr>
            </w:pPr>
            <w:r>
              <w:rPr>
                <w:spacing w:val="-2"/>
              </w:rPr>
              <w:t xml:space="preserve">Our Board nominees have strong corporate leadership backgrounds such as being CEO, CFO or holding other Executive positions </w:t>
            </w:r>
          </w:p>
        </w:tc>
        <w:tc>
          <w:tcPr>
            <w:tcW w:w="156"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748"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48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10" descr=""/>
                          <pic:cNvPicPr>
                            <a:picLocks noChangeAspect="1" noChangeArrowheads="1"/>
                          </pic:cNvPicPr>
                        </pic:nvPicPr>
                        <pic:blipFill>
                          <a:blip r:embed="rId292"/>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698"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50%</w:t>
            </w:r>
          </w:p>
          <w:p>
            <w:pPr>
              <w:pStyle w:val="TableContents"/>
              <w:bidi w:val="0"/>
              <w:spacing w:lineRule="atLeast" w:line="210" w:before="30" w:after="283"/>
              <w:jc w:val="left"/>
              <w:rPr/>
            </w:pPr>
            <w:r>
              <w:rPr/>
              <w:t>of our independent Board nominees are diverse, including gender and racial/ethnic diversity</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748"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48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11" descr=""/>
                          <pic:cNvPicPr>
                            <a:picLocks noChangeAspect="1" noChangeArrowheads="1"/>
                          </pic:cNvPicPr>
                        </pic:nvPicPr>
                        <pic:blipFill>
                          <a:blip r:embed="rId293"/>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683"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43%</w:t>
            </w:r>
          </w:p>
          <w:p>
            <w:pPr>
              <w:pStyle w:val="TableContents"/>
              <w:bidi w:val="0"/>
              <w:spacing w:lineRule="atLeast" w:line="210" w:before="30" w:after="283"/>
              <w:jc w:val="left"/>
              <w:rPr/>
            </w:pPr>
            <w:r>
              <w:rPr/>
              <w:t>of our Board nominees currently serve or have served on the Boards of other publicly traded companies</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748" w:type="dxa"/>
            <w:tcBorders>
              <w:bottom w:val="single" w:sz="6" w:space="0" w:color="83AD40"/>
            </w:tcBorders>
            <w:tcMar>
              <w:bottom w:w="28" w:type="dxa"/>
            </w:tcMar>
            <w:vAlign w:val="center"/>
          </w:tcPr>
          <w:p>
            <w:pPr>
              <w:pStyle w:val="TableContents"/>
              <w:bidi w:val="0"/>
              <w:spacing w:before="0" w:after="0"/>
              <w:jc w:val="left"/>
              <w:rPr/>
            </w:pPr>
            <w:r>
              <w:rPr/>
              <w:drawing>
                <wp:inline distT="0" distB="0" distL="0" distR="0">
                  <wp:extent cx="419100" cy="419100"/>
                  <wp:effectExtent l="0" t="0" r="0" b="0"/>
                  <wp:docPr id="48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12" descr=""/>
                          <pic:cNvPicPr>
                            <a:picLocks noChangeAspect="1" noChangeArrowheads="1"/>
                          </pic:cNvPicPr>
                        </pic:nvPicPr>
                        <pic:blipFill>
                          <a:blip r:embed="rId294"/>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765" w:type="dxa"/>
            <w:tcBorders>
              <w:bottom w:val="single" w:sz="6" w:space="0" w:color="83AD40"/>
            </w:tcBorders>
            <w:tcMar>
              <w:bottom w:w="420" w:type="dxa"/>
            </w:tcMar>
            <w:vAlign w:val="center"/>
          </w:tcPr>
          <w:p>
            <w:pPr>
              <w:pStyle w:val="TableContents"/>
              <w:bidi w:val="0"/>
              <w:spacing w:lineRule="atLeast" w:line="390" w:before="0" w:after="283"/>
              <w:jc w:val="left"/>
              <w:rPr>
                <w:b w:val="false"/>
                <w:sz w:val="36"/>
              </w:rPr>
            </w:pPr>
            <w:r>
              <w:rPr>
                <w:b w:val="false"/>
                <w:sz w:val="36"/>
              </w:rPr>
              <w:t>86%</w:t>
            </w:r>
          </w:p>
          <w:p>
            <w:pPr>
              <w:pStyle w:val="TableContents"/>
              <w:bidi w:val="0"/>
              <w:spacing w:lineRule="atLeast" w:line="210" w:before="30" w:after="283"/>
              <w:jc w:val="left"/>
              <w:rPr/>
            </w:pPr>
            <w:r>
              <w:rPr/>
              <w:t>of our Board nominees currently serve or have served as CEO or in senior leadership positions</w:t>
            </w:r>
          </w:p>
        </w:tc>
        <w:tc>
          <w:tcPr>
            <w:tcW w:w="156"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354"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Identification of Director Candidates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20" w:before="6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HOW WE IDENTIFY AND CONSIDER DIRECTOR NOMINATIONS</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454"/>
        <w:gridCol w:w="109"/>
        <w:gridCol w:w="109"/>
        <w:gridCol w:w="1697"/>
        <w:gridCol w:w="109"/>
        <w:gridCol w:w="109"/>
        <w:gridCol w:w="6438"/>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8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13" descr=""/>
                          <pic:cNvPicPr>
                            <a:picLocks noChangeAspect="1" noChangeArrowheads="1"/>
                          </pic:cNvPicPr>
                        </pic:nvPicPr>
                        <pic:blipFill>
                          <a:blip r:embed="rId295"/>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7" w:type="dxa"/>
            <w:tcBorders>
              <w:bottom w:val="single" w:sz="2" w:space="0" w:color="FFFFFF"/>
            </w:tcBorders>
            <w:tcMar>
              <w:bottom w:w="140" w:type="dxa"/>
            </w:tcMar>
            <w:vAlign w:val="center"/>
          </w:tcPr>
          <w:p>
            <w:pPr>
              <w:pStyle w:val="TableContents"/>
              <w:bidi w:val="0"/>
              <w:spacing w:lineRule="atLeast" w:line="210" w:before="0" w:after="0"/>
              <w:jc w:val="left"/>
              <w:rPr>
                <w:color w:val="1F2668"/>
              </w:rPr>
            </w:pPr>
            <w:r>
              <w:rPr>
                <w:color w:val="1F2668"/>
                <w:spacing w:val="2"/>
              </w:rPr>
              <w:t>Identify Potential Candidates</w:t>
            </w:r>
            <w:r>
              <w:rPr>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38" w:type="dxa"/>
            <w:tcBorders>
              <w:bottom w:val="single" w:sz="2" w:space="0" w:color="83AD40"/>
            </w:tcBorders>
            <w:vAlign w:val="center"/>
          </w:tcPr>
          <w:p>
            <w:pPr>
              <w:pStyle w:val="TableContents"/>
              <w:bidi w:val="0"/>
              <w:spacing w:lineRule="atLeast" w:line="210" w:before="0" w:after="0"/>
              <w:jc w:val="left"/>
              <w:rPr>
                <w:spacing w:val="-2"/>
              </w:rPr>
            </w:pPr>
            <w:r>
              <w:rPr>
                <w:spacing w:val="-2"/>
              </w:rPr>
              <w:t xml:space="preserve">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 Candidates may also be identified by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8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14" descr=""/>
                          <pic:cNvPicPr>
                            <a:picLocks noChangeAspect="1" noChangeArrowheads="1"/>
                          </pic:cNvPicPr>
                        </pic:nvPicPr>
                        <pic:blipFill>
                          <a:blip r:embed="rId296"/>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7" w:type="dxa"/>
            <w:tcBorders>
              <w:bottom w:val="single" w:sz="2" w:space="0" w:color="FFFFFF"/>
            </w:tcBorders>
            <w:tcMar>
              <w:bottom w:w="140" w:type="dxa"/>
            </w:tcMar>
            <w:vAlign w:val="center"/>
          </w:tcPr>
          <w:p>
            <w:pPr>
              <w:pStyle w:val="TableContents"/>
              <w:bidi w:val="0"/>
              <w:spacing w:lineRule="atLeast" w:line="210" w:before="0" w:after="0"/>
              <w:jc w:val="left"/>
              <w:rPr>
                <w:color w:val="1F2668"/>
              </w:rPr>
            </w:pPr>
            <w:r>
              <w:rPr>
                <w:color w:val="1F2668"/>
                <w:spacing w:val="2"/>
              </w:rPr>
              <w:t>In-Depth Committee Review</w:t>
            </w:r>
            <w:r>
              <w:rPr>
                <w:color w:val="1F2668"/>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38" w:type="dxa"/>
            <w:tcBorders>
              <w:bottom w:val="single" w:sz="2" w:space="0" w:color="83AD40"/>
            </w:tcBorders>
            <w:vAlign w:val="center"/>
          </w:tcPr>
          <w:p>
            <w:pPr>
              <w:pStyle w:val="TableContents"/>
              <w:bidi w:val="0"/>
              <w:spacing w:lineRule="atLeast" w:line="210" w:before="0" w:after="0"/>
              <w:jc w:val="left"/>
              <w:rPr/>
            </w:pPr>
            <w:r>
              <w:rPr>
                <w:spacing w:val="-2"/>
              </w:rPr>
              <w:t>The Nominating and Corporate Governance Committee:</w:t>
            </w:r>
            <w:r>
              <w:rPr/>
              <w:t xml:space="preserve"> </w:t>
            </w:r>
          </w:p>
          <w:p>
            <w:pPr>
              <w:pStyle w:val="TableContents"/>
              <w:bidi w:val="0"/>
              <w:spacing w:lineRule="atLeast" w:line="210" w:before="90" w:after="0"/>
              <w:ind w:left="180" w:right="0" w:hanging="0"/>
              <w:jc w:val="left"/>
              <w:rPr/>
            </w:pPr>
            <w:r>
              <w:rPr>
                <w:spacing w:val="-2"/>
              </w:rPr>
              <w:t>Considers experience, qualifications, and diversity, including with respect to gender, race, ethnicity, nationality, country of origin or cultural background and perspectives</w:t>
            </w:r>
            <w:r>
              <w:rPr/>
              <w:t xml:space="preserve"> </w:t>
            </w:r>
            <w:r>
              <mc:AlternateContent>
                <mc:Choice Requires="wps">
                  <w:drawing>
                    <wp:anchor behindDoc="0" distT="57150" distB="0" distL="0" distR="0" simplePos="0" locked="0" layoutInCell="1" allowOverlap="1" relativeHeight="514">
                      <wp:simplePos x="0" y="0"/>
                      <wp:positionH relativeFrom="column">
                        <wp:align>left</wp:align>
                      </wp:positionH>
                      <wp:positionV relativeFrom="line">
                        <wp:align>top</wp:align>
                      </wp:positionV>
                      <wp:extent cx="114300" cy="350520"/>
                      <wp:effectExtent l="0" t="0" r="0" b="0"/>
                      <wp:wrapSquare wrapText="right"/>
                      <wp:docPr id="488" name="Frame1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0" w:after="0"/>
              <w:ind w:left="180" w:right="0" w:hanging="0"/>
              <w:jc w:val="left"/>
              <w:rPr/>
            </w:pPr>
            <w:r>
              <w:rPr>
                <w:spacing w:val="-2"/>
              </w:rPr>
              <w:t>Meets with candidates and conducts interviews</w:t>
            </w:r>
            <w:r>
              <w:rPr/>
              <w:t xml:space="preserve"> </w:t>
            </w:r>
            <w:r>
              <mc:AlternateContent>
                <mc:Choice Requires="wps">
                  <w:drawing>
                    <wp:anchor behindDoc="0" distT="57150" distB="0" distL="0" distR="0" simplePos="0" locked="0" layoutInCell="1" allowOverlap="1" relativeHeight="515">
                      <wp:simplePos x="0" y="0"/>
                      <wp:positionH relativeFrom="column">
                        <wp:align>left</wp:align>
                      </wp:positionH>
                      <wp:positionV relativeFrom="line">
                        <wp:align>top</wp:align>
                      </wp:positionV>
                      <wp:extent cx="114300" cy="350520"/>
                      <wp:effectExtent l="0" t="0" r="0" b="0"/>
                      <wp:wrapSquare wrapText="right"/>
                      <wp:docPr id="489" name="Frame2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10" w:before="90" w:after="0"/>
              <w:ind w:left="360" w:right="0" w:hanging="0"/>
              <w:jc w:val="left"/>
              <w:rPr/>
            </w:pPr>
            <w:r>
              <w:rPr>
                <w:spacing w:val="-2"/>
              </w:rPr>
              <w:t>In considering a potential nominee, each member of the Nominating and Corporate Governance Committee has the opportunity to interview potential nominees in person or by telephone and to submit questions to such potential candidate.</w:t>
            </w:r>
            <w:r>
              <w:rPr/>
              <w:t xml:space="preserve"> </w:t>
            </w:r>
            <w:r>
              <mc:AlternateContent>
                <mc:Choice Requires="wps">
                  <w:drawing>
                    <wp:anchor behindDoc="0" distT="57150" distB="0" distL="114300" distR="0" simplePos="0" locked="0" layoutInCell="1" allowOverlap="1" relativeHeight="516">
                      <wp:simplePos x="0" y="0"/>
                      <wp:positionH relativeFrom="column">
                        <wp:align>left</wp:align>
                      </wp:positionH>
                      <wp:positionV relativeFrom="line">
                        <wp:align>top</wp:align>
                      </wp:positionV>
                      <wp:extent cx="114300" cy="350520"/>
                      <wp:effectExtent l="0" t="0" r="0" b="0"/>
                      <wp:wrapSquare wrapText="right"/>
                      <wp:docPr id="490" name="Frame2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1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9pt;mso-wrap-distance-right:0pt;mso-wrap-distance-top:4.5pt;mso-wrap-distance-bottom:0pt;margin-top:4.5pt;mso-position-vertical:top;mso-position-vertical-relative:text;margin-left:9pt;mso-position-horizontal:left;mso-position-horizontal-relative:text">
                      <v:textbox>
                        <w:txbxContent>
                          <w:p>
                            <w:pPr>
                              <w:pStyle w:val="TextBody"/>
                              <w:bidi w:val="0"/>
                              <w:spacing w:lineRule="atLeast" w:line="21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0" w:after="0"/>
              <w:ind w:left="180" w:right="0" w:hanging="0"/>
              <w:jc w:val="left"/>
              <w:rPr>
                <w:spacing w:val="-2"/>
              </w:rPr>
            </w:pPr>
            <w:r>
              <w:rPr>
                <w:spacing w:val="-2"/>
              </w:rPr>
              <w:t xml:space="preserve">Review independence and potential conflicts </w:t>
            </w:r>
            <w:r>
              <mc:AlternateContent>
                <mc:Choice Requires="wps">
                  <w:drawing>
                    <wp:anchor behindDoc="0" distT="57150" distB="0" distL="0" distR="0" simplePos="0" locked="0" layoutInCell="1" allowOverlap="1" relativeHeight="517">
                      <wp:simplePos x="0" y="0"/>
                      <wp:positionH relativeFrom="column">
                        <wp:align>left</wp:align>
                      </wp:positionH>
                      <wp:positionV relativeFrom="line">
                        <wp:align>top</wp:align>
                      </wp:positionV>
                      <wp:extent cx="114300" cy="350520"/>
                      <wp:effectExtent l="0" t="0" r="0" b="0"/>
                      <wp:wrapSquare wrapText="right"/>
                      <wp:docPr id="491" name="Frame2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54" w:type="dxa"/>
            <w:tcBorders>
              <w:bottom w:val="single" w:sz="2" w:space="0" w:color="FFFFFF"/>
            </w:tcBorders>
            <w:vAlign w:val="center"/>
          </w:tcPr>
          <w:p>
            <w:pPr>
              <w:pStyle w:val="TableContents"/>
              <w:bidi w:val="0"/>
              <w:spacing w:before="0" w:after="0"/>
              <w:jc w:val="center"/>
              <w:rPr/>
            </w:pPr>
            <w:r>
              <w:rPr/>
              <w:drawing>
                <wp:inline distT="0" distB="0" distL="0" distR="0">
                  <wp:extent cx="228600" cy="238125"/>
                  <wp:effectExtent l="0" t="0" r="0" b="0"/>
                  <wp:docPr id="49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15" descr=""/>
                          <pic:cNvPicPr>
                            <a:picLocks noChangeAspect="1" noChangeArrowheads="1"/>
                          </pic:cNvPicPr>
                        </pic:nvPicPr>
                        <pic:blipFill>
                          <a:blip r:embed="rId297"/>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7" w:type="dxa"/>
            <w:tcBorders>
              <w:bottom w:val="single" w:sz="2" w:space="0" w:color="FFFFFF"/>
            </w:tcBorders>
            <w:tcMar>
              <w:bottom w:w="140" w:type="dxa"/>
            </w:tcMar>
            <w:vAlign w:val="center"/>
          </w:tcPr>
          <w:p>
            <w:pPr>
              <w:pStyle w:val="TableContents"/>
              <w:bidi w:val="0"/>
              <w:spacing w:lineRule="atLeast" w:line="210" w:before="0" w:after="0"/>
              <w:jc w:val="left"/>
              <w:rPr/>
            </w:pPr>
            <w:r>
              <w:rPr>
                <w:spacing w:val="2"/>
              </w:rPr>
              <w:t>Recommend Candidates to Full Board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38" w:type="dxa"/>
            <w:tcBorders>
              <w:bottom w:val="single" w:sz="2" w:space="0" w:color="83AD40"/>
            </w:tcBorders>
            <w:vAlign w:val="center"/>
          </w:tcPr>
          <w:p>
            <w:pPr>
              <w:pStyle w:val="TableContents"/>
              <w:bidi w:val="0"/>
              <w:spacing w:lineRule="atLeast" w:line="210" w:before="0" w:after="0"/>
              <w:jc w:val="left"/>
              <w:rPr>
                <w:color w:val="000000"/>
                <w:spacing w:val="-2"/>
              </w:rPr>
            </w:pPr>
            <w:r>
              <w:rPr>
                <w:color w:val="000000"/>
                <w:spacing w:val="-2"/>
              </w:rPr>
              <w:t xml:space="preserve">The Nominating and Corporate Governance Committee presents potential candidates to full Board for open discussion.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54" w:type="dxa"/>
            <w:tcBorders/>
            <w:tcMar>
              <w:bottom w:w="0" w:type="dxa"/>
            </w:tcMar>
            <w:vAlign w:val="center"/>
          </w:tcPr>
          <w:p>
            <w:pPr>
              <w:pStyle w:val="TableContents"/>
              <w:bidi w:val="0"/>
              <w:spacing w:before="0" w:after="0"/>
              <w:jc w:val="center"/>
              <w:rPr/>
            </w:pPr>
            <w:r>
              <w:rPr/>
              <w:drawing>
                <wp:inline distT="0" distB="0" distL="0" distR="0">
                  <wp:extent cx="228600" cy="238125"/>
                  <wp:effectExtent l="0" t="0" r="0" b="0"/>
                  <wp:docPr id="49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16" descr=""/>
                          <pic:cNvPicPr>
                            <a:picLocks noChangeAspect="1" noChangeArrowheads="1"/>
                          </pic:cNvPicPr>
                        </pic:nvPicPr>
                        <pic:blipFill>
                          <a:blip r:embed="rId298"/>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lineRule="atLeast" w:line="210" w:before="0" w:after="0"/>
              <w:jc w:val="left"/>
              <w:rPr/>
            </w:pPr>
            <w:r>
              <w:rPr>
                <w:spacing w:val="2"/>
              </w:rPr>
              <w:t>Review by Full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38" w:type="dxa"/>
            <w:tcBorders/>
            <w:tcMar>
              <w:bottom w:w="0" w:type="dxa"/>
            </w:tcMar>
            <w:vAlign w:val="center"/>
          </w:tcPr>
          <w:p>
            <w:pPr>
              <w:pStyle w:val="TableContents"/>
              <w:bidi w:val="0"/>
              <w:spacing w:lineRule="atLeast" w:line="210" w:before="0" w:after="0"/>
              <w:jc w:val="left"/>
              <w:rPr>
                <w:color w:val="000000"/>
              </w:rPr>
            </w:pPr>
            <w:r>
              <w:rPr>
                <w:color w:val="000000"/>
                <w:spacing w:val="-2"/>
              </w:rPr>
              <w:t>The full Board is responsible for approving potential candidates.</w:t>
            </w:r>
            <w:r>
              <w:rPr>
                <w:color w:val="000000"/>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NCGC Director Recruitment Process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Nominating and Corporate Governance Committee assists the Board in identifying and reviewing director candidates and recommends director nominees to the Board to be considered for election at our Annual Meeting of stockholders. Our Nominating and Corporate Governance Committee adopted a written policy on the criteria and process of identifying and reviewing director candidates. Each director candidate must have: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education and experience that provides knowledge of business, financial, governmental or legal matters that are relevant to the Company’s business or to its status as a publicly owned company;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494"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1.</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1.</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an unblemished reputation for integrity;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495"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2.</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2.</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a reputation for exercising good business judgment;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496"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3.</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3.</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3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sufficient available time to be able to fulfill his or her responsibilities as a member of the Board and of any committees to which he or she may be appointed.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497"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color w:val="1F2668"/>
                              </w:rPr>
                            </w:pPr>
                            <w:r>
                              <w:rPr>
                                <w:color w:val="1F2668"/>
                                <w:spacing w:val="-2"/>
                              </w:rPr>
                              <w:t>4.</w:t>
                            </w:r>
                            <w:r>
                              <w:rPr>
                                <w:color w:val="1F2668"/>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color w:val="1F2668"/>
                        </w:rPr>
                      </w:pPr>
                      <w:r>
                        <w:rPr>
                          <w:color w:val="1F2668"/>
                          <w:spacing w:val="-2"/>
                        </w:rPr>
                        <w:t>4.</w:t>
                      </w:r>
                      <w:r>
                        <w:rPr>
                          <w:color w:val="1F266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making recommendations to the Board, our Nominating and Corporate Governance Committee also considers such factors as it deems appropriate, in light of the skills, qualifications and background of the Board’s current composition and the opportunities and challenges the Board anticipates in the future. The Nominating and Corporate Governance Committee may consider the following: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diversity, including with respect to gender, race, ethnicity, nationality, country of origin, or cultural background and perspectives;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49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industry knowledge and experience;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49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any actual or potential conflicts of interest and whether the candidate meets the NYSE independence criteria;</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0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extent to which the candidate generally would be a desirable addition to the Board and any committees of the Board;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0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qualifications to serve on appropriate Board committees (including financial acumen);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0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technological literacy;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0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strategic insight;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0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ability to introduce the Company to business or other opportunities;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0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reputation in the corporate governance community;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0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risk management skills;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0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candidate’s knowledge in the area of cybersecurity.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0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2022, the Nominating and Corporate Governance Committee engaged Spencer Stuart to help us identify potential nominees to our Board and requested that Spencer Stuart present diverse candidates in their slate of recommendations, including gender and ethnic/racial diversity. We appointed Carol N. Brown to our Board in March 2022.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Stockholder Recommendations of Director Candidates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SAI"/>
      <w:bookmarkEnd w:id="10"/>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283"/>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BOARD STRUCTURE AND INDEPENDENCE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Board Leadership Structure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currently consists of nine members. The current leadership structure of the Board consists of Marc Holliday, who serves as the Chairman of the Board and our Chief Executive Officer and Interim President, John Alschuler, who serves as our Lead Independent Director, and the independent directors who serve as Chairs for the Audit Committee, Compensation Committee and Nominating and Corporate Governance Committee of the Board. With 20 years of experience leading the Company, Mr. Holliday is uniquely qualified to serve as the Chairman of the Board, and the Board believes that Mr. Holliday’s combined role as Chairman of the Board and Chief Executive Officer, together with the participation of other members of management and independent directors in its leadership structure, helps promote unified leadership and direction for the Company and the Board while also ensuring appropriate independent oversight of management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Lead Independent Director</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879"/>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304">
                <wp:simplePos x="0" y="0"/>
                <wp:positionH relativeFrom="column">
                  <wp:align>left</wp:align>
                </wp:positionH>
                <wp:positionV relativeFrom="line">
                  <wp:posOffset>635</wp:posOffset>
                </wp:positionV>
                <wp:extent cx="1562100" cy="4022725"/>
                <wp:effectExtent l="0" t="0" r="0" b="0"/>
                <wp:wrapSquare wrapText="right"/>
                <wp:docPr id="509" name="Frame218"/>
                <a:graphic xmlns:a="http://schemas.openxmlformats.org/drawingml/2006/main">
                  <a:graphicData uri="http://schemas.microsoft.com/office/word/2010/wordprocessingShape">
                    <wps:wsp>
                      <wps:cNvSpPr txBox="1"/>
                      <wps:spPr>
                        <a:xfrm>
                          <a:off x="0" y="0"/>
                          <a:ext cx="1562100" cy="402272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677" w:type="dxa"/>
                              <w:jc w:val="left"/>
                              <w:tblInd w:w="0" w:type="dxa"/>
                              <w:tblLayout w:type="fixed"/>
                              <w:tblCellMar>
                                <w:top w:w="0" w:type="dxa"/>
                                <w:left w:w="0" w:type="dxa"/>
                                <w:bottom w:w="0" w:type="dxa"/>
                                <w:right w:w="0" w:type="dxa"/>
                              </w:tblCellMar>
                            </w:tblPr>
                            <w:tblGrid>
                              <w:gridCol w:w="124"/>
                              <w:gridCol w:w="109"/>
                              <w:gridCol w:w="21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1" w:type="dxa"/>
                                  <w:tcBorders/>
                                  <w:shd w:fill="1F2668" w:val="clear"/>
                                  <w:vAlign w:val="center"/>
                                </w:tcPr>
                                <w:p>
                                  <w:pPr>
                                    <w:pStyle w:val="TableContents"/>
                                    <w:bidi w:val="0"/>
                                    <w:spacing w:before="0" w:after="0"/>
                                    <w:ind w:left="0" w:right="160" w:hanging="0"/>
                                    <w:jc w:val="left"/>
                                    <w:rPr/>
                                  </w:pPr>
                                  <w:r>
                                    <w:rPr/>
                                    <w:drawing>
                                      <wp:inline distT="0" distB="0" distL="0" distR="0">
                                        <wp:extent cx="1190625" cy="1447800"/>
                                        <wp:effectExtent l="0" t="0" r="0" b="0"/>
                                        <wp:docPr id="51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17" descr=""/>
                                                <pic:cNvPicPr>
                                                  <a:picLocks noChangeAspect="1" noChangeArrowheads="1"/>
                                                </pic:cNvPicPr>
                                              </pic:nvPicPr>
                                              <pic:blipFill>
                                                <a:blip r:embed="rId299"/>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80" w:before="192" w:after="283"/>
                                    <w:ind w:left="0" w:right="160" w:hanging="0"/>
                                    <w:jc w:val="left"/>
                                    <w:rPr/>
                                  </w:pPr>
                                  <w:r>
                                    <w:rPr/>
                                    <w:t xml:space="preserve">JOHN H. </w:t>
                                    <w:br/>
                                    <w:t>ALSCHULER</w:t>
                                  </w:r>
                                </w:p>
                                <w:p>
                                  <w:pPr>
                                    <w:pStyle w:val="TableContents"/>
                                    <w:bidi w:val="0"/>
                                    <w:spacing w:lineRule="atLeast" w:line="220" w:before="360" w:after="283"/>
                                    <w:ind w:left="0" w:right="160" w:hanging="0"/>
                                    <w:jc w:val="left"/>
                                    <w:rPr>
                                      <w:sz w:val="18"/>
                                    </w:rPr>
                                  </w:pPr>
                                  <w:r>
                                    <w:rPr>
                                      <w:sz w:val="18"/>
                                    </w:rPr>
                                    <w:t>Lead Independent</w:t>
                                  </w:r>
                                </w:p>
                                <w:p>
                                  <w:pPr>
                                    <w:pStyle w:val="TableContents"/>
                                    <w:bidi w:val="0"/>
                                    <w:spacing w:lineRule="atLeast" w:line="220" w:before="120" w:after="283"/>
                                    <w:ind w:left="0" w:right="160" w:hanging="0"/>
                                    <w:jc w:val="left"/>
                                    <w:rPr>
                                      <w:sz w:val="18"/>
                                    </w:rPr>
                                  </w:pPr>
                                  <w:r>
                                    <w:rPr>
                                      <w:sz w:val="18"/>
                                    </w:rPr>
                                    <w:t>Director since 2010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16.7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677" w:type="dxa"/>
                        <w:jc w:val="left"/>
                        <w:tblInd w:w="0" w:type="dxa"/>
                        <w:tblLayout w:type="fixed"/>
                        <w:tblCellMar>
                          <w:top w:w="0" w:type="dxa"/>
                          <w:left w:w="0" w:type="dxa"/>
                          <w:bottom w:w="0" w:type="dxa"/>
                          <w:right w:w="0" w:type="dxa"/>
                        </w:tblCellMar>
                      </w:tblPr>
                      <w:tblGrid>
                        <w:gridCol w:w="124"/>
                        <w:gridCol w:w="109"/>
                        <w:gridCol w:w="218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1" w:type="dxa"/>
                            <w:tcBorders/>
                            <w:shd w:fill="1F2668" w:val="clear"/>
                            <w:vAlign w:val="center"/>
                          </w:tcPr>
                          <w:p>
                            <w:pPr>
                              <w:pStyle w:val="TableContents"/>
                              <w:bidi w:val="0"/>
                              <w:spacing w:before="0" w:after="0"/>
                              <w:ind w:left="0" w:right="160" w:hanging="0"/>
                              <w:jc w:val="left"/>
                              <w:rPr/>
                            </w:pPr>
                            <w:r>
                              <w:rPr/>
                              <w:drawing>
                                <wp:inline distT="0" distB="0" distL="0" distR="0">
                                  <wp:extent cx="1190625" cy="1447800"/>
                                  <wp:effectExtent l="0" t="0" r="0" b="0"/>
                                  <wp:docPr id="51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17" descr=""/>
                                          <pic:cNvPicPr>
                                            <a:picLocks noChangeAspect="1" noChangeArrowheads="1"/>
                                          </pic:cNvPicPr>
                                        </pic:nvPicPr>
                                        <pic:blipFill>
                                          <a:blip r:embed="rId300"/>
                                          <a:stretch>
                                            <a:fillRect/>
                                          </a:stretch>
                                        </pic:blipFill>
                                        <pic:spPr bwMode="auto">
                                          <a:xfrm>
                                            <a:off x="0" y="0"/>
                                            <a:ext cx="1190625" cy="1447800"/>
                                          </a:xfrm>
                                          <a:prstGeom prst="rect">
                                            <a:avLst/>
                                          </a:prstGeom>
                                        </pic:spPr>
                                      </pic:pic>
                                    </a:graphicData>
                                  </a:graphic>
                                </wp:inline>
                              </w:drawing>
                            </w:r>
                            <w:r>
                              <w:rPr/>
                              <w:t xml:space="preserve"> </w:t>
                            </w:r>
                          </w:p>
                          <w:p>
                            <w:pPr>
                              <w:pStyle w:val="TableContents"/>
                              <w:bidi w:val="0"/>
                              <w:spacing w:lineRule="atLeast" w:line="280" w:before="192" w:after="283"/>
                              <w:ind w:left="0" w:right="160" w:hanging="0"/>
                              <w:jc w:val="left"/>
                              <w:rPr/>
                            </w:pPr>
                            <w:r>
                              <w:rPr/>
                              <w:t xml:space="preserve">JOHN H. </w:t>
                              <w:br/>
                              <w:t>ALSCHULER</w:t>
                            </w:r>
                          </w:p>
                          <w:p>
                            <w:pPr>
                              <w:pStyle w:val="TableContents"/>
                              <w:bidi w:val="0"/>
                              <w:spacing w:lineRule="atLeast" w:line="220" w:before="360" w:after="283"/>
                              <w:ind w:left="0" w:right="160" w:hanging="0"/>
                              <w:jc w:val="left"/>
                              <w:rPr>
                                <w:sz w:val="18"/>
                              </w:rPr>
                            </w:pPr>
                            <w:r>
                              <w:rPr>
                                <w:sz w:val="18"/>
                              </w:rPr>
                              <w:t>Lead Independent</w:t>
                            </w:r>
                          </w:p>
                          <w:p>
                            <w:pPr>
                              <w:pStyle w:val="TableContents"/>
                              <w:bidi w:val="0"/>
                              <w:spacing w:lineRule="atLeast" w:line="220" w:before="120" w:after="283"/>
                              <w:ind w:left="0" w:right="160" w:hanging="0"/>
                              <w:jc w:val="left"/>
                              <w:rPr>
                                <w:sz w:val="18"/>
                              </w:rPr>
                            </w:pPr>
                            <w:r>
                              <w:rPr>
                                <w:sz w:val="18"/>
                              </w:rPr>
                              <w:t>Director since 2010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33">
                <wp:simplePos x="0" y="0"/>
                <wp:positionH relativeFrom="column">
                  <wp:align>left</wp:align>
                </wp:positionH>
                <wp:positionV relativeFrom="line">
                  <wp:posOffset>635</wp:posOffset>
                </wp:positionV>
                <wp:extent cx="4584700" cy="8739505"/>
                <wp:effectExtent l="0" t="0" r="0" b="0"/>
                <wp:wrapSquare wrapText="right"/>
                <wp:docPr id="512" name="Frame219"/>
                <a:graphic xmlns:a="http://schemas.openxmlformats.org/drawingml/2006/main">
                  <a:graphicData uri="http://schemas.microsoft.com/office/word/2010/wordprocessingShape">
                    <wps:wsp>
                      <wps:cNvSpPr txBox="1"/>
                      <wps:spPr>
                        <a:xfrm>
                          <a:off x="0" y="0"/>
                          <a:ext cx="4584700" cy="873950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Role of the Lead Independent Director</w:t>
                            </w:r>
                          </w:p>
                          <w:p>
                            <w:pPr>
                              <w:pStyle w:val="TextBody"/>
                              <w:bidi w:val="0"/>
                              <w:spacing w:lineRule="atLeast" w:line="230" w:before="120" w:after="283"/>
                              <w:jc w:val="left"/>
                              <w:rPr/>
                            </w:pPr>
                            <w:r>
                              <w:rPr>
                                <w:spacing w:val="-2"/>
                              </w:rPr>
                              <w:t>In addition to presiding at executive sessions of independent directors, the Lead Independent Director has the responsibility to:</w:t>
                            </w:r>
                            <w:r>
                              <w:rPr/>
                              <w:t xml:space="preserve"> </w:t>
                            </w:r>
                          </w:p>
                          <w:p>
                            <w:pPr>
                              <w:pStyle w:val="TextBody"/>
                              <w:bidi w:val="0"/>
                              <w:spacing w:lineRule="atLeast" w:line="240" w:before="152" w:after="0"/>
                              <w:ind w:left="580" w:right="0" w:hanging="0"/>
                              <w:jc w:val="left"/>
                              <w:rPr>
                                <w:spacing w:val="-2"/>
                              </w:rPr>
                            </w:pPr>
                            <w:r>
                              <w:rPr>
                                <w:spacing w:val="-2"/>
                              </w:rPr>
                              <w:t xml:space="preserve">consult with the Chairman of the Board and Chief Executive Officer as to an appropriate schedule and agenda for each Board meeting, seeking to ensure that the independent directors can perform their duties effectively and responsibly;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the independent directors have adequate resources, especially by way of full, timely and relevant information to support their decision making;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advise the Chief Executive Officer and Chairman as to the quality, quantity and timeliness of the information submitted by the Company’s management that is necessary or appropriate for the independent directors to effectively and responsibly perform their duties;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recommend to the Board and the Board Committees the retention of advisers and consultants who report directly to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independent directors have adequate opportunities to meet and discuss issues in sessions of the independent directors without management present and, as appropriate, call meetings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Chairman of the sessions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principal liaison between the independent directors and the Chief Executive Officer and Chairman of the Company and between the independent directors and senior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communicate to management, as appropriate, the results of private discussions among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chair the meetings of the Board when the Chairman is not present;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perform such other duties as the Board from time to time may delegate.</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688.1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Role of the Lead Independent Director</w:t>
                      </w:r>
                    </w:p>
                    <w:p>
                      <w:pPr>
                        <w:pStyle w:val="TextBody"/>
                        <w:bidi w:val="0"/>
                        <w:spacing w:lineRule="atLeast" w:line="230" w:before="120" w:after="283"/>
                        <w:jc w:val="left"/>
                        <w:rPr/>
                      </w:pPr>
                      <w:r>
                        <w:rPr>
                          <w:spacing w:val="-2"/>
                        </w:rPr>
                        <w:t>In addition to presiding at executive sessions of independent directors, the Lead Independent Director has the responsibility to:</w:t>
                      </w:r>
                      <w:r>
                        <w:rPr/>
                        <w:t xml:space="preserve"> </w:t>
                      </w:r>
                    </w:p>
                    <w:p>
                      <w:pPr>
                        <w:pStyle w:val="TextBody"/>
                        <w:bidi w:val="0"/>
                        <w:spacing w:lineRule="atLeast" w:line="240" w:before="152" w:after="0"/>
                        <w:ind w:left="580" w:right="0" w:hanging="0"/>
                        <w:jc w:val="left"/>
                        <w:rPr>
                          <w:spacing w:val="-2"/>
                        </w:rPr>
                      </w:pPr>
                      <w:r>
                        <w:rPr>
                          <w:spacing w:val="-2"/>
                        </w:rPr>
                        <w:t xml:space="preserve">consult with the Chairman of the Board and Chief Executive Officer as to an appropriate schedule and agenda for each Board meeting, seeking to ensure that the independent directors can perform their duties effectively and responsibly;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the independent directors have adequate resources, especially by way of full, timely and relevant information to support their decision making;</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advise the Chief Executive Officer and Chairman as to the quality, quantity and timeliness of the information submitted by the Company’s management that is necessary or appropriate for the independent directors to effectively and responsibly perform their duties;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recommend to the Board and the Board Committees the retention of advisers and consultants who report directly to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ensure that independent directors have adequate opportunities to meet and discuss issues in sessions of the independent directors without management present and, as appropriate, call meetings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Chairman of the sessions of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2" w:after="0"/>
                        <w:ind w:left="580" w:right="0" w:hanging="0"/>
                        <w:jc w:val="left"/>
                        <w:rPr/>
                      </w:pPr>
                      <w:r>
                        <w:rPr>
                          <w:spacing w:val="-2"/>
                        </w:rPr>
                        <w:t>serve as principal liaison between the independent directors and the Chief Executive Officer and Chairman of the Company and between the independent directors and senior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communicate to management, as appropriate, the results of private discussions among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chair the meetings of the Board when the Chairman is not present;</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with respect to questions and comments directed to the Lead Independent Director or to the independent directors as a group, determine the appropriate means of response, with such consultation with the Chief Executive Officer and Chairman and other directors as the Lead Independent Director may deem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40" w:before="54" w:after="0"/>
                        <w:ind w:left="580" w:right="0" w:hanging="0"/>
                        <w:jc w:val="left"/>
                        <w:rPr/>
                      </w:pPr>
                      <w:r>
                        <w:rPr>
                          <w:spacing w:val="-2"/>
                        </w:rPr>
                        <w:t>perform such other duties as the Board from time to time may delegate.</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96520" distB="0" distL="114300" distR="0" simplePos="0" locked="0" layoutInCell="1" allowOverlap="1" relativeHeight="534">
                <wp:simplePos x="0" y="0"/>
                <wp:positionH relativeFrom="column">
                  <wp:align>left</wp:align>
                </wp:positionH>
                <wp:positionV relativeFrom="line">
                  <wp:align>top</wp:align>
                </wp:positionV>
                <wp:extent cx="254000" cy="350520"/>
                <wp:effectExtent l="0" t="0" r="0" b="0"/>
                <wp:wrapSquare wrapText="right"/>
                <wp:docPr id="513"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7.6pt;mso-wrap-distance-bottom:0pt;margin-top:7.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14"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15"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16"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17"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18"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6.</w:t>
                      </w:r>
                      <w:r>
                        <w:rPr/>
                        <w:t xml:space="preserve"> </w:t>
                        <w:br/>
                      </w:r>
                    </w:p>
                  </w:txbxContent>
                </v:textbox>
                <w10:wrap type="square" side="right"/>
              </v:rect>
            </w:pict>
          </mc:Fallback>
        </mc:AlternateContent>
      </w:r>
      <w:r>
        <mc:AlternateContent>
          <mc:Choice Requires="wps">
            <w:drawing>
              <wp:anchor behindDoc="0" distT="33020" distB="0" distL="114300" distR="0" simplePos="0" locked="0" layoutInCell="1" allowOverlap="1" relativeHeight="540">
                <wp:simplePos x="0" y="0"/>
                <wp:positionH relativeFrom="column">
                  <wp:align>left</wp:align>
                </wp:positionH>
                <wp:positionV relativeFrom="line">
                  <wp:align>top</wp:align>
                </wp:positionV>
                <wp:extent cx="254000" cy="350520"/>
                <wp:effectExtent l="0" t="0" r="0" b="0"/>
                <wp:wrapSquare wrapText="right"/>
                <wp:docPr id="519"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6pt;mso-wrap-distance-bottom:0pt;margin-top:2.6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7.</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541">
                <wp:simplePos x="0" y="0"/>
                <wp:positionH relativeFrom="column">
                  <wp:align>left</wp:align>
                </wp:positionH>
                <wp:positionV relativeFrom="line">
                  <wp:align>top</wp:align>
                </wp:positionV>
                <wp:extent cx="254000" cy="350520"/>
                <wp:effectExtent l="0" t="0" r="0" b="0"/>
                <wp:wrapSquare wrapText="right"/>
                <wp:docPr id="520"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8.</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542">
                <wp:simplePos x="0" y="0"/>
                <wp:positionH relativeFrom="column">
                  <wp:align>left</wp:align>
                </wp:positionH>
                <wp:positionV relativeFrom="line">
                  <wp:align>top</wp:align>
                </wp:positionV>
                <wp:extent cx="254000" cy="350520"/>
                <wp:effectExtent l="0" t="0" r="0" b="0"/>
                <wp:wrapSquare wrapText="right"/>
                <wp:docPr id="521"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9.</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543">
                <wp:simplePos x="0" y="0"/>
                <wp:positionH relativeFrom="column">
                  <wp:align>left</wp:align>
                </wp:positionH>
                <wp:positionV relativeFrom="line">
                  <wp:align>top</wp:align>
                </wp:positionV>
                <wp:extent cx="254000" cy="350520"/>
                <wp:effectExtent l="0" t="0" r="0" b="0"/>
                <wp:wrapSquare wrapText="right"/>
                <wp:docPr id="522"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10.</w:t>
                      </w:r>
                      <w:r>
                        <w:rPr/>
                        <w:t xml:space="preserve"> </w:t>
                        <w:br/>
                      </w:r>
                    </w:p>
                  </w:txbxContent>
                </v:textbox>
                <w10:wrap type="square" side="right"/>
              </v:rect>
            </w:pict>
          </mc:Fallback>
        </mc:AlternateContent>
      </w:r>
      <w:r>
        <mc:AlternateContent>
          <mc:Choice Requires="wps">
            <w:drawing>
              <wp:anchor behindDoc="0" distT="34290" distB="0" distL="11430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23"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9pt;mso-wrap-distance-right:0pt;mso-wrap-distance-top:2.7pt;mso-wrap-distance-bottom:0pt;margin-top:2.7pt;mso-position-vertical:top;mso-position-vertical-relative:text;margin-left:9pt;mso-position-horizontal:left;mso-position-horizontal-relative:text">
                <v:textbox>
                  <w:txbxContent>
                    <w:p>
                      <w:pPr>
                        <w:pStyle w:val="TextBody"/>
                        <w:bidi w:val="0"/>
                        <w:spacing w:lineRule="atLeast" w:line="240" w:before="0" w:after="283"/>
                        <w:jc w:val="left"/>
                        <w:rPr/>
                      </w:pPr>
                      <w:r>
                        <w:rPr>
                          <w:spacing w:val="-2"/>
                        </w:rPr>
                        <w:t>11.</w:t>
                      </w:r>
                      <w:r>
                        <w:rPr/>
                        <w:t xml:space="preserve"> </w:t>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Board and Committee Self-Evaluations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Board Evaluation Process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2644"/>
        <w:gridCol w:w="109"/>
        <w:gridCol w:w="109"/>
        <w:gridCol w:w="109"/>
        <w:gridCol w:w="3089"/>
        <w:gridCol w:w="109"/>
        <w:gridCol w:w="109"/>
        <w:gridCol w:w="109"/>
        <w:gridCol w:w="2639"/>
        <w:gridCol w:w="155"/>
      </w:tblGrid>
      <w:tr>
        <w:trPr/>
        <w:tc>
          <w:tcPr>
            <w:tcW w:w="124" w:type="dxa"/>
            <w:tcBorders/>
            <w:vAlign w:val="center"/>
          </w:tcPr>
          <w:p>
            <w:pPr>
              <w:pStyle w:val="TableContents"/>
              <w:bidi w:val="0"/>
              <w:spacing w:before="0" w:after="283"/>
              <w:jc w:val="left"/>
              <w:rPr/>
            </w:pPr>
            <w:r>
              <w:rPr/>
              <w:t>​</w:t>
            </w:r>
          </w:p>
        </w:tc>
        <w:tc>
          <w:tcPr>
            <w:tcW w:w="2644" w:type="dxa"/>
            <w:tcBorders/>
            <w:vAlign w:val="center"/>
          </w:tcPr>
          <w:p>
            <w:pPr>
              <w:pStyle w:val="TableContents"/>
              <w:bidi w:val="0"/>
              <w:spacing w:before="0" w:after="0"/>
              <w:jc w:val="left"/>
              <w:rPr/>
            </w:pPr>
            <w:r>
              <w:rPr/>
              <w:drawing>
                <wp:inline distT="0" distB="0" distL="0" distR="0">
                  <wp:extent cx="228600" cy="238125"/>
                  <wp:effectExtent l="0" t="0" r="0" b="0"/>
                  <wp:docPr id="52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218" descr=""/>
                          <pic:cNvPicPr>
                            <a:picLocks noChangeAspect="1" noChangeArrowheads="1"/>
                          </pic:cNvPicPr>
                        </pic:nvPicPr>
                        <pic:blipFill>
                          <a:blip r:embed="rId301"/>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89" w:type="dxa"/>
            <w:tcBorders/>
            <w:vAlign w:val="center"/>
          </w:tcPr>
          <w:p>
            <w:pPr>
              <w:pStyle w:val="TableContents"/>
              <w:bidi w:val="0"/>
              <w:spacing w:before="0" w:after="0"/>
              <w:jc w:val="left"/>
              <w:rPr/>
            </w:pPr>
            <w:r>
              <w:rPr/>
              <w:drawing>
                <wp:inline distT="0" distB="0" distL="0" distR="0">
                  <wp:extent cx="228600" cy="238125"/>
                  <wp:effectExtent l="0" t="0" r="0" b="0"/>
                  <wp:docPr id="52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219" descr=""/>
                          <pic:cNvPicPr>
                            <a:picLocks noChangeAspect="1" noChangeArrowheads="1"/>
                          </pic:cNvPicPr>
                        </pic:nvPicPr>
                        <pic:blipFill>
                          <a:blip r:embed="rId302"/>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9" w:type="dxa"/>
            <w:tcBorders/>
            <w:vAlign w:val="center"/>
          </w:tcPr>
          <w:p>
            <w:pPr>
              <w:pStyle w:val="TableContents"/>
              <w:bidi w:val="0"/>
              <w:spacing w:before="0" w:after="0"/>
              <w:jc w:val="left"/>
              <w:rPr/>
            </w:pPr>
            <w:r>
              <w:rPr/>
              <w:drawing>
                <wp:inline distT="0" distB="0" distL="0" distR="0">
                  <wp:extent cx="228600" cy="238125"/>
                  <wp:effectExtent l="0" t="0" r="0" b="0"/>
                  <wp:docPr id="52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220" descr=""/>
                          <pic:cNvPicPr>
                            <a:picLocks noChangeAspect="1" noChangeArrowheads="1"/>
                          </pic:cNvPicPr>
                        </pic:nvPicPr>
                        <pic:blipFill>
                          <a:blip r:embed="rId303"/>
                          <a:stretch>
                            <a:fillRect/>
                          </a:stretch>
                        </pic:blipFill>
                        <pic:spPr bwMode="auto">
                          <a:xfrm>
                            <a:off x="0" y="0"/>
                            <a:ext cx="228600" cy="2381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44" w:type="dxa"/>
            <w:tcBorders/>
            <w:vAlign w:val="center"/>
          </w:tcPr>
          <w:p>
            <w:pPr>
              <w:pStyle w:val="TableContents"/>
              <w:bidi w:val="0"/>
              <w:spacing w:before="0" w:after="283"/>
              <w:jc w:val="left"/>
              <w:rPr/>
            </w:pPr>
            <w:r>
              <w:rPr/>
              <w:t>Initiate Process</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89" w:type="dxa"/>
            <w:tcBorders/>
            <w:vAlign w:val="center"/>
          </w:tcPr>
          <w:p>
            <w:pPr>
              <w:pStyle w:val="TableContents"/>
              <w:bidi w:val="0"/>
              <w:spacing w:before="0" w:after="283"/>
              <w:jc w:val="left"/>
              <w:rPr/>
            </w:pPr>
            <w:r>
              <w:rPr/>
              <w:t>Conduct Evaluation</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9" w:type="dxa"/>
            <w:tcBorders/>
            <w:vAlign w:val="center"/>
          </w:tcPr>
          <w:p>
            <w:pPr>
              <w:pStyle w:val="TableContents"/>
              <w:bidi w:val="0"/>
              <w:spacing w:before="0" w:after="283"/>
              <w:jc w:val="left"/>
              <w:rPr/>
            </w:pPr>
            <w:r>
              <w:rPr/>
              <w:t>Implement Conclusions</w:t>
            </w:r>
          </w:p>
        </w:tc>
        <w:tc>
          <w:tcPr>
            <w:tcW w:w="155"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2644"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NCGC establishes Board and committee self-evaluation process, including incorporation of process improvements from previous review cycles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3089"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Directors meet to formally discuss the functioning of the Board and any committees on which they serve to identify areas for improvement. Independent directors meet separately with outside counsel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639" w:type="dxa"/>
            <w:tcBorders>
              <w:bottom w:val="single" w:sz="6" w:space="0" w:color="83AD40"/>
            </w:tcBorders>
            <w:tcMar>
              <w:bottom w:w="300" w:type="dxa"/>
            </w:tcMar>
            <w:vAlign w:val="center"/>
          </w:tcPr>
          <w:p>
            <w:pPr>
              <w:pStyle w:val="TableContents"/>
              <w:bidi w:val="0"/>
              <w:spacing w:before="0" w:after="283"/>
              <w:jc w:val="left"/>
              <w:rPr/>
            </w:pPr>
            <w:r>
              <w:rPr>
                <w:spacing w:val="-2"/>
              </w:rPr>
              <w:t>The Board and each committee implement proposed governance improvements with assistance of management and third party advisors, as needed</w:t>
            </w:r>
            <w:r>
              <w:rPr/>
              <w:t xml:space="preserve"> </w:t>
            </w:r>
          </w:p>
        </w:tc>
        <w:tc>
          <w:tcPr>
            <w:tcW w:w="155"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35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Director Independence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Governance Principles provide that a majority of our directors serving on the Board must be independent as required by the listing standards of the NYSE.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 nominees has no direct or indirect material relationship with us and is independent under the listing standards of the NYSE and our director independence standards: Mses. Carol N. Brown and Lauren B. Dillard and Messrs. John H. Alschuler, and Craig M. Hatkoff. In addition, the Board previously determined that John S. Levy, who served as a director until June 2023, and Ms. Betsy S. Atkins and Mr. Edwin T. Burton who are not standing for reelection were independent under the listing standards of the NYSE and our director independence standards. The Board has determined that Messrs. Stephen L. Green, Marc Holliday and Andrew W. Mathias, our three other directors, are not independent.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Executive Sessions of Non-Management Directors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BOCO"/>
      <w:bookmarkEnd w:id="11"/>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Communications with the Board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New York, New York 10017-3852. Mr. Levine will direct all such communications to the intended recipient or recipients. Any such communications may be made anonymously.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Director Attendance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held six meetings during fiscal year 2023, and all directors attended 75% or more of the Board meetings and meetings of the committees on which they served during the periods they served during fiscal year 2023. In addition to participating in formal meetings, our Board members regularly communicate with each other, members of management and advisors and take action by written consent.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encourage each member of the Board to attend each annual meeting of stockholders. Three of our directors attended the annual meeting of stockholders held on June 5,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BOARD COMMITTEES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One Vanderbilt Avenue, New York, New York 10017-3852. From time to time, the Board also may create additional committees for such purposes as the Board may determine. The information found on our website is not incorporated into, and does not form a part of, this proxy statement or any other report or document we file with, or furnish to, the SEC.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4020"/>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545">
                <wp:simplePos x="0" y="0"/>
                <wp:positionH relativeFrom="column">
                  <wp:align>left</wp:align>
                </wp:positionH>
                <wp:positionV relativeFrom="line">
                  <wp:posOffset>635</wp:posOffset>
                </wp:positionV>
                <wp:extent cx="1943100" cy="3369945"/>
                <wp:effectExtent l="0" t="0" r="0" b="0"/>
                <wp:wrapSquare wrapText="right"/>
                <wp:docPr id="527" name="Frame231"/>
                <a:graphic xmlns:a="http://schemas.openxmlformats.org/drawingml/2006/main">
                  <a:graphicData uri="http://schemas.microsoft.com/office/word/2010/wordprocessingShape">
                    <wps:wsp>
                      <wps:cNvSpPr txBox="1"/>
                      <wps:spPr>
                        <a:xfrm>
                          <a:off x="0" y="0"/>
                          <a:ext cx="1943100" cy="336994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486" w:type="dxa"/>
                              <w:jc w:val="left"/>
                              <w:tblInd w:w="0" w:type="dxa"/>
                              <w:tblLayout w:type="fixed"/>
                              <w:tblCellMar>
                                <w:top w:w="0" w:type="dxa"/>
                                <w:left w:w="0" w:type="dxa"/>
                                <w:bottom w:w="0" w:type="dxa"/>
                                <w:right w:w="0" w:type="dxa"/>
                              </w:tblCellMar>
                            </w:tblPr>
                            <w:tblGrid>
                              <w:gridCol w:w="124"/>
                              <w:gridCol w:w="109"/>
                              <w:gridCol w:w="29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0" w:type="dxa"/>
                                  <w:tcBorders/>
                                  <w:shd w:fill="1F2668" w:val="clear"/>
                                  <w:vAlign w:val="center"/>
                                </w:tcPr>
                                <w:p>
                                  <w:pPr>
                                    <w:pStyle w:val="TableContents"/>
                                    <w:bidi w:val="0"/>
                                    <w:spacing w:lineRule="atLeast" w:line="300" w:before="0" w:after="0"/>
                                    <w:ind w:left="0" w:right="160" w:hanging="0"/>
                                    <w:jc w:val="left"/>
                                    <w:rPr>
                                      <w:b/>
                                      <w:sz w:val="26"/>
                                    </w:rPr>
                                  </w:pPr>
                                  <w:r>
                                    <w:rPr>
                                      <w:b/>
                                      <w:sz w:val="26"/>
                                    </w:rPr>
                                    <w:t>AUDIT</w:t>
                                    <w:br/>
                                    <w:t>COMMITTEE</w:t>
                                  </w:r>
                                </w:p>
                                <w:p>
                                  <w:pPr>
                                    <w:pStyle w:val="TableContents"/>
                                    <w:bidi w:val="0"/>
                                    <w:spacing w:lineRule="atLeast" w:line="220" w:before="240" w:after="283"/>
                                    <w:ind w:left="0" w:right="160" w:hanging="0"/>
                                    <w:jc w:val="left"/>
                                    <w:rPr>
                                      <w:b/>
                                    </w:rPr>
                                  </w:pPr>
                                  <w:r>
                                    <w:rPr>
                                      <w:b/>
                                    </w:rPr>
                                    <w:t>Members</w:t>
                                  </w:r>
                                </w:p>
                                <w:p>
                                  <w:pPr>
                                    <w:pStyle w:val="TableContents"/>
                                    <w:bidi w:val="0"/>
                                    <w:spacing w:lineRule="atLeast" w:line="220" w:before="120" w:after="283"/>
                                    <w:ind w:left="0" w:right="160" w:hanging="0"/>
                                    <w:jc w:val="left"/>
                                    <w:rPr>
                                      <w:spacing w:val="-2"/>
                                    </w:rPr>
                                  </w:pPr>
                                  <w:r>
                                    <w:rPr>
                                      <w:spacing w:val="-2"/>
                                    </w:rPr>
                                    <w:t xml:space="preserve">Edwin T. Burton, III (Chair) </w:t>
                                    <w:br/>
                                    <w:t xml:space="preserve">Betsy S. Atkins </w:t>
                                    <w:br/>
                                    <w:t>Lauren B. Dillard</w:t>
                                    <w:br/>
                                    <w:t xml:space="preserve">Craig M. Hatkoff </w:t>
                                  </w:r>
                                </w:p>
                                <w:p>
                                  <w:pPr>
                                    <w:pStyle w:val="TableContents"/>
                                    <w:bidi w:val="0"/>
                                    <w:spacing w:lineRule="atLeast" w:line="220" w:before="360" w:after="283"/>
                                    <w:ind w:left="0" w:right="160" w:hanging="0"/>
                                    <w:jc w:val="left"/>
                                    <w:rPr/>
                                  </w:pPr>
                                  <w:r>
                                    <w:rPr>
                                      <w:spacing w:val="-2"/>
                                    </w:rPr>
                                    <w:t>Meetings in 2023: 12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265.3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3486" w:type="dxa"/>
                        <w:jc w:val="left"/>
                        <w:tblInd w:w="0" w:type="dxa"/>
                        <w:tblLayout w:type="fixed"/>
                        <w:tblCellMar>
                          <w:top w:w="0" w:type="dxa"/>
                          <w:left w:w="0" w:type="dxa"/>
                          <w:bottom w:w="0" w:type="dxa"/>
                          <w:right w:w="0" w:type="dxa"/>
                        </w:tblCellMar>
                      </w:tblPr>
                      <w:tblGrid>
                        <w:gridCol w:w="124"/>
                        <w:gridCol w:w="109"/>
                        <w:gridCol w:w="2990"/>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90" w:type="dxa"/>
                            <w:tcBorders/>
                            <w:shd w:fill="1F2668" w:val="clear"/>
                            <w:vAlign w:val="center"/>
                          </w:tcPr>
                          <w:p>
                            <w:pPr>
                              <w:pStyle w:val="TableContents"/>
                              <w:bidi w:val="0"/>
                              <w:spacing w:lineRule="atLeast" w:line="300" w:before="0" w:after="0"/>
                              <w:ind w:left="0" w:right="160" w:hanging="0"/>
                              <w:jc w:val="left"/>
                              <w:rPr>
                                <w:b/>
                                <w:sz w:val="26"/>
                              </w:rPr>
                            </w:pPr>
                            <w:r>
                              <w:rPr>
                                <w:b/>
                                <w:sz w:val="26"/>
                              </w:rPr>
                              <w:t>AUDIT</w:t>
                              <w:br/>
                              <w:t>COMMITTEE</w:t>
                            </w:r>
                          </w:p>
                          <w:p>
                            <w:pPr>
                              <w:pStyle w:val="TableContents"/>
                              <w:bidi w:val="0"/>
                              <w:spacing w:lineRule="atLeast" w:line="220" w:before="240" w:after="283"/>
                              <w:ind w:left="0" w:right="160" w:hanging="0"/>
                              <w:jc w:val="left"/>
                              <w:rPr>
                                <w:b/>
                              </w:rPr>
                            </w:pPr>
                            <w:r>
                              <w:rPr>
                                <w:b/>
                              </w:rPr>
                              <w:t>Members</w:t>
                            </w:r>
                          </w:p>
                          <w:p>
                            <w:pPr>
                              <w:pStyle w:val="TableContents"/>
                              <w:bidi w:val="0"/>
                              <w:spacing w:lineRule="atLeast" w:line="220" w:before="120" w:after="283"/>
                              <w:ind w:left="0" w:right="160" w:hanging="0"/>
                              <w:jc w:val="left"/>
                              <w:rPr>
                                <w:spacing w:val="-2"/>
                              </w:rPr>
                            </w:pPr>
                            <w:r>
                              <w:rPr>
                                <w:spacing w:val="-2"/>
                              </w:rPr>
                              <w:t xml:space="preserve">Edwin T. Burton, III (Chair) </w:t>
                              <w:br/>
                              <w:t xml:space="preserve">Betsy S. Atkins </w:t>
                              <w:br/>
                              <w:t>Lauren B. Dillard</w:t>
                              <w:br/>
                              <w:t xml:space="preserve">Craig M. Hatkoff </w:t>
                            </w:r>
                          </w:p>
                          <w:p>
                            <w:pPr>
                              <w:pStyle w:val="TableContents"/>
                              <w:bidi w:val="0"/>
                              <w:spacing w:lineRule="atLeast" w:line="220" w:before="360" w:after="283"/>
                              <w:ind w:left="0" w:right="160" w:hanging="0"/>
                              <w:jc w:val="left"/>
                              <w:rPr/>
                            </w:pPr>
                            <w:r>
                              <w:rPr>
                                <w:spacing w:val="-2"/>
                              </w:rPr>
                              <w:t>Meetings in 2023: 12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46">
                <wp:simplePos x="0" y="0"/>
                <wp:positionH relativeFrom="column">
                  <wp:align>left</wp:align>
                </wp:positionH>
                <wp:positionV relativeFrom="line">
                  <wp:posOffset>635</wp:posOffset>
                </wp:positionV>
                <wp:extent cx="4203700" cy="9972040"/>
                <wp:effectExtent l="0" t="0" r="0" b="0"/>
                <wp:wrapSquare wrapText="right"/>
                <wp:docPr id="528" name="Frame232"/>
                <a:graphic xmlns:a="http://schemas.openxmlformats.org/drawingml/2006/main">
                  <a:graphicData uri="http://schemas.microsoft.com/office/word/2010/wordprocessingShape">
                    <wps:wsp>
                      <wps:cNvSpPr txBox="1"/>
                      <wps:spPr>
                        <a:xfrm>
                          <a:off x="0" y="0"/>
                          <a:ext cx="4203700" cy="9972040"/>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pPr>
                            <w:r>
                              <w:rPr>
                                <w:spacing w:val="-2"/>
                              </w:rPr>
                              <w:t>Our Audit Committee’s primary purposes are to:</w:t>
                            </w:r>
                            <w:r>
                              <w:rPr>
                                <w:spacing w:val="4"/>
                              </w:rPr>
                              <w:t xml:space="preserve"> </w:t>
                            </w:r>
                          </w:p>
                          <w:p>
                            <w:pPr>
                              <w:pStyle w:val="TextBody"/>
                              <w:bidi w:val="0"/>
                              <w:spacing w:lineRule="atLeast" w:line="220" w:before="184" w:after="0"/>
                              <w:ind w:left="200" w:right="0" w:hanging="0"/>
                              <w:jc w:val="left"/>
                              <w:rPr/>
                            </w:pPr>
                            <w:r>
                              <w:rPr>
                                <w:spacing w:val="-2"/>
                              </w:rPr>
                              <w:t>Select and appoint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Prepare the report that is required to be included in this proxy statement by the rules of the SEC</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Provide an open avenue of communication among the Company’s independent registered public accounting firm, its internal auditors, its management and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92" w:after="283"/>
                              <w:jc w:val="left"/>
                              <w:rPr/>
                            </w:pPr>
                            <w:r>
                              <w:rPr>
                                <w:spacing w:val="-2"/>
                              </w:rPr>
                              <w:t>Each member of the Audit Committee is independent within the meaning of the rules of the NYSE and the SEC and each of them meets the financial literacy standard required by the rules of the NYSE.</w:t>
                            </w:r>
                            <w:r>
                              <w:rPr>
                                <w:spacing w:val="4"/>
                              </w:rPr>
                              <w:t xml:space="preserve"> </w:t>
                            </w:r>
                          </w:p>
                          <w:p>
                            <w:pPr>
                              <w:pStyle w:val="TextBody"/>
                              <w:bidi w:val="0"/>
                              <w:spacing w:lineRule="atLeast" w:line="230" w:before="224" w:after="283"/>
                              <w:jc w:val="left"/>
                              <w:rPr/>
                            </w:pPr>
                            <w:r>
                              <w:rPr>
                                <w:spacing w:val="-2"/>
                              </w:rPr>
                              <w:t>Additional information regarding the functions performed by our Audit Committee is set forth in the “Audit Committee Report” included in this annual proxy statement.</w:t>
                            </w:r>
                            <w:r>
                              <w:rPr/>
                              <w:t xml:space="preserve"> </w:t>
                            </w:r>
                          </w:p>
                          <w:p>
                            <w:pPr>
                              <w:pStyle w:val="TextBody"/>
                              <w:bidi w:val="0"/>
                              <w:spacing w:lineRule="atLeast" w:line="260" w:before="267" w:after="283"/>
                              <w:jc w:val="left"/>
                              <w:rPr>
                                <w:b/>
                                <w:color w:val="83AD40"/>
                                <w:sz w:val="22"/>
                              </w:rPr>
                            </w:pPr>
                            <w:r>
                              <w:rPr>
                                <w:b/>
                                <w:color w:val="83AD40"/>
                                <w:sz w:val="22"/>
                              </w:rPr>
                              <w:t>Audit Committee Financial Expert</w:t>
                            </w:r>
                            <w:r>
                              <w:rPr>
                                <w:b/>
                                <w:color w:val="000000"/>
                                <w:spacing w:val="4"/>
                                <w:sz w:val="22"/>
                              </w:rPr>
                              <w:t xml:space="preserve"> </w:t>
                            </w:r>
                          </w:p>
                          <w:p>
                            <w:pPr>
                              <w:pStyle w:val="TextBody"/>
                              <w:bidi w:val="0"/>
                              <w:spacing w:lineRule="atLeast" w:line="230" w:before="120" w:after="283"/>
                              <w:jc w:val="left"/>
                              <w:rPr/>
                            </w:pPr>
                            <w:r>
                              <w:rPr>
                                <w:spacing w:val="-2"/>
                              </w:rPr>
                              <w:t>The Board determined that each of Edwin T. Burton, III and Lauren B. Dillard qualify as an “audit committee financial expert,” as defined in Item 407(d) of SEC Regulation S-K.</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395" w:after="283"/>
                              <w:jc w:val="left"/>
                              <w:rPr/>
                            </w:pPr>
                            <w:r>
                              <w:rPr>
                                <w:spacing w:val="-2"/>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r>
                              <w:rPr/>
                              <w:t xml:space="preserve"> </w:t>
                            </w:r>
                          </w:p>
                          <w:p>
                            <w:pPr>
                              <w:pStyle w:val="TextBody"/>
                              <w:bidi w:val="0"/>
                              <w:spacing w:lineRule="atLeast" w:line="230" w:before="221" w:after="283"/>
                              <w:jc w:val="left"/>
                              <w:rPr/>
                            </w:pPr>
                            <w:r>
                              <w:rPr>
                                <w:spacing w:val="-2"/>
                              </w:rPr>
                              <w:t>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w:t>
                            </w:r>
                            <w:r>
                              <w:rPr/>
                              <w:t xml:space="preserve"> </w:t>
                            </w:r>
                          </w:p>
                        </w:txbxContent>
                      </wps:txbx>
                      <wps:bodyPr anchor="t" lIns="0" tIns="0" rIns="0" bIns="0">
                        <a:noAutofit/>
                      </wps:bodyPr>
                    </wps:wsp>
                  </a:graphicData>
                </a:graphic>
              </wp:anchor>
            </w:drawing>
          </mc:Choice>
          <mc:Fallback>
            <w:pict>
              <v:rect style="position:absolute;rotation:-0;width:331pt;height:785.2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pPr>
                      <w:r>
                        <w:rPr>
                          <w:spacing w:val="-2"/>
                        </w:rPr>
                        <w:t>Our Audit Committee’s primary purposes are to:</w:t>
                      </w:r>
                      <w:r>
                        <w:rPr>
                          <w:spacing w:val="4"/>
                        </w:rPr>
                        <w:t xml:space="preserve"> </w:t>
                      </w:r>
                    </w:p>
                    <w:p>
                      <w:pPr>
                        <w:pStyle w:val="TextBody"/>
                        <w:bidi w:val="0"/>
                        <w:spacing w:lineRule="atLeast" w:line="220" w:before="184" w:after="0"/>
                        <w:ind w:left="200" w:right="0" w:hanging="0"/>
                        <w:jc w:val="left"/>
                        <w:rPr/>
                      </w:pPr>
                      <w:r>
                        <w:rPr>
                          <w:spacing w:val="-2"/>
                        </w:rPr>
                        <w:t>Select and appoint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Prepare the report that is required to be included in this proxy statement by the rules of the SEC</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Provide an open avenue of communication among the Company’s independent registered public accounting firm, its internal auditors, its management and the Board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92" w:after="283"/>
                        <w:jc w:val="left"/>
                        <w:rPr/>
                      </w:pPr>
                      <w:r>
                        <w:rPr>
                          <w:spacing w:val="-2"/>
                        </w:rPr>
                        <w:t>Each member of the Audit Committee is independent within the meaning of the rules of the NYSE and the SEC and each of them meets the financial literacy standard required by the rules of the NYSE.</w:t>
                      </w:r>
                      <w:r>
                        <w:rPr>
                          <w:spacing w:val="4"/>
                        </w:rPr>
                        <w:t xml:space="preserve"> </w:t>
                      </w:r>
                    </w:p>
                    <w:p>
                      <w:pPr>
                        <w:pStyle w:val="TextBody"/>
                        <w:bidi w:val="0"/>
                        <w:spacing w:lineRule="atLeast" w:line="230" w:before="224" w:after="283"/>
                        <w:jc w:val="left"/>
                        <w:rPr/>
                      </w:pPr>
                      <w:r>
                        <w:rPr>
                          <w:spacing w:val="-2"/>
                        </w:rPr>
                        <w:t>Additional information regarding the functions performed by our Audit Committee is set forth in the “Audit Committee Report” included in this annual proxy statement.</w:t>
                      </w:r>
                      <w:r>
                        <w:rPr/>
                        <w:t xml:space="preserve"> </w:t>
                      </w:r>
                    </w:p>
                    <w:p>
                      <w:pPr>
                        <w:pStyle w:val="TextBody"/>
                        <w:bidi w:val="0"/>
                        <w:spacing w:lineRule="atLeast" w:line="260" w:before="267" w:after="283"/>
                        <w:jc w:val="left"/>
                        <w:rPr>
                          <w:b/>
                          <w:color w:val="83AD40"/>
                          <w:sz w:val="22"/>
                        </w:rPr>
                      </w:pPr>
                      <w:r>
                        <w:rPr>
                          <w:b/>
                          <w:color w:val="83AD40"/>
                          <w:sz w:val="22"/>
                        </w:rPr>
                        <w:t>Audit Committee Financial Expert</w:t>
                      </w:r>
                      <w:r>
                        <w:rPr>
                          <w:b/>
                          <w:color w:val="000000"/>
                          <w:spacing w:val="4"/>
                          <w:sz w:val="22"/>
                        </w:rPr>
                        <w:t xml:space="preserve"> </w:t>
                      </w:r>
                    </w:p>
                    <w:p>
                      <w:pPr>
                        <w:pStyle w:val="TextBody"/>
                        <w:bidi w:val="0"/>
                        <w:spacing w:lineRule="atLeast" w:line="230" w:before="120" w:after="283"/>
                        <w:jc w:val="left"/>
                        <w:rPr/>
                      </w:pPr>
                      <w:r>
                        <w:rPr>
                          <w:spacing w:val="-2"/>
                        </w:rPr>
                        <w:t>The Board determined that each of Edwin T. Burton, III and Lauren B. Dillard qualify as an “audit committee financial expert,” as defined in Item 407(d) of SEC Regulation S-K.</w:t>
                      </w:r>
                      <w:r>
                        <w:rPr>
                          <w:spacing w:val="4"/>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395" w:after="283"/>
                        <w:jc w:val="left"/>
                        <w:rPr/>
                      </w:pPr>
                      <w:r>
                        <w:rPr>
                          <w:spacing w:val="-2"/>
                        </w:rPr>
                        <w:t>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w:t>
                      </w:r>
                      <w:r>
                        <w:rPr/>
                        <w:t xml:space="preserve"> </w:t>
                      </w:r>
                    </w:p>
                    <w:p>
                      <w:pPr>
                        <w:pStyle w:val="TextBody"/>
                        <w:bidi w:val="0"/>
                        <w:spacing w:lineRule="atLeast" w:line="230" w:before="221" w:after="283"/>
                        <w:jc w:val="left"/>
                        <w:rPr/>
                      </w:pPr>
                      <w:r>
                        <w:rPr>
                          <w:spacing w:val="-2"/>
                        </w:rPr>
                        <w:t>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w:t>
                      </w:r>
                      <w:r>
                        <w:rPr/>
                        <w:t xml:space="preserve"> </w:t>
                      </w:r>
                    </w:p>
                  </w:txbxContent>
                </v:textbox>
                <w10:wrap type="square" side="right"/>
              </v:rect>
            </w:pict>
          </mc:Fallback>
        </mc:AlternateContent>
      </w:r>
      <w:r>
        <mc:AlternateContent>
          <mc:Choice Requires="wps">
            <w:drawing>
              <wp:anchor behindDoc="0" distT="116840" distB="0" distL="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29"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30"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31"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32"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27</w:t>
            </w:r>
          </w:p>
        </w:tc>
        <w:tc>
          <w:tcPr>
            <w:tcW w:w="154" w:type="dxa"/>
            <w:tcBorders/>
            <w:vAlign w:val="center"/>
          </w:tcPr>
          <w:p>
            <w:pPr>
              <w:pStyle w:val="TableContents"/>
              <w:bidi w:val="0"/>
              <w:spacing w:before="0" w:after="283"/>
              <w:jc w:val="left"/>
              <w:rPr/>
            </w:pPr>
            <w:r>
              <w:rPr/>
              <w:t>​</w:t>
            </w:r>
          </w:p>
        </w:tc>
      </w:tr>
    </w:tbl>
    <w:p>
      <w:pPr>
        <w:pStyle w:val="TextBody"/>
        <w:bidi w:val="0"/>
        <w:spacing w:before="0" w:after="7077"/>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551">
                <wp:simplePos x="0" y="0"/>
                <wp:positionH relativeFrom="column">
                  <wp:align>left</wp:align>
                </wp:positionH>
                <wp:positionV relativeFrom="line">
                  <wp:posOffset>635</wp:posOffset>
                </wp:positionV>
                <wp:extent cx="1943100" cy="4333875"/>
                <wp:effectExtent l="0" t="0" r="0" b="0"/>
                <wp:wrapSquare wrapText="right"/>
                <wp:docPr id="533" name="Frame237"/>
                <a:graphic xmlns:a="http://schemas.openxmlformats.org/drawingml/2006/main">
                  <a:graphicData uri="http://schemas.microsoft.com/office/word/2010/wordprocessingShape">
                    <wps:wsp>
                      <wps:cNvSpPr txBox="1"/>
                      <wps:spPr>
                        <a:xfrm>
                          <a:off x="0" y="0"/>
                          <a:ext cx="1943100" cy="433387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COMPENSATION</w:t>
                                    <w:br/>
                                    <w:t>COMMITTEE</w:t>
                                  </w:r>
                                </w:p>
                                <w:p>
                                  <w:pPr>
                                    <w:pStyle w:val="TableContents"/>
                                    <w:bidi w:val="0"/>
                                    <w:spacing w:lineRule="atLeast" w:line="220" w:before="24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Lauren B. Dillard (Chair)</w:t>
                                  </w:r>
                                  <w:r>
                                    <w:rPr/>
                                    <w:t xml:space="preserve"> </w:t>
                                  </w:r>
                                </w:p>
                                <w:p>
                                  <w:pPr>
                                    <w:pStyle w:val="TableContents"/>
                                    <w:bidi w:val="0"/>
                                    <w:spacing w:lineRule="atLeast" w:line="220" w:before="40" w:after="283"/>
                                    <w:ind w:left="0" w:right="160" w:hanging="0"/>
                                    <w:jc w:val="left"/>
                                    <w:rPr/>
                                  </w:pPr>
                                  <w:r>
                                    <w:rPr>
                                      <w:spacing w:val="-2"/>
                                    </w:rPr>
                                    <w:t xml:space="preserve">Carol N. Brown </w:t>
                                    <w:br/>
                                    <w:t>Edwin T. Burton III</w:t>
                                  </w:r>
                                  <w:r>
                                    <w:rPr/>
                                    <w:t xml:space="preserve"> </w:t>
                                  </w:r>
                                </w:p>
                                <w:p>
                                  <w:pPr>
                                    <w:pStyle w:val="TableContents"/>
                                    <w:bidi w:val="0"/>
                                    <w:spacing w:lineRule="atLeast" w:line="220" w:before="360" w:after="283"/>
                                    <w:ind w:left="0" w:right="160" w:hanging="0"/>
                                    <w:jc w:val="left"/>
                                    <w:rPr/>
                                  </w:pPr>
                                  <w:r>
                                    <w:rPr>
                                      <w:spacing w:val="-2"/>
                                    </w:rPr>
                                    <w:t>Meetings in 2023: 2</w:t>
                                  </w:r>
                                  <w:r>
                                    <w:rPr/>
                                    <w:t xml:space="preserve"> </w:t>
                                  </w:r>
                                </w:p>
                                <w:p>
                                  <w:pPr>
                                    <w:pStyle w:val="TableContents"/>
                                    <w:bidi w:val="0"/>
                                    <w:spacing w:lineRule="atLeast" w:line="220" w:before="360" w:after="283"/>
                                    <w:ind w:left="0" w:right="160" w:hanging="0"/>
                                    <w:jc w:val="left"/>
                                    <w:rPr/>
                                  </w:pPr>
                                  <w:r>
                                    <w:rPr>
                                      <w:spacing w:val="-2"/>
                                    </w:rPr>
                                    <w:t>In addition to participating in formal meetings, our Compensation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41.2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COMPENSATION</w:t>
                              <w:br/>
                              <w:t>COMMITTEE</w:t>
                            </w:r>
                          </w:p>
                          <w:p>
                            <w:pPr>
                              <w:pStyle w:val="TableContents"/>
                              <w:bidi w:val="0"/>
                              <w:spacing w:lineRule="atLeast" w:line="220" w:before="24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Lauren B. Dillard (Chair)</w:t>
                            </w:r>
                            <w:r>
                              <w:rPr/>
                              <w:t xml:space="preserve"> </w:t>
                            </w:r>
                          </w:p>
                          <w:p>
                            <w:pPr>
                              <w:pStyle w:val="TableContents"/>
                              <w:bidi w:val="0"/>
                              <w:spacing w:lineRule="atLeast" w:line="220" w:before="40" w:after="283"/>
                              <w:ind w:left="0" w:right="160" w:hanging="0"/>
                              <w:jc w:val="left"/>
                              <w:rPr/>
                            </w:pPr>
                            <w:r>
                              <w:rPr>
                                <w:spacing w:val="-2"/>
                              </w:rPr>
                              <w:t xml:space="preserve">Carol N. Brown </w:t>
                              <w:br/>
                              <w:t>Edwin T. Burton III</w:t>
                            </w:r>
                            <w:r>
                              <w:rPr/>
                              <w:t xml:space="preserve"> </w:t>
                            </w:r>
                          </w:p>
                          <w:p>
                            <w:pPr>
                              <w:pStyle w:val="TableContents"/>
                              <w:bidi w:val="0"/>
                              <w:spacing w:lineRule="atLeast" w:line="220" w:before="360" w:after="283"/>
                              <w:ind w:left="0" w:right="160" w:hanging="0"/>
                              <w:jc w:val="left"/>
                              <w:rPr/>
                            </w:pPr>
                            <w:r>
                              <w:rPr>
                                <w:spacing w:val="-2"/>
                              </w:rPr>
                              <w:t>Meetings in 2023: 2</w:t>
                            </w:r>
                            <w:r>
                              <w:rPr/>
                              <w:t xml:space="preserve"> </w:t>
                            </w:r>
                          </w:p>
                          <w:p>
                            <w:pPr>
                              <w:pStyle w:val="TableContents"/>
                              <w:bidi w:val="0"/>
                              <w:spacing w:lineRule="atLeast" w:line="220" w:before="360" w:after="283"/>
                              <w:ind w:left="0" w:right="160" w:hanging="0"/>
                              <w:jc w:val="left"/>
                              <w:rPr/>
                            </w:pPr>
                            <w:r>
                              <w:rPr>
                                <w:spacing w:val="-2"/>
                              </w:rPr>
                              <w:t>In addition to participating in formal meetings, our Compensation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52">
                <wp:simplePos x="0" y="0"/>
                <wp:positionH relativeFrom="column">
                  <wp:align>left</wp:align>
                </wp:positionH>
                <wp:positionV relativeFrom="line">
                  <wp:posOffset>635</wp:posOffset>
                </wp:positionV>
                <wp:extent cx="4203700" cy="6748145"/>
                <wp:effectExtent l="0" t="0" r="0" b="0"/>
                <wp:wrapSquare wrapText="right"/>
                <wp:docPr id="534" name="Frame238"/>
                <a:graphic xmlns:a="http://schemas.openxmlformats.org/drawingml/2006/main">
                  <a:graphicData uri="http://schemas.microsoft.com/office/word/2010/wordprocessingShape">
                    <wps:wsp>
                      <wps:cNvSpPr txBox="1"/>
                      <wps:spPr>
                        <a:xfrm>
                          <a:off x="0" y="0"/>
                          <a:ext cx="4203700" cy="674814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pPr>
                            <w:r>
                              <w:rPr>
                                <w:spacing w:val="-2"/>
                              </w:rPr>
                              <w:t>Our Compensation Committee’s primary purposes are to:</w:t>
                            </w:r>
                            <w:r>
                              <w:rPr/>
                              <w:t xml:space="preserve"> </w:t>
                            </w:r>
                          </w:p>
                          <w:p>
                            <w:pPr>
                              <w:pStyle w:val="TextBody"/>
                              <w:bidi w:val="0"/>
                              <w:spacing w:lineRule="atLeast" w:line="220" w:before="214" w:after="0"/>
                              <w:ind w:left="200" w:right="0" w:hanging="0"/>
                              <w:jc w:val="left"/>
                              <w:rPr/>
                            </w:pPr>
                            <w:r>
                              <w:rPr>
                                <w:spacing w:val="-2"/>
                              </w:rPr>
                              <w:t>Determine how the Company’s Chief Executive Officer should be compensated</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Administer the Company’s employee benefit plans and executive compensation programs</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Determine compensation of our executive officers other than our Chief Executive Officer</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Produce the report on executive compensation that is required to be included in this proxy statement</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Solicit recommendations, with respect to the compensation of our executive officers, from our Chief Executive Officer regarding total compensation for all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Compensation Committee is independent within the meaning of the rules of the NYSE.</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59" w:after="283"/>
                              <w:jc w:val="left"/>
                              <w:rPr/>
                            </w:pPr>
                            <w:r>
                              <w:rPr>
                                <w:spacing w:val="-2"/>
                              </w:rPr>
                              <w:t>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w:t>
                            </w:r>
                            <w:r>
                              <w:rPr/>
                              <w:t xml:space="preserve"> </w:t>
                            </w:r>
                          </w:p>
                        </w:txbxContent>
                      </wps:txbx>
                      <wps:bodyPr anchor="t" lIns="0" tIns="0" rIns="0" bIns="0">
                        <a:noAutofit/>
                      </wps:bodyPr>
                    </wps:wsp>
                  </a:graphicData>
                </a:graphic>
              </wp:anchor>
            </w:drawing>
          </mc:Choice>
          <mc:Fallback>
            <w:pict>
              <v:rect style="position:absolute;rotation:-0;width:331pt;height:531.3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pPr>
                      <w:r>
                        <w:rPr>
                          <w:spacing w:val="-2"/>
                        </w:rPr>
                        <w:t>Our Compensation Committee’s primary purposes are to:</w:t>
                      </w:r>
                      <w:r>
                        <w:rPr/>
                        <w:t xml:space="preserve"> </w:t>
                      </w:r>
                    </w:p>
                    <w:p>
                      <w:pPr>
                        <w:pStyle w:val="TextBody"/>
                        <w:bidi w:val="0"/>
                        <w:spacing w:lineRule="atLeast" w:line="220" w:before="214" w:after="0"/>
                        <w:ind w:left="200" w:right="0" w:hanging="0"/>
                        <w:jc w:val="left"/>
                        <w:rPr/>
                      </w:pPr>
                      <w:r>
                        <w:rPr>
                          <w:spacing w:val="-2"/>
                        </w:rPr>
                        <w:t>Determine how the Company’s Chief Executive Officer should be compensated</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Administer the Company’s employee benefit plans and executive compensation programs</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Determine compensation of our executive officers other than our Chief Executive Officer</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Produce the report on executive compensation that is required to be included in this proxy statement</w:t>
                      </w:r>
                      <w:r>
                        <w:rPr/>
                        <w:t xml:space="preserve"> </w:t>
                      </w:r>
                    </w:p>
                    <w:p>
                      <w:pPr>
                        <w:pStyle w:val="TextBody"/>
                        <w:bidi w:val="0"/>
                        <w:spacing w:before="0" w:after="0"/>
                        <w:ind w:left="0" w:right="0" w:hanging="0"/>
                        <w:jc w:val="left"/>
                        <w:rPr/>
                      </w:pPr>
                      <w:r>
                        <w:rPr/>
                        <w:t>​</w:t>
                      </w:r>
                    </w:p>
                    <w:p>
                      <w:pPr>
                        <w:pStyle w:val="TextBody"/>
                        <w:bidi w:val="0"/>
                        <w:spacing w:lineRule="atLeast" w:line="220" w:before="38" w:after="0"/>
                        <w:ind w:left="200" w:right="0" w:hanging="0"/>
                        <w:jc w:val="left"/>
                        <w:rPr/>
                      </w:pPr>
                      <w:r>
                        <w:rPr>
                          <w:spacing w:val="-2"/>
                        </w:rPr>
                        <w:t>Solicit recommendations, with respect to the compensation of our executive officers, from our Chief Executive Officer regarding total compensation for all executive officers other than the Chief Executive Officer and review his recommendations in terms of total compensation and the allocation of such compensation among base salary, annual bonus amounts and other long-term incentive compensation as well as the allocation of such items between cash and equity compensation</w:t>
                      </w:r>
                      <w:r>
                        <w:rPr/>
                        <w:t xml:space="preserve"> </w:t>
                      </w:r>
                    </w:p>
                    <w:p>
                      <w:pPr>
                        <w:pStyle w:val="TextBody"/>
                        <w:bidi w:val="0"/>
                        <w:spacing w:before="0" w:after="0"/>
                        <w:ind w:left="0" w:right="0" w:hanging="0"/>
                        <w:jc w:val="left"/>
                        <w:rPr/>
                      </w:pPr>
                      <w:r>
                        <w:rPr/>
                        <w:t>​</w:t>
                      </w:r>
                    </w:p>
                    <w:p>
                      <w:pPr>
                        <w:pStyle w:val="TextBody"/>
                        <w:bidi w:val="0"/>
                        <w:spacing w:lineRule="atLeast" w:line="230" w:before="193" w:after="283"/>
                        <w:jc w:val="left"/>
                        <w:rPr/>
                      </w:pPr>
                      <w:r>
                        <w:rPr>
                          <w:spacing w:val="-2"/>
                        </w:rPr>
                        <w:t>Each member of the Compensation Committee is independent within the meaning of the rules of the NYSE.</w:t>
                      </w:r>
                      <w:r>
                        <w:rPr/>
                        <w:t xml:space="preserve"> </w:t>
                      </w:r>
                    </w:p>
                    <w:p>
                      <w:pPr>
                        <w:pStyle w:val="TextBody"/>
                        <w:bidi w:val="0"/>
                        <w:spacing w:before="0" w:after="283"/>
                        <w:ind w:left="0" w:right="0" w:hanging="0"/>
                        <w:jc w:val="left"/>
                        <w:rPr>
                          <w:bdr w:val="single" w:sz="8" w:space="1" w:color="83AD40"/>
                        </w:rPr>
                      </w:pPr>
                      <w:r>
                        <w:rPr>
                          <w:bdr w:val="single" w:sz="8" w:space="1" w:color="83AD40"/>
                        </w:rPr>
                        <w:t>​</w:t>
                      </w:r>
                    </w:p>
                    <w:p>
                      <w:pPr>
                        <w:pStyle w:val="TextBody"/>
                        <w:bidi w:val="0"/>
                        <w:spacing w:lineRule="atLeast" w:line="230" w:before="459" w:after="283"/>
                        <w:jc w:val="left"/>
                        <w:rPr/>
                      </w:pPr>
                      <w:r>
                        <w:rPr>
                          <w:spacing w:val="-2"/>
                        </w:rPr>
                        <w:t>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w:t>
                      </w:r>
                      <w:r>
                        <w:rPr/>
                        <w:t xml:space="preserve"> </w:t>
                      </w:r>
                    </w:p>
                  </w:txbxContent>
                </v:textbox>
                <w10:wrap type="square" side="right"/>
              </v:rect>
            </w:pict>
          </mc:Fallback>
        </mc:AlternateContent>
      </w:r>
      <w:r>
        <mc:AlternateContent>
          <mc:Choice Requires="wps">
            <w:drawing>
              <wp:anchor behindDoc="0" distT="135890" distB="0" distL="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35"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36"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37"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38"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24130" distB="0" distL="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39"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28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FFFFFF"/>
        </w:rPr>
      </w:pPr>
      <w:r>
        <w:rPr>
          <w:caps w:val="false"/>
          <w:smallCaps w:val="false"/>
          <w:color w:val="FFFFFF"/>
        </w:rPr>
        <w:t>​</w:t>
      </w:r>
      <w:r>
        <mc:AlternateContent>
          <mc:Choice Requires="wps">
            <w:drawing>
              <wp:anchor behindDoc="0" distT="0" distB="0" distL="571500" distR="0" simplePos="0" locked="0" layoutInCell="1" allowOverlap="1" relativeHeight="558">
                <wp:simplePos x="0" y="0"/>
                <wp:positionH relativeFrom="column">
                  <wp:align>left</wp:align>
                </wp:positionH>
                <wp:positionV relativeFrom="line">
                  <wp:posOffset>635</wp:posOffset>
                </wp:positionV>
                <wp:extent cx="1943100" cy="4685030"/>
                <wp:effectExtent l="0" t="0" r="0" b="0"/>
                <wp:wrapSquare wrapText="right"/>
                <wp:docPr id="540" name="Frame244"/>
                <a:graphic xmlns:a="http://schemas.openxmlformats.org/drawingml/2006/main">
                  <a:graphicData uri="http://schemas.microsoft.com/office/word/2010/wordprocessingShape">
                    <wps:wsp>
                      <wps:cNvSpPr txBox="1"/>
                      <wps:spPr>
                        <a:xfrm>
                          <a:off x="0" y="0"/>
                          <a:ext cx="1943100" cy="468503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NOMINATING</w:t>
                                    <w:br/>
                                    <w:t>AND</w:t>
                                    <w:br/>
                                    <w:t>CORPORATE</w:t>
                                    <w:br/>
                                    <w:t>GOVERNANCE</w:t>
                                    <w:br/>
                                    <w:t>COMMITTEE</w:t>
                                  </w:r>
                                </w:p>
                                <w:p>
                                  <w:pPr>
                                    <w:pStyle w:val="TableContents"/>
                                    <w:bidi w:val="0"/>
                                    <w:spacing w:lineRule="atLeast" w:line="220" w:before="18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 xml:space="preserve">Craig M. Hatkoff (Chair) </w:t>
                                    <w:br/>
                                    <w:t xml:space="preserve">John H. Alschuler </w:t>
                                    <w:br/>
                                    <w:t xml:space="preserve">Betsy S. Atkins </w:t>
                                    <w:br/>
                                    <w:t>Carol N. Brown</w:t>
                                  </w:r>
                                  <w:r>
                                    <w:rPr/>
                                    <w:t xml:space="preserve"> </w:t>
                                  </w:r>
                                </w:p>
                                <w:p>
                                  <w:pPr>
                                    <w:pStyle w:val="TableContents"/>
                                    <w:bidi w:val="0"/>
                                    <w:spacing w:lineRule="atLeast" w:line="220" w:before="240" w:after="283"/>
                                    <w:ind w:left="0" w:right="160" w:hanging="0"/>
                                    <w:jc w:val="left"/>
                                    <w:rPr/>
                                  </w:pPr>
                                  <w:r>
                                    <w:rPr>
                                      <w:spacing w:val="-2"/>
                                    </w:rPr>
                                    <w:t>Meetings in 2023: 2</w:t>
                                  </w:r>
                                  <w:r>
                                    <w:rPr/>
                                    <w:t xml:space="preserve"> </w:t>
                                  </w:r>
                                </w:p>
                                <w:p>
                                  <w:pPr>
                                    <w:pStyle w:val="TableContents"/>
                                    <w:bidi w:val="0"/>
                                    <w:spacing w:lineRule="atLeast" w:line="220" w:before="240" w:after="283"/>
                                    <w:ind w:left="0" w:right="160" w:hanging="0"/>
                                    <w:jc w:val="left"/>
                                    <w:rPr/>
                                  </w:pPr>
                                  <w:r>
                                    <w:rPr>
                                      <w:spacing w:val="-2"/>
                                    </w:rPr>
                                    <w:t>In addition to participating in formal meetings, our Nominating and Corporate Governance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68.9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NOMINATING</w:t>
                              <w:br/>
                              <w:t>AND</w:t>
                              <w:br/>
                              <w:t>CORPORATE</w:t>
                              <w:br/>
                              <w:t>GOVERNANCE</w:t>
                              <w:br/>
                              <w:t>COMMITTEE</w:t>
                            </w:r>
                          </w:p>
                          <w:p>
                            <w:pPr>
                              <w:pStyle w:val="TableContents"/>
                              <w:bidi w:val="0"/>
                              <w:spacing w:lineRule="atLeast" w:line="220" w:before="18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 xml:space="preserve">Craig M. Hatkoff (Chair) </w:t>
                              <w:br/>
                              <w:t xml:space="preserve">John H. Alschuler </w:t>
                              <w:br/>
                              <w:t xml:space="preserve">Betsy S. Atkins </w:t>
                              <w:br/>
                              <w:t>Carol N. Brown</w:t>
                            </w:r>
                            <w:r>
                              <w:rPr/>
                              <w:t xml:space="preserve"> </w:t>
                            </w:r>
                          </w:p>
                          <w:p>
                            <w:pPr>
                              <w:pStyle w:val="TableContents"/>
                              <w:bidi w:val="0"/>
                              <w:spacing w:lineRule="atLeast" w:line="220" w:before="240" w:after="283"/>
                              <w:ind w:left="0" w:right="160" w:hanging="0"/>
                              <w:jc w:val="left"/>
                              <w:rPr/>
                            </w:pPr>
                            <w:r>
                              <w:rPr>
                                <w:spacing w:val="-2"/>
                              </w:rPr>
                              <w:t>Meetings in 2023: 2</w:t>
                            </w:r>
                            <w:r>
                              <w:rPr/>
                              <w:t xml:space="preserve"> </w:t>
                            </w:r>
                          </w:p>
                          <w:p>
                            <w:pPr>
                              <w:pStyle w:val="TableContents"/>
                              <w:bidi w:val="0"/>
                              <w:spacing w:lineRule="atLeast" w:line="220" w:before="240" w:after="283"/>
                              <w:ind w:left="0" w:right="160" w:hanging="0"/>
                              <w:jc w:val="left"/>
                              <w:rPr/>
                            </w:pPr>
                            <w:r>
                              <w:rPr>
                                <w:spacing w:val="-2"/>
                              </w:rPr>
                              <w:t>In addition to participating in formal meetings, our Nominating and Corporate Governance Committee members regularly communicate with each other, members of management and advisors and take action by written consent.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59">
                <wp:simplePos x="0" y="0"/>
                <wp:positionH relativeFrom="column">
                  <wp:align>left</wp:align>
                </wp:positionH>
                <wp:positionV relativeFrom="line">
                  <wp:posOffset>635</wp:posOffset>
                </wp:positionV>
                <wp:extent cx="4203700" cy="4073525"/>
                <wp:effectExtent l="0" t="0" r="0" b="0"/>
                <wp:wrapSquare wrapText="right"/>
                <wp:docPr id="541" name="Frame245"/>
                <a:graphic xmlns:a="http://schemas.openxmlformats.org/drawingml/2006/main">
                  <a:graphicData uri="http://schemas.microsoft.com/office/word/2010/wordprocessingShape">
                    <wps:wsp>
                      <wps:cNvSpPr txBox="1"/>
                      <wps:spPr>
                        <a:xfrm>
                          <a:off x="0" y="0"/>
                          <a:ext cx="4203700" cy="407352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color w:val="000000"/>
                              </w:rPr>
                            </w:pPr>
                            <w:r>
                              <w:rPr>
                                <w:color w:val="000000"/>
                                <w:spacing w:val="-2"/>
                              </w:rPr>
                              <w:t>Our Nominating and Corporate Governance Committee’s primary purposes are to:</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Identify individuals qualified to fill vacancies or newly-created positions on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to the Board the persons it should nominate for election as directors at annual meetings of the Company’s stockholders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directors to serve on all committees of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Develop and recommend to the Board governance principles applicable to the Company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Oversee ESG matters, including related risk and strategy</w:t>
                            </w:r>
                            <w:r>
                              <w:rPr>
                                <w:color w:val="000000"/>
                              </w:rPr>
                              <w:t xml:space="preserve"> </w:t>
                            </w:r>
                          </w:p>
                          <w:p>
                            <w:pPr>
                              <w:pStyle w:val="TextBody"/>
                              <w:bidi w:val="0"/>
                              <w:spacing w:before="0" w:after="0"/>
                              <w:ind w:left="0" w:right="0" w:hanging="0"/>
                              <w:jc w:val="left"/>
                              <w:rPr/>
                            </w:pPr>
                            <w:r>
                              <w:rPr/>
                              <w:t>​</w:t>
                            </w:r>
                          </w:p>
                          <w:p>
                            <w:pPr>
                              <w:pStyle w:val="TextBody"/>
                              <w:bidi w:val="0"/>
                              <w:spacing w:lineRule="atLeast" w:line="250" w:before="240" w:after="283"/>
                              <w:jc w:val="left"/>
                              <w:rPr>
                                <w:color w:val="000000"/>
                              </w:rPr>
                            </w:pPr>
                            <w:r>
                              <w:rPr>
                                <w:color w:val="000000"/>
                                <w:spacing w:val="-2"/>
                              </w:rPr>
                              <w:t>Each member of the Nominating and Corporate Governance Committee is independent within the meaning of the rules of the NYSE.</w:t>
                            </w:r>
                            <w:r>
                              <w:rPr>
                                <w:color w:val="000000"/>
                              </w:rPr>
                              <w:t xml:space="preserve"> </w:t>
                            </w:r>
                          </w:p>
                        </w:txbxContent>
                      </wps:txbx>
                      <wps:bodyPr anchor="t" lIns="0" tIns="0" rIns="0" bIns="0">
                        <a:noAutofit/>
                      </wps:bodyPr>
                    </wps:wsp>
                  </a:graphicData>
                </a:graphic>
              </wp:anchor>
            </w:drawing>
          </mc:Choice>
          <mc:Fallback>
            <w:pict>
              <v:rect style="position:absolute;rotation:-0;width:331pt;height:320.7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color w:val="000000"/>
                        </w:rPr>
                      </w:pPr>
                      <w:r>
                        <w:rPr>
                          <w:color w:val="000000"/>
                          <w:spacing w:val="-2"/>
                        </w:rPr>
                        <w:t>Our Nominating and Corporate Governance Committee’s primary purposes are to:</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Identify individuals qualified to fill vacancies or newly-created positions on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to the Board the persons it should nominate for election as directors at annual meetings of the Company’s stockholders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Recommend directors to serve on all committees of the Board</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Develop and recommend to the Board governance principles applicable to the Company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Oversee ESG matters, including related risk and strategy</w:t>
                      </w:r>
                      <w:r>
                        <w:rPr>
                          <w:color w:val="000000"/>
                        </w:rPr>
                        <w:t xml:space="preserve"> </w:t>
                      </w:r>
                    </w:p>
                    <w:p>
                      <w:pPr>
                        <w:pStyle w:val="TextBody"/>
                        <w:bidi w:val="0"/>
                        <w:spacing w:before="0" w:after="0"/>
                        <w:ind w:left="0" w:right="0" w:hanging="0"/>
                        <w:jc w:val="left"/>
                        <w:rPr/>
                      </w:pPr>
                      <w:r>
                        <w:rPr/>
                        <w:t>​</w:t>
                      </w:r>
                    </w:p>
                    <w:p>
                      <w:pPr>
                        <w:pStyle w:val="TextBody"/>
                        <w:bidi w:val="0"/>
                        <w:spacing w:lineRule="atLeast" w:line="250" w:before="240" w:after="283"/>
                        <w:jc w:val="left"/>
                        <w:rPr>
                          <w:color w:val="000000"/>
                        </w:rPr>
                      </w:pPr>
                      <w:r>
                        <w:rPr>
                          <w:color w:val="000000"/>
                          <w:spacing w:val="-2"/>
                        </w:rPr>
                        <w:t>Each member of the Nominating and Corporate Governance Committee is independent within the meaning of the rules of the NYSE.</w:t>
                      </w:r>
                      <w:r>
                        <w:rPr>
                          <w:color w:val="000000"/>
                        </w:rPr>
                        <w:t xml:space="preserve"> </w:t>
                      </w:r>
                    </w:p>
                  </w:txbxContent>
                </v:textbox>
                <w10:wrap type="square" side="right"/>
              </v:rect>
            </w:pict>
          </mc:Fallback>
        </mc:AlternateContent>
      </w:r>
      <w:r>
        <mc:AlternateContent>
          <mc:Choice Requires="wps">
            <w:drawing>
              <wp:anchor behindDoc="0" distT="165100" distB="0" distL="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42"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43"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44"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45"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46"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p>
    <w:tbl>
      <w:tblPr>
        <w:tblW w:w="1148" w:type="dxa"/>
        <w:jc w:val="left"/>
        <w:tblInd w:w="900" w:type="dxa"/>
        <w:tblLayout w:type="fixed"/>
        <w:tblCellMar>
          <w:top w:w="0" w:type="dxa"/>
          <w:left w:w="0" w:type="dxa"/>
          <w:bottom w:w="28" w:type="dxa"/>
          <w:right w:w="0" w:type="dxa"/>
        </w:tblCellMar>
      </w:tblPr>
      <w:tblGrid>
        <w:gridCol w:w="124"/>
        <w:gridCol w:w="326"/>
        <w:gridCol w:w="109"/>
        <w:gridCol w:w="109"/>
        <w:gridCol w:w="3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FFFFFF"/>
            </w:tcBorders>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83AD40"/>
            </w:tcBorders>
            <w:vAlign w:val="center"/>
          </w:tcPr>
          <w:p>
            <w:pPr>
              <w:pStyle w:val="TableContents"/>
              <w:bidi w:val="0"/>
              <w:spacing w:lineRule="atLeast" w:line="142" w:before="0" w:after="0"/>
              <w:jc w:val="left"/>
              <w:rPr/>
            </w:pPr>
            <w:r>
              <w:rPr>
                <w:spacing w:val="0"/>
              </w:rPr>
              <w:t>   </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FFFFFF"/>
        </w:rPr>
      </w:pPr>
      <w:r>
        <w:rPr>
          <w:caps w:val="false"/>
          <w:smallCaps w:val="false"/>
          <w:color w:val="FFFFFF"/>
        </w:rPr>
        <w:t>​</w:t>
      </w:r>
      <w:r>
        <mc:AlternateContent>
          <mc:Choice Requires="wps">
            <w:drawing>
              <wp:anchor behindDoc="0" distT="0" distB="0" distL="571500" distR="0" simplePos="0" locked="0" layoutInCell="1" allowOverlap="1" relativeHeight="565">
                <wp:simplePos x="0" y="0"/>
                <wp:positionH relativeFrom="column">
                  <wp:align>left</wp:align>
                </wp:positionH>
                <wp:positionV relativeFrom="line">
                  <wp:posOffset>635</wp:posOffset>
                </wp:positionV>
                <wp:extent cx="1943100" cy="3938270"/>
                <wp:effectExtent l="0" t="0" r="0" b="0"/>
                <wp:wrapSquare wrapText="right"/>
                <wp:docPr id="547" name="Frame251"/>
                <a:graphic xmlns:a="http://schemas.openxmlformats.org/drawingml/2006/main">
                  <a:graphicData uri="http://schemas.microsoft.com/office/word/2010/wordprocessingShape">
                    <wps:wsp>
                      <wps:cNvSpPr txBox="1"/>
                      <wps:spPr>
                        <a:xfrm>
                          <a:off x="0" y="0"/>
                          <a:ext cx="1943100" cy="39382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EXECUTIVE</w:t>
                                    <w:br/>
                                    <w:t>COMMITTEE</w:t>
                                  </w:r>
                                </w:p>
                                <w:p>
                                  <w:pPr>
                                    <w:pStyle w:val="TableContents"/>
                                    <w:bidi w:val="0"/>
                                    <w:spacing w:lineRule="atLeast" w:line="220" w:before="18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 xml:space="preserve">Marc Holiday (Chair) </w:t>
                                    <w:br/>
                                    <w:t xml:space="preserve">John H. Alschuler </w:t>
                                    <w:br/>
                                    <w:t xml:space="preserve">Stephen L. Green </w:t>
                                    <w:br/>
                                    <w:t>Andrew W. Mathias</w:t>
                                  </w:r>
                                  <w:r>
                                    <w:rPr/>
                                    <w:t xml:space="preserve"> </w:t>
                                  </w:r>
                                </w:p>
                                <w:p>
                                  <w:pPr>
                                    <w:pStyle w:val="TableContents"/>
                                    <w:bidi w:val="0"/>
                                    <w:spacing w:lineRule="atLeast" w:line="220" w:before="240" w:after="283"/>
                                    <w:ind w:left="0" w:right="160" w:hanging="0"/>
                                    <w:jc w:val="left"/>
                                    <w:rPr/>
                                  </w:pPr>
                                  <w:r>
                                    <w:rPr>
                                      <w:spacing w:val="-2"/>
                                    </w:rPr>
                                    <w:t>Meetings in 2023: 0</w:t>
                                  </w:r>
                                  <w:r>
                                    <w:rPr/>
                                    <w:t xml:space="preserve"> </w:t>
                                  </w:r>
                                </w:p>
                                <w:p>
                                  <w:pPr>
                                    <w:pStyle w:val="TableContents"/>
                                    <w:bidi w:val="0"/>
                                    <w:spacing w:lineRule="atLeast" w:line="220" w:before="240" w:after="283"/>
                                    <w:ind w:left="0" w:right="160" w:hanging="0"/>
                                    <w:jc w:val="left"/>
                                    <w:rPr/>
                                  </w:pPr>
                                  <w:r>
                                    <w:rPr>
                                      <w:spacing w:val="-2"/>
                                    </w:rPr>
                                    <w:t>Our Executive Committee was not required to take any actions by written consent during fiscal year 2023, as all matters within its authority were approved by the Board.</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3pt;height:310.1pt;mso-wrap-distance-left:45pt;mso-wrap-distance-right:0pt;mso-wrap-distance-top:0pt;mso-wrap-distance-bottom:0pt;margin-top:0pt;mso-position-vertical:top;mso-position-vertical-relative:text;margin-left:243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EXECUTIVE</w:t>
                              <w:br/>
                              <w:t>COMMITTEE</w:t>
                            </w:r>
                          </w:p>
                          <w:p>
                            <w:pPr>
                              <w:pStyle w:val="TableContents"/>
                              <w:bidi w:val="0"/>
                              <w:spacing w:lineRule="atLeast" w:line="220" w:before="180" w:after="283"/>
                              <w:ind w:left="0" w:right="160" w:hanging="0"/>
                              <w:jc w:val="left"/>
                              <w:rPr>
                                <w:b/>
                              </w:rPr>
                            </w:pPr>
                            <w:r>
                              <w:rPr>
                                <w:b/>
                              </w:rPr>
                              <w:t>Members</w:t>
                            </w:r>
                          </w:p>
                          <w:p>
                            <w:pPr>
                              <w:pStyle w:val="TableContents"/>
                              <w:bidi w:val="0"/>
                              <w:spacing w:lineRule="atLeast" w:line="220" w:before="120" w:after="283"/>
                              <w:ind w:left="0" w:right="160" w:hanging="0"/>
                              <w:jc w:val="left"/>
                              <w:rPr/>
                            </w:pPr>
                            <w:r>
                              <w:rPr>
                                <w:spacing w:val="-2"/>
                              </w:rPr>
                              <w:t xml:space="preserve">Marc Holiday (Chair) </w:t>
                              <w:br/>
                              <w:t xml:space="preserve">John H. Alschuler </w:t>
                              <w:br/>
                              <w:t xml:space="preserve">Stephen L. Green </w:t>
                              <w:br/>
                              <w:t>Andrew W. Mathias</w:t>
                            </w:r>
                            <w:r>
                              <w:rPr/>
                              <w:t xml:space="preserve"> </w:t>
                            </w:r>
                          </w:p>
                          <w:p>
                            <w:pPr>
                              <w:pStyle w:val="TableContents"/>
                              <w:bidi w:val="0"/>
                              <w:spacing w:lineRule="atLeast" w:line="220" w:before="240" w:after="283"/>
                              <w:ind w:left="0" w:right="160" w:hanging="0"/>
                              <w:jc w:val="left"/>
                              <w:rPr/>
                            </w:pPr>
                            <w:r>
                              <w:rPr>
                                <w:spacing w:val="-2"/>
                              </w:rPr>
                              <w:t>Meetings in 2023: 0</w:t>
                            </w:r>
                            <w:r>
                              <w:rPr/>
                              <w:t xml:space="preserve"> </w:t>
                            </w:r>
                          </w:p>
                          <w:p>
                            <w:pPr>
                              <w:pStyle w:val="TableContents"/>
                              <w:bidi w:val="0"/>
                              <w:spacing w:lineRule="atLeast" w:line="220" w:before="240" w:after="283"/>
                              <w:ind w:left="0" w:right="160" w:hanging="0"/>
                              <w:jc w:val="left"/>
                              <w:rPr/>
                            </w:pPr>
                            <w:r>
                              <w:rPr>
                                <w:spacing w:val="-2"/>
                              </w:rPr>
                              <w:t>Our Executive Committee was not required to take any actions by written consent during fiscal year 2023, as all matters within its authority were approved by the Board.</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566">
                <wp:simplePos x="0" y="0"/>
                <wp:positionH relativeFrom="column">
                  <wp:align>left</wp:align>
                </wp:positionH>
                <wp:positionV relativeFrom="line">
                  <wp:posOffset>635</wp:posOffset>
                </wp:positionV>
                <wp:extent cx="4203700" cy="2793365"/>
                <wp:effectExtent l="0" t="0" r="0" b="0"/>
                <wp:wrapSquare wrapText="right"/>
                <wp:docPr id="548" name="Frame252"/>
                <a:graphic xmlns:a="http://schemas.openxmlformats.org/drawingml/2006/main">
                  <a:graphicData uri="http://schemas.microsoft.com/office/word/2010/wordprocessingShape">
                    <wps:wsp>
                      <wps:cNvSpPr txBox="1"/>
                      <wps:spPr>
                        <a:xfrm>
                          <a:off x="0" y="0"/>
                          <a:ext cx="4203700" cy="2793365"/>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color w:val="000000"/>
                              </w:rPr>
                            </w:pPr>
                            <w:r>
                              <w:rPr>
                                <w:color w:val="000000"/>
                                <w:spacing w:val="-2"/>
                              </w:rPr>
                              <w:t>Subject to the supervision and oversight of the Board, our Executive Committee is responsible for, among other things:</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The approval of our acquisition, disposition and financing of investments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authorization of the execution of certain contracts and agreements, including those relating to our borrowing of money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exercise, in general, of all other powers of the Board, except for such powers that require action by all directors or the independent directors under our articles of incorporation or bylaws or under applicable law</w:t>
                            </w:r>
                            <w:r>
                              <w:rPr>
                                <w:color w:val="000000"/>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31pt;height:219.9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Principal Responsibilities:</w:t>
                      </w:r>
                    </w:p>
                    <w:p>
                      <w:pPr>
                        <w:pStyle w:val="TextBody"/>
                        <w:bidi w:val="0"/>
                        <w:spacing w:lineRule="atLeast" w:line="240" w:before="120" w:after="283"/>
                        <w:jc w:val="left"/>
                        <w:rPr>
                          <w:color w:val="000000"/>
                        </w:rPr>
                      </w:pPr>
                      <w:r>
                        <w:rPr>
                          <w:color w:val="000000"/>
                          <w:spacing w:val="-2"/>
                        </w:rPr>
                        <w:t>Subject to the supervision and oversight of the Board, our Executive Committee is responsible for, among other things:</w:t>
                      </w:r>
                      <w:r>
                        <w:rPr>
                          <w:color w:val="000000"/>
                        </w:rPr>
                        <w:t xml:space="preserve"> </w:t>
                      </w:r>
                    </w:p>
                    <w:p>
                      <w:pPr>
                        <w:pStyle w:val="TextBody"/>
                        <w:bidi w:val="0"/>
                        <w:spacing w:lineRule="atLeast" w:line="220" w:before="260" w:after="0"/>
                        <w:ind w:left="200" w:right="0" w:hanging="0"/>
                        <w:jc w:val="left"/>
                        <w:rPr>
                          <w:color w:val="000000"/>
                        </w:rPr>
                      </w:pPr>
                      <w:r>
                        <w:rPr>
                          <w:color w:val="000000"/>
                          <w:spacing w:val="-2"/>
                        </w:rPr>
                        <w:t>The approval of our acquisition, disposition and financing of investments</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authorization of the execution of certain contracts and agreements, including those relating to our borrowing of money</w:t>
                      </w:r>
                      <w:r>
                        <w:rPr>
                          <w:color w:val="000000"/>
                        </w:rPr>
                        <w:t xml:space="preserve"> </w:t>
                      </w:r>
                    </w:p>
                    <w:p>
                      <w:pPr>
                        <w:pStyle w:val="TextBody"/>
                        <w:bidi w:val="0"/>
                        <w:spacing w:before="0" w:after="0"/>
                        <w:ind w:left="0" w:right="0" w:hanging="0"/>
                        <w:jc w:val="left"/>
                        <w:rPr/>
                      </w:pPr>
                      <w:r>
                        <w:rPr/>
                        <w:t>​</w:t>
                      </w:r>
                    </w:p>
                    <w:p>
                      <w:pPr>
                        <w:pStyle w:val="TextBody"/>
                        <w:bidi w:val="0"/>
                        <w:spacing w:lineRule="atLeast" w:line="220" w:before="60" w:after="0"/>
                        <w:ind w:left="200" w:right="0" w:hanging="0"/>
                        <w:jc w:val="left"/>
                        <w:rPr>
                          <w:color w:val="000000"/>
                        </w:rPr>
                      </w:pPr>
                      <w:r>
                        <w:rPr>
                          <w:color w:val="000000"/>
                          <w:spacing w:val="-2"/>
                        </w:rPr>
                        <w:t>The exercise, in general, of all other powers of the Board, except for such powers that require action by all directors or the independent directors under our articles of incorporation or bylaws or under applicable law</w:t>
                      </w:r>
                      <w:r>
                        <w:rPr>
                          <w:color w:val="000000"/>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65100" distB="0" distL="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49"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50"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r>
        <mc:AlternateContent>
          <mc:Choice Requires="wps">
            <w:drawing>
              <wp:anchor behindDoc="0" distT="38100" distB="0" distL="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51"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color w:val="000000"/>
                        </w:rPr>
                      </w:pPr>
                      <w:r>
                        <w:rPr>
                          <w:color w:val="000000"/>
                          <w:spacing w:val="-2"/>
                        </w:rPr>
                        <w:t>•</w:t>
                      </w:r>
                      <w:r>
                        <w:rPr>
                          <w:color w:val="000000"/>
                        </w:rPr>
                        <w:t xml:space="preserve"> </w:t>
                      </w:r>
                      <w:r>
                        <w:rPr>
                          <w:color w:val="000000"/>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OGO"/>
      <w:bookmarkEnd w:id="12"/>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29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CORPORATE GOVERNANCE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Corporate Governance Highlights</w:t>
      </w:r>
      <w:r>
        <w:rPr>
          <w:rFonts w:ascii="Arial;Helvetica;sans-serif" w:hAnsi="Arial;Helvetica;sans-serif"/>
          <w:b/>
          <w:i w:val="false"/>
          <w:caps w:val="false"/>
          <w:smallCaps w:val="false"/>
          <w:color w:val="000000"/>
          <w:spacing w:val="5"/>
          <w:sz w:val="26"/>
        </w:rPr>
        <w:t xml:space="preserve"> </w:t>
      </w:r>
    </w:p>
    <w:tbl>
      <w:tblPr>
        <w:tblW w:w="9305" w:type="dxa"/>
        <w:jc w:val="left"/>
        <w:tblInd w:w="900" w:type="dxa"/>
        <w:tblLayout w:type="fixed"/>
        <w:tblCellMar>
          <w:top w:w="0" w:type="dxa"/>
          <w:left w:w="0" w:type="dxa"/>
          <w:bottom w:w="28" w:type="dxa"/>
          <w:right w:w="0" w:type="dxa"/>
        </w:tblCellMar>
      </w:tblPr>
      <w:tblGrid>
        <w:gridCol w:w="124"/>
        <w:gridCol w:w="3886"/>
        <w:gridCol w:w="109"/>
        <w:gridCol w:w="109"/>
        <w:gridCol w:w="109"/>
        <w:gridCol w:w="2297"/>
        <w:gridCol w:w="109"/>
        <w:gridCol w:w="109"/>
        <w:gridCol w:w="109"/>
        <w:gridCol w:w="2188"/>
        <w:gridCol w:w="156"/>
      </w:tblGrid>
      <w:tr>
        <w:trPr/>
        <w:tc>
          <w:tcPr>
            <w:tcW w:w="124" w:type="dxa"/>
            <w:tcBorders>
              <w:bottom w:val="single" w:sz="6" w:space="0" w:color="83AD40"/>
            </w:tcBorders>
            <w:vAlign w:val="center"/>
          </w:tcPr>
          <w:p>
            <w:pPr>
              <w:pStyle w:val="TableContents"/>
              <w:bidi w:val="0"/>
              <w:spacing w:before="0" w:after="283"/>
              <w:jc w:val="left"/>
              <w:rPr/>
            </w:pPr>
            <w:r>
              <w:rPr/>
              <w:t>​</w:t>
            </w:r>
          </w:p>
        </w:tc>
        <w:tc>
          <w:tcPr>
            <w:tcW w:w="3886"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Board Independence and Composition</w:t>
            </w:r>
          </w:p>
          <w:p>
            <w:pPr>
              <w:pStyle w:val="TableContents"/>
              <w:bidi w:val="0"/>
              <w:spacing w:lineRule="atLeast" w:line="220" w:before="280" w:after="0"/>
              <w:ind w:left="180" w:right="0" w:hanging="0"/>
              <w:jc w:val="left"/>
              <w:rPr>
                <w:spacing w:val="-2"/>
              </w:rPr>
            </w:pPr>
            <w:r>
              <w:rPr>
                <w:spacing w:val="-2"/>
              </w:rPr>
              <w:t xml:space="preserve">Majority independent Board and 100% independent Nominating and Corporate Governance, Audit and Compensation Committees </w:t>
            </w:r>
            <w:r>
              <mc:AlternateContent>
                <mc:Choice Requires="wps">
                  <w:drawing>
                    <wp:anchor behindDoc="0" distT="177800" distB="0" distL="0" distR="0" simplePos="0" locked="0" layoutInCell="1" allowOverlap="1" relativeHeight="570">
                      <wp:simplePos x="0" y="0"/>
                      <wp:positionH relativeFrom="column">
                        <wp:align>left</wp:align>
                      </wp:positionH>
                      <wp:positionV relativeFrom="line">
                        <wp:align>top</wp:align>
                      </wp:positionV>
                      <wp:extent cx="114300" cy="350520"/>
                      <wp:effectExtent l="0" t="0" r="0" b="0"/>
                      <wp:wrapSquare wrapText="right"/>
                      <wp:docPr id="552" name="Frame2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Lead Independent Director role with robust responsibilities </w:t>
            </w:r>
            <w:r>
              <mc:AlternateContent>
                <mc:Choice Requires="wps">
                  <w:drawing>
                    <wp:anchor behindDoc="0" distT="63500" distB="0" distL="0" distR="0" simplePos="0" locked="0" layoutInCell="1" allowOverlap="1" relativeHeight="571">
                      <wp:simplePos x="0" y="0"/>
                      <wp:positionH relativeFrom="column">
                        <wp:align>left</wp:align>
                      </wp:positionH>
                      <wp:positionV relativeFrom="line">
                        <wp:align>top</wp:align>
                      </wp:positionV>
                      <wp:extent cx="114300" cy="350520"/>
                      <wp:effectExtent l="0" t="0" r="0" b="0"/>
                      <wp:wrapSquare wrapText="right"/>
                      <wp:docPr id="553" name="Frame2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297"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Board and Board Committee Practices</w:t>
            </w:r>
          </w:p>
          <w:p>
            <w:pPr>
              <w:pStyle w:val="TableContents"/>
              <w:bidi w:val="0"/>
              <w:spacing w:lineRule="atLeast" w:line="220" w:before="100" w:after="0"/>
              <w:ind w:left="180" w:right="0" w:hanging="0"/>
              <w:jc w:val="left"/>
              <w:rPr/>
            </w:pPr>
            <w:r>
              <w:rPr>
                <w:spacing w:val="-2"/>
              </w:rPr>
              <w:t>Board and committee self-evaluations</w:t>
            </w:r>
            <w:r>
              <w:rPr/>
              <w:t xml:space="preserve"> </w:t>
            </w:r>
            <w:r>
              <mc:AlternateContent>
                <mc:Choice Requires="wps">
                  <w:drawing>
                    <wp:anchor behindDoc="0" distT="63500" distB="0" distL="0" distR="0" simplePos="0" locked="0" layoutInCell="1" allowOverlap="1" relativeHeight="572">
                      <wp:simplePos x="0" y="0"/>
                      <wp:positionH relativeFrom="column">
                        <wp:align>left</wp:align>
                      </wp:positionH>
                      <wp:positionV relativeFrom="line">
                        <wp:align>top</wp:align>
                      </wp:positionV>
                      <wp:extent cx="114300" cy="350520"/>
                      <wp:effectExtent l="0" t="0" r="0" b="0"/>
                      <wp:wrapSquare wrapText="right"/>
                      <wp:docPr id="554" name="Frame2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Risk oversight by full Board and Audit Committee</w:t>
            </w:r>
            <w:r>
              <w:rPr/>
              <w:t xml:space="preserve"> </w:t>
            </w:r>
            <w:r>
              <mc:AlternateContent>
                <mc:Choice Requires="wps">
                  <w:drawing>
                    <wp:anchor behindDoc="0" distT="63500" distB="0" distL="0" distR="0" simplePos="0" locked="0" layoutInCell="1" allowOverlap="1" relativeHeight="573">
                      <wp:simplePos x="0" y="0"/>
                      <wp:positionH relativeFrom="column">
                        <wp:align>left</wp:align>
                      </wp:positionH>
                      <wp:positionV relativeFrom="line">
                        <wp:align>top</wp:align>
                      </wp:positionV>
                      <wp:extent cx="114300" cy="350520"/>
                      <wp:effectExtent l="0" t="0" r="0" b="0"/>
                      <wp:wrapSquare wrapText="right"/>
                      <wp:docPr id="555" name="Frame2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ESG oversight</w:t>
            </w:r>
            <w:r>
              <w:rPr/>
              <w:t xml:space="preserve"> </w:t>
            </w:r>
            <w:r>
              <mc:AlternateContent>
                <mc:Choice Requires="wps">
                  <w:drawing>
                    <wp:anchor behindDoc="0" distT="63500" distB="0" distL="0" distR="0" simplePos="0" locked="0" layoutInCell="1" allowOverlap="1" relativeHeight="574">
                      <wp:simplePos x="0" y="0"/>
                      <wp:positionH relativeFrom="column">
                        <wp:align>left</wp:align>
                      </wp:positionH>
                      <wp:positionV relativeFrom="line">
                        <wp:align>top</wp:align>
                      </wp:positionV>
                      <wp:extent cx="114300" cy="350520"/>
                      <wp:effectExtent l="0" t="0" r="0" b="0"/>
                      <wp:wrapSquare wrapText="right"/>
                      <wp:docPr id="556" name="Frame2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Robust stockholder engagement </w:t>
            </w:r>
            <w:r>
              <mc:AlternateContent>
                <mc:Choice Requires="wps">
                  <w:drawing>
                    <wp:anchor behindDoc="0" distT="63500" distB="0" distL="0" distR="0" simplePos="0" locked="0" layoutInCell="1" allowOverlap="1" relativeHeight="575">
                      <wp:simplePos x="0" y="0"/>
                      <wp:positionH relativeFrom="column">
                        <wp:align>left</wp:align>
                      </wp:positionH>
                      <wp:positionV relativeFrom="line">
                        <wp:align>top</wp:align>
                      </wp:positionV>
                      <wp:extent cx="114300" cy="350520"/>
                      <wp:effectExtent l="0" t="0" r="0" b="0"/>
                      <wp:wrapSquare wrapText="right"/>
                      <wp:docPr id="557" name="Frame2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2188" w:type="dxa"/>
            <w:tcBorders>
              <w:bottom w:val="single" w:sz="6" w:space="0" w:color="83AD40"/>
            </w:tcBorders>
            <w:tcMar>
              <w:bottom w:w="300" w:type="dxa"/>
            </w:tcMar>
            <w:vAlign w:val="center"/>
          </w:tcPr>
          <w:p>
            <w:pPr>
              <w:pStyle w:val="TableContents"/>
              <w:bidi w:val="0"/>
              <w:spacing w:before="0" w:after="0"/>
              <w:jc w:val="left"/>
              <w:rPr>
                <w:b/>
                <w:color w:val="1F2668"/>
              </w:rPr>
            </w:pPr>
            <w:r>
              <w:rPr>
                <w:b/>
                <w:color w:val="1F2668"/>
              </w:rPr>
              <w:t>Stockholder Rights</w:t>
            </w:r>
          </w:p>
          <w:p>
            <w:pPr>
              <w:pStyle w:val="TableContents"/>
              <w:bidi w:val="0"/>
              <w:spacing w:lineRule="atLeast" w:line="180" w:before="280" w:after="0"/>
              <w:ind w:left="180" w:right="0" w:hanging="0"/>
              <w:jc w:val="left"/>
              <w:rPr/>
            </w:pPr>
            <w:r>
              <w:rPr>
                <w:spacing w:val="-2"/>
              </w:rPr>
              <w:t>Annual election of all directors</w:t>
            </w:r>
            <w:r>
              <w:rPr/>
              <w:t xml:space="preserve"> </w:t>
            </w:r>
            <w:r>
              <mc:AlternateContent>
                <mc:Choice Requires="wps">
                  <w:drawing>
                    <wp:anchor behindDoc="0" distT="177800" distB="0" distL="0" distR="0" simplePos="0" locked="0" layoutInCell="1" allowOverlap="1" relativeHeight="576">
                      <wp:simplePos x="0" y="0"/>
                      <wp:positionH relativeFrom="column">
                        <wp:align>left</wp:align>
                      </wp:positionH>
                      <wp:positionV relativeFrom="line">
                        <wp:align>top</wp:align>
                      </wp:positionV>
                      <wp:extent cx="114300" cy="350520"/>
                      <wp:effectExtent l="0" t="0" r="0" b="0"/>
                      <wp:wrapSquare wrapText="right"/>
                      <wp:docPr id="558" name="Frame2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Majority voting standard for director elections</w:t>
            </w:r>
            <w:r>
              <w:rPr/>
              <w:t xml:space="preserve"> </w:t>
            </w:r>
            <w:r>
              <mc:AlternateContent>
                <mc:Choice Requires="wps">
                  <w:drawing>
                    <wp:anchor behindDoc="0" distT="63500" distB="0" distL="0" distR="0" simplePos="0" locked="0" layoutInCell="1" allowOverlap="1" relativeHeight="577">
                      <wp:simplePos x="0" y="0"/>
                      <wp:positionH relativeFrom="column">
                        <wp:align>left</wp:align>
                      </wp:positionH>
                      <wp:positionV relativeFrom="line">
                        <wp:align>top</wp:align>
                      </wp:positionV>
                      <wp:extent cx="114300" cy="350520"/>
                      <wp:effectExtent l="0" t="0" r="0" b="0"/>
                      <wp:wrapSquare wrapText="right"/>
                      <wp:docPr id="559" name="Frame2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Stockholder ability to amend bylaws by majority vote</w:t>
            </w:r>
            <w:r>
              <w:rPr/>
              <w:t xml:space="preserve"> </w:t>
            </w:r>
            <w:r>
              <mc:AlternateContent>
                <mc:Choice Requires="wps">
                  <w:drawing>
                    <wp:anchor behindDoc="0" distT="63500" distB="0" distL="0" distR="0" simplePos="0" locked="0" layoutInCell="1" allowOverlap="1" relativeHeight="578">
                      <wp:simplePos x="0" y="0"/>
                      <wp:positionH relativeFrom="column">
                        <wp:align>left</wp:align>
                      </wp:positionH>
                      <wp:positionV relativeFrom="line">
                        <wp:align>top</wp:align>
                      </wp:positionV>
                      <wp:extent cx="114300" cy="350520"/>
                      <wp:effectExtent l="0" t="0" r="0" b="0"/>
                      <wp:wrapSquare wrapText="right"/>
                      <wp:docPr id="560" name="Frame2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Proxy access bylaw provision</w:t>
            </w:r>
            <w:r>
              <w:rPr/>
              <w:t xml:space="preserve"> </w:t>
            </w:r>
            <w:r>
              <mc:AlternateContent>
                <mc:Choice Requires="wps">
                  <w:drawing>
                    <wp:anchor behindDoc="0" distT="63500" distB="0" distL="0" distR="0" simplePos="0" locked="0" layoutInCell="1" allowOverlap="1" relativeHeight="579">
                      <wp:simplePos x="0" y="0"/>
                      <wp:positionH relativeFrom="column">
                        <wp:align>left</wp:align>
                      </wp:positionH>
                      <wp:positionV relativeFrom="line">
                        <wp:align>top</wp:align>
                      </wp:positionV>
                      <wp:extent cx="114300" cy="350520"/>
                      <wp:effectExtent l="0" t="0" r="0" b="0"/>
                      <wp:wrapSquare wrapText="right"/>
                      <wp:docPr id="561" name="Frame2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lineRule="atLeast" w:line="300" w:before="35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Board Oversight of Strategy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One of the most important functions of the Board relates to its role in formulating and overseeing the execution of our business strategy. In order to do this, the Board: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actively participates with management in the formulation and refinement of our business strategy to help ensure that our strategic goals are thoughtfully constructed and well-articulated;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62"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periodically meets with our management and external advisors in full day or multi-day sessions focused on long-term strategic planning;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63"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less than quarterly, receives updates from management regarding internal progress toward strategic goals and changes in market conditions and external strategic opportunities and challenges in order to assist our management in refining its business strategy and reacting to particular opportunities or challenges that arise;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64"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monitors and evaluates performance through these regular updates and by actively engaging in dialogues with our senior management team;</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65"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discusses aspects of our business strategy at every meeting, and includes key elements of our strategy in the work performed by the committees of the Board; and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566"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oversees financial and operational performance, non-financial measures, including sustainability, social and governance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67"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believes that, through these ongoing efforts, it is able to focus on our performance over the short, intermediate and long term to secure the continuing health and success of the business for our stockholders.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Enterprise Risk Management Oversight</w:t>
      </w:r>
      <w:r>
        <w:rPr>
          <w:rFonts w:ascii="Arial;Helvetica;sans-serif" w:hAnsi="Arial;Helvetica;sans-serif"/>
          <w:b/>
          <w:i w:val="false"/>
          <w:caps w:val="false"/>
          <w:smallCaps w:val="false"/>
          <w:color w:val="000000"/>
          <w:spacing w:val="5"/>
          <w:sz w:val="26"/>
        </w:rPr>
        <w:t xml:space="preserve"> </w:t>
      </w:r>
    </w:p>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88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09" w:type="dxa"/>
            <w:tcBorders/>
            <w:shd w:fill="1F2668" w:val="clear"/>
            <w:vAlign w:val="center"/>
          </w:tcPr>
          <w:p>
            <w:pPr>
              <w:pStyle w:val="TableContents"/>
              <w:bidi w:val="0"/>
              <w:spacing w:lineRule="atLeast" w:line="260" w:before="0" w:after="0"/>
              <w:ind w:left="0" w:right="160" w:hanging="0"/>
              <w:jc w:val="left"/>
              <w:rPr>
                <w:b/>
                <w:sz w:val="22"/>
              </w:rPr>
            </w:pPr>
            <w:r>
              <w:rPr>
                <w:b/>
                <w:sz w:val="22"/>
              </w:rPr>
              <w:t>Board</w:t>
            </w:r>
            <w:r>
              <w:rPr>
                <w:b/>
                <w:color w:val="000000"/>
                <w:sz w:val="22"/>
              </w:rPr>
              <w:t>​</w:t>
            </w:r>
          </w:p>
          <w:p>
            <w:pPr>
              <w:pStyle w:val="TableContents"/>
              <w:bidi w:val="0"/>
              <w:spacing w:lineRule="atLeast" w:line="220" w:before="120" w:after="283"/>
              <w:ind w:left="0" w:right="160" w:hanging="0"/>
              <w:jc w:val="left"/>
              <w:rPr/>
            </w:pPr>
            <w:r>
              <w:rPr>
                <w:spacing w:val="-2"/>
              </w:rPr>
              <w:t>The Board is responsible for overseeing the Company’s risk management process. Both directly and through its committees, the Board focuses on the Company’s general risk management strategy and the most significant risks facing the Company and ensures that appropriate risk mitigation strategies are implemented by management. The Board is routinely apprised of particular risk management matters in connection with its general oversight and approval of corporate matters. In particular, the Board focuses on overseeing risks relating to the financial health of the Company, including the structure, composition and amount of our debt, broad market and portfolio conditions, status of development projects, ESG issues, succession planning and other material risks facing the Company.</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227" w:type="dxa"/>
        <w:jc w:val="left"/>
        <w:tblInd w:w="900" w:type="dxa"/>
        <w:tblLayout w:type="fixed"/>
        <w:tblCellMar>
          <w:top w:w="0" w:type="dxa"/>
          <w:left w:w="0" w:type="dxa"/>
          <w:bottom w:w="0" w:type="dxa"/>
          <w:right w:w="0" w:type="dxa"/>
        </w:tblCellMar>
      </w:tblPr>
      <w:tblGrid>
        <w:gridCol w:w="124"/>
        <w:gridCol w:w="109"/>
        <w:gridCol w:w="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ind w:left="0" w:right="240" w:hanging="0"/>
              <w:jc w:val="center"/>
              <w:rPr/>
            </w:pPr>
            <w:r>
              <w:rPr/>
              <w:drawing>
                <wp:inline distT="0" distB="0" distL="0" distR="0">
                  <wp:extent cx="219075" cy="114300"/>
                  <wp:effectExtent l="0" t="0" r="0" b="0"/>
                  <wp:docPr id="56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221" descr=""/>
                          <pic:cNvPicPr>
                            <a:picLocks noChangeAspect="1" noChangeArrowheads="1"/>
                          </pic:cNvPicPr>
                        </pic:nvPicPr>
                        <pic:blipFill>
                          <a:blip r:embed="rId304"/>
                          <a:stretch>
                            <a:fillRect/>
                          </a:stretch>
                        </pic:blipFill>
                        <pic:spPr bwMode="auto">
                          <a:xfrm>
                            <a:off x="0" y="0"/>
                            <a:ext cx="21907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2818"/>
        <w:gridCol w:w="109"/>
        <w:gridCol w:w="109"/>
        <w:gridCol w:w="109"/>
        <w:gridCol w:w="2850"/>
        <w:gridCol w:w="109"/>
        <w:gridCol w:w="109"/>
        <w:gridCol w:w="109"/>
        <w:gridCol w:w="2486"/>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8" w:type="dxa"/>
            <w:tcBorders/>
            <w:shd w:fill="D8D8D8" w:val="clear"/>
            <w:vAlign w:val="center"/>
          </w:tcPr>
          <w:p>
            <w:pPr>
              <w:pStyle w:val="TableContents"/>
              <w:bidi w:val="0"/>
              <w:spacing w:lineRule="atLeast" w:line="220" w:before="0" w:after="0"/>
              <w:ind w:left="0" w:right="480" w:hanging="0"/>
              <w:jc w:val="left"/>
              <w:rPr>
                <w:b/>
                <w:color w:val="1F2668"/>
                <w:sz w:val="22"/>
              </w:rPr>
            </w:pPr>
            <w:r>
              <w:rPr>
                <w:b/>
                <w:color w:val="1F2668"/>
                <w:sz w:val="22"/>
              </w:rPr>
              <w:t>Audit Committee</w:t>
            </w:r>
          </w:p>
          <w:p>
            <w:pPr>
              <w:pStyle w:val="TableContents"/>
              <w:bidi w:val="0"/>
              <w:spacing w:lineRule="atLeast" w:line="220" w:before="160" w:after="0"/>
              <w:ind w:left="180" w:right="480" w:hanging="0"/>
              <w:jc w:val="left"/>
              <w:rPr/>
            </w:pPr>
            <w:r>
              <w:rPr>
                <w:spacing w:val="-2"/>
              </w:rPr>
              <w:t>Oversees the Company’s risk management process</w:t>
            </w:r>
            <w:r>
              <w:rPr/>
              <w:t xml:space="preserve"> </w:t>
            </w:r>
            <w:r>
              <mc:AlternateContent>
                <mc:Choice Requires="wps">
                  <w:drawing>
                    <wp:anchor behindDoc="0" distT="101600" distB="0" distL="0" distR="0" simplePos="0" locked="0" layoutInCell="1" allowOverlap="1" relativeHeight="586">
                      <wp:simplePos x="0" y="0"/>
                      <wp:positionH relativeFrom="column">
                        <wp:align>left</wp:align>
                      </wp:positionH>
                      <wp:positionV relativeFrom="line">
                        <wp:align>top</wp:align>
                      </wp:positionV>
                      <wp:extent cx="114300" cy="350520"/>
                      <wp:effectExtent l="0" t="0" r="0" b="0"/>
                      <wp:wrapSquare wrapText="right"/>
                      <wp:docPr id="569" name="Frame2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480" w:hanging="0"/>
              <w:jc w:val="left"/>
              <w:rPr/>
            </w:pPr>
            <w:r>
              <w:rPr>
                <w:spacing w:val="-2"/>
              </w:rPr>
              <w:t>Reviews with management (a) Company policies with respect to risk assessment and management of risks that may be material to the Company, (b) disclosure controls and internal controls over financial reporting and (c) the Company’s compliance with legal and regulatory requirements</w:t>
            </w:r>
            <w:r>
              <w:rPr/>
              <w:t xml:space="preserve"> </w:t>
            </w:r>
            <w:r>
              <mc:AlternateContent>
                <mc:Choice Requires="wps">
                  <w:drawing>
                    <wp:anchor behindDoc="0" distT="63500" distB="0" distL="0" distR="0" simplePos="0" locked="0" layoutInCell="1" allowOverlap="1" relativeHeight="587">
                      <wp:simplePos x="0" y="0"/>
                      <wp:positionH relativeFrom="column">
                        <wp:align>left</wp:align>
                      </wp:positionH>
                      <wp:positionV relativeFrom="line">
                        <wp:align>top</wp:align>
                      </wp:positionV>
                      <wp:extent cx="114300" cy="350520"/>
                      <wp:effectExtent l="0" t="0" r="0" b="0"/>
                      <wp:wrapSquare wrapText="right"/>
                      <wp:docPr id="570" name="Frame2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480" w:hanging="0"/>
              <w:jc w:val="left"/>
              <w:rPr>
                <w:spacing w:val="-2"/>
              </w:rPr>
            </w:pPr>
            <w:r>
              <w:rPr>
                <w:spacing w:val="-2"/>
              </w:rPr>
              <w:t xml:space="preserve">Reviews major legislative and regulatory developments that could have a material impact on the Company’s contingent liabilities and risks </w:t>
            </w:r>
            <w:r>
              <mc:AlternateContent>
                <mc:Choice Requires="wps">
                  <w:drawing>
                    <wp:anchor behindDoc="0" distT="63500" distB="0" distL="0" distR="0" simplePos="0" locked="0" layoutInCell="1" allowOverlap="1" relativeHeight="588">
                      <wp:simplePos x="0" y="0"/>
                      <wp:positionH relativeFrom="column">
                        <wp:align>left</wp:align>
                      </wp:positionH>
                      <wp:positionV relativeFrom="line">
                        <wp:align>top</wp:align>
                      </wp:positionV>
                      <wp:extent cx="114300" cy="350520"/>
                      <wp:effectExtent l="0" t="0" r="0" b="0"/>
                      <wp:wrapSquare wrapText="right"/>
                      <wp:docPr id="571" name="Frame2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83AD40"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850" w:type="dxa"/>
            <w:tcBorders/>
            <w:shd w:fill="D8D8D8" w:val="clear"/>
            <w:vAlign w:val="center"/>
          </w:tcPr>
          <w:p>
            <w:pPr>
              <w:pStyle w:val="TableContents"/>
              <w:bidi w:val="0"/>
              <w:spacing w:lineRule="atLeast" w:line="220" w:before="0" w:after="0"/>
              <w:ind w:left="120" w:right="360" w:hanging="0"/>
              <w:jc w:val="left"/>
              <w:rPr>
                <w:b/>
                <w:color w:val="1F2668"/>
                <w:sz w:val="22"/>
              </w:rPr>
            </w:pPr>
            <w:r>
              <w:rPr>
                <w:b/>
                <w:color w:val="1F2668"/>
                <w:sz w:val="22"/>
              </w:rPr>
              <w:t>Compensation Committee</w:t>
            </w:r>
          </w:p>
          <w:p>
            <w:pPr>
              <w:pStyle w:val="TableContents"/>
              <w:bidi w:val="0"/>
              <w:spacing w:lineRule="atLeast" w:line="220" w:before="160" w:after="0"/>
              <w:ind w:left="300" w:right="360" w:hanging="0"/>
              <w:jc w:val="left"/>
              <w:rPr>
                <w:spacing w:val="-2"/>
              </w:rPr>
            </w:pPr>
            <w:r>
              <w:rPr>
                <w:spacing w:val="-2"/>
              </w:rPr>
              <w:t xml:space="preserve">Considers potential risks to the Company in its determinations of the overall structure of our executive compensation program, our ability to attract, retain and motivate our management team, the specific goals it establishes for our executives and the influence of incentive compensation on risk-taking </w:t>
            </w:r>
            <w:r>
              <mc:AlternateContent>
                <mc:Choice Requires="wps">
                  <w:drawing>
                    <wp:anchor behindDoc="0" distT="101600" distB="0" distL="76200" distR="0" simplePos="0" locked="0" layoutInCell="1" allowOverlap="1" relativeHeight="589">
                      <wp:simplePos x="0" y="0"/>
                      <wp:positionH relativeFrom="column">
                        <wp:align>left</wp:align>
                      </wp:positionH>
                      <wp:positionV relativeFrom="line">
                        <wp:align>top</wp:align>
                      </wp:positionV>
                      <wp:extent cx="114300" cy="350520"/>
                      <wp:effectExtent l="0" t="0" r="0" b="0"/>
                      <wp:wrapSquare wrapText="right"/>
                      <wp:docPr id="572" name="Frame2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8pt;mso-wrap-distance-bottom:0pt;margin-top:8pt;mso-position-vertical:top;mso-position-vertical-relative:text;margin-left:6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D8D8D8" w:val="clear"/>
            <w:vAlign w:val="center"/>
          </w:tcPr>
          <w:p>
            <w:pPr>
              <w:pStyle w:val="TableContents"/>
              <w:bidi w:val="0"/>
              <w:spacing w:before="0" w:after="283"/>
              <w:jc w:val="left"/>
              <w:rPr/>
            </w:pPr>
            <w:r>
              <w:rPr/>
              <w:t>​</w:t>
            </w:r>
          </w:p>
        </w:tc>
        <w:tc>
          <w:tcPr>
            <w:tcW w:w="109" w:type="dxa"/>
            <w:tcBorders/>
            <w:shd w:fill="83AD4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shd w:fill="D8D8D8" w:val="clear"/>
            <w:vAlign w:val="center"/>
          </w:tcPr>
          <w:p>
            <w:pPr>
              <w:pStyle w:val="TableContents"/>
              <w:bidi w:val="0"/>
              <w:spacing w:lineRule="atLeast" w:line="260" w:before="0" w:after="0"/>
              <w:ind w:left="120" w:right="360" w:hanging="0"/>
              <w:jc w:val="left"/>
              <w:rPr>
                <w:b/>
                <w:color w:val="1F2668"/>
                <w:sz w:val="22"/>
              </w:rPr>
            </w:pPr>
            <w:r>
              <w:rPr>
                <w:b/>
                <w:color w:val="1F2668"/>
                <w:sz w:val="22"/>
              </w:rPr>
              <w:t>Nominating and Corporate Governance Committee</w:t>
            </w:r>
          </w:p>
          <w:p>
            <w:pPr>
              <w:pStyle w:val="TableContents"/>
              <w:bidi w:val="0"/>
              <w:spacing w:lineRule="atLeast" w:line="220" w:before="160" w:after="0"/>
              <w:ind w:left="300" w:right="360" w:hanging="0"/>
              <w:jc w:val="left"/>
              <w:rPr/>
            </w:pPr>
            <w:r>
              <w:rPr>
                <w:spacing w:val="-2"/>
              </w:rPr>
              <w:t>Considers potential risks to the Company related to the composition of the Board, including succession planning and diversity, ESG matters, compliance with corporate governance guidelines and adoption of new policies and governance guidelines</w:t>
            </w:r>
            <w:r>
              <w:rPr/>
              <w:t xml:space="preserve"> </w:t>
            </w:r>
            <w:r>
              <mc:AlternateContent>
                <mc:Choice Requires="wps">
                  <w:drawing>
                    <wp:anchor behindDoc="0" distT="101600" distB="0" distL="76200" distR="0" simplePos="0" locked="0" layoutInCell="1" allowOverlap="1" relativeHeight="590">
                      <wp:simplePos x="0" y="0"/>
                      <wp:positionH relativeFrom="column">
                        <wp:align>left</wp:align>
                      </wp:positionH>
                      <wp:positionV relativeFrom="line">
                        <wp:align>top</wp:align>
                      </wp:positionV>
                      <wp:extent cx="114300" cy="350520"/>
                      <wp:effectExtent l="0" t="0" r="0" b="0"/>
                      <wp:wrapSquare wrapText="right"/>
                      <wp:docPr id="573" name="Frame2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6pt;mso-wrap-distance-right:0pt;mso-wrap-distance-top:8pt;mso-wrap-distance-bottom:0pt;margin-top:8pt;mso-position-vertical:top;mso-position-vertical-relative:text;margin-left:6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227" w:type="dxa"/>
        <w:jc w:val="left"/>
        <w:tblInd w:w="900" w:type="dxa"/>
        <w:tblLayout w:type="fixed"/>
        <w:tblCellMar>
          <w:top w:w="0" w:type="dxa"/>
          <w:left w:w="0" w:type="dxa"/>
          <w:bottom w:w="0" w:type="dxa"/>
          <w:right w:w="0" w:type="dxa"/>
        </w:tblCellMar>
      </w:tblPr>
      <w:tblGrid>
        <w:gridCol w:w="124"/>
        <w:gridCol w:w="109"/>
        <w:gridCol w:w="73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0"/>
              <w:ind w:left="0" w:right="240" w:hanging="0"/>
              <w:jc w:val="center"/>
              <w:rPr/>
            </w:pPr>
            <w:r>
              <w:rPr/>
              <w:drawing>
                <wp:inline distT="0" distB="0" distL="0" distR="0">
                  <wp:extent cx="219075" cy="114300"/>
                  <wp:effectExtent l="0" t="0" r="0" b="0"/>
                  <wp:docPr id="574"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222" descr=""/>
                          <pic:cNvPicPr>
                            <a:picLocks noChangeAspect="1" noChangeArrowheads="1"/>
                          </pic:cNvPicPr>
                        </pic:nvPicPr>
                        <pic:blipFill>
                          <a:blip r:embed="rId305"/>
                          <a:stretch>
                            <a:fillRect/>
                          </a:stretch>
                        </pic:blipFill>
                        <pic:spPr bwMode="auto">
                          <a:xfrm>
                            <a:off x="0" y="0"/>
                            <a:ext cx="219075"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88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809" w:type="dxa"/>
            <w:tcBorders/>
            <w:shd w:fill="83AD40" w:val="clear"/>
            <w:vAlign w:val="center"/>
          </w:tcPr>
          <w:p>
            <w:pPr>
              <w:pStyle w:val="TableContents"/>
              <w:bidi w:val="0"/>
              <w:spacing w:lineRule="atLeast" w:line="260" w:before="0" w:after="0"/>
              <w:ind w:left="0" w:right="160" w:hanging="0"/>
              <w:jc w:val="left"/>
              <w:rPr>
                <w:b/>
                <w:sz w:val="22"/>
              </w:rPr>
            </w:pPr>
            <w:r>
              <w:rPr>
                <w:b/>
                <w:sz w:val="22"/>
              </w:rPr>
              <w:t>Management</w:t>
            </w:r>
            <w:r>
              <w:rPr>
                <w:b/>
                <w:color w:val="000000"/>
                <w:sz w:val="22"/>
              </w:rPr>
              <w:t>​</w:t>
            </w:r>
          </w:p>
          <w:p>
            <w:pPr>
              <w:pStyle w:val="TableContents"/>
              <w:bidi w:val="0"/>
              <w:spacing w:lineRule="atLeast" w:line="220" w:before="120" w:after="283"/>
              <w:ind w:left="0" w:right="160" w:hanging="0"/>
              <w:jc w:val="left"/>
              <w:rPr/>
            </w:pPr>
            <w:r>
              <w:rPr>
                <w:spacing w:val="-2"/>
              </w:rPr>
              <w:t>The Company’s management is responsible for day-to-day risk management, including the primary monitoring and testing function for company-wide policies and procedures, and day-to-day oversight of the risk management strategy for the ongoing business of the Company. This oversight includes identifying, evaluating, and addressing potential risks that may exist at the enterprise, strategic, financial, operational, and compliance and reporting levels.</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09" w:type="dxa"/>
            <w:tcBorders>
              <w:bottom w:val="single" w:sz="24" w:space="0" w:color="1F2668"/>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committees report to the full Board as appropriate, including when a matter rises to the level of a material or enterprise level risk.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We believe the division of risk management responsibilities described above is an effective approach for addressing the risks facing the Company and that the Board leadership structure supports this approach.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31</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60" w:before="0" w:after="0"/>
              <w:jc w:val="left"/>
              <w:rPr>
                <w:b/>
                <w:color w:val="83AD40"/>
                <w:sz w:val="22"/>
              </w:rPr>
            </w:pPr>
            <w:r>
              <w:rPr>
                <w:b/>
                <w:color w:val="83AD40"/>
                <w:sz w:val="22"/>
              </w:rPr>
              <w:t>OVERSIGHT OF CYBERSECURITY</w:t>
            </w:r>
            <w:r>
              <w:rPr>
                <w:b/>
                <w:color w:val="000000"/>
                <w:sz w:val="22"/>
              </w:rPr>
              <w:t>​</w:t>
            </w:r>
          </w:p>
          <w:p>
            <w:pPr>
              <w:pStyle w:val="TableContents"/>
              <w:bidi w:val="0"/>
              <w:spacing w:lineRule="atLeast" w:line="220" w:before="120" w:after="283"/>
              <w:jc w:val="left"/>
              <w:rPr>
                <w:color w:val="1F2668"/>
              </w:rPr>
            </w:pPr>
            <w:r>
              <w:rPr>
                <w:color w:val="1F2668"/>
                <w:spacing w:val="-2"/>
              </w:rPr>
              <w:t>Included in our Board’s oversight and approach to risk management is a focus on cybersecurity. Our cybersecurity program, which is applied across all levels of the Company, is designed to protect our information assets and operations from external and internal cyber threats by seeking to mitigate and manage risks while helping to ensure business resiliency.</w:t>
            </w:r>
            <w:r>
              <w:rPr>
                <w:color w:val="1F2668"/>
              </w:rPr>
              <w:t xml:space="preserve"> </w:t>
            </w:r>
          </w:p>
          <w:p>
            <w:pPr>
              <w:pStyle w:val="TableContents"/>
              <w:bidi w:val="0"/>
              <w:spacing w:lineRule="atLeast" w:line="220" w:before="240" w:after="283"/>
              <w:jc w:val="left"/>
              <w:rPr>
                <w:b/>
                <w:color w:val="1F2668"/>
              </w:rPr>
            </w:pPr>
            <w:r>
              <w:rPr>
                <w:b/>
                <w:color w:val="1F2668"/>
              </w:rPr>
              <w:t>Cybersecurity Oversight</w:t>
            </w:r>
          </w:p>
          <w:p>
            <w:pPr>
              <w:pStyle w:val="TableContents"/>
              <w:bidi w:val="0"/>
              <w:spacing w:lineRule="atLeast" w:line="220" w:before="60" w:after="283"/>
              <w:jc w:val="left"/>
              <w:rPr>
                <w:spacing w:val="-2"/>
              </w:rPr>
            </w:pPr>
            <w:r>
              <w:rPr>
                <w:spacing w:val="-2"/>
              </w:rPr>
              <w:t xml:space="preserve">The Board oversees our risk management process directly and through its committees. Pursuant to the Audit Committee charter, the Audit Committee provides compliance oversight to our risk assessment and risk management policies and the steps management has taken to monitor and mitigate such exposures and risks. </w:t>
            </w:r>
          </w:p>
          <w:p>
            <w:pPr>
              <w:pStyle w:val="TableContents"/>
              <w:bidi w:val="0"/>
              <w:spacing w:lineRule="atLeast" w:line="220" w:before="120" w:after="283"/>
              <w:jc w:val="left"/>
              <w:rPr>
                <w:spacing w:val="-2"/>
              </w:rPr>
            </w:pPr>
            <w:r>
              <w:rPr>
                <w:spacing w:val="-2"/>
              </w:rPr>
              <w:t xml:space="preserve">Our Senior Director, Information Security &amp; Network Systems, in coordination with the Senior Vice President, Information Technology, is responsible for leading the assessment and management of cybersecurity risks, and regularly reviewing and assessing cybersecurity initiatives. They are informed about and monitor the prevention, detection, mitigation, and remediation of cybersecurity incidents. </w:t>
            </w:r>
          </w:p>
          <w:p>
            <w:pPr>
              <w:pStyle w:val="TableContents"/>
              <w:bidi w:val="0"/>
              <w:spacing w:lineRule="atLeast" w:line="220" w:before="120" w:after="283"/>
              <w:jc w:val="left"/>
              <w:rPr>
                <w:spacing w:val="-2"/>
              </w:rPr>
            </w:pPr>
            <w:r>
              <w:rPr>
                <w:spacing w:val="-2"/>
              </w:rPr>
              <w:t xml:space="preserve">The Senior Vice President, Information Technology reports to the Board, the Audit Committee and management on cybersecurity risk assessment, policies, incident prevention, detection, mitigation, and remediation of cybersecurity incidents on an as needed basis. </w:t>
            </w:r>
          </w:p>
          <w:p>
            <w:pPr>
              <w:pStyle w:val="TableContents"/>
              <w:bidi w:val="0"/>
              <w:spacing w:lineRule="atLeast" w:line="220" w:before="240" w:after="283"/>
              <w:jc w:val="left"/>
              <w:rPr>
                <w:b/>
                <w:color w:val="1F2668"/>
              </w:rPr>
            </w:pPr>
            <w:r>
              <w:rPr>
                <w:b/>
                <w:color w:val="1F2668"/>
              </w:rPr>
              <w:t>Risk and Vulnerability Management</w:t>
            </w:r>
          </w:p>
          <w:p>
            <w:pPr>
              <w:pStyle w:val="TableContents"/>
              <w:bidi w:val="0"/>
              <w:spacing w:lineRule="atLeast" w:line="220" w:before="60" w:after="283"/>
              <w:jc w:val="left"/>
              <w:rPr>
                <w:spacing w:val="-2"/>
              </w:rPr>
            </w:pPr>
            <w:r>
              <w:rPr>
                <w:spacing w:val="-2"/>
              </w:rPr>
              <w:t xml:space="preserve">We take a risk-based approach to cybersecurity and have implemented policies that are designed to address cybersecurity threats and incidents, including those related to third-party service providers. We assess risks from cybersecurity threats, monitor our information systems for potential vulnerabilities and test those systems pursuant to our cybersecurity standards, processes and practices, as part of our overall risk management system. </w:t>
            </w:r>
          </w:p>
          <w:p>
            <w:pPr>
              <w:pStyle w:val="TableContents"/>
              <w:bidi w:val="0"/>
              <w:spacing w:lineRule="atLeast" w:line="220" w:before="240" w:after="283"/>
              <w:jc w:val="left"/>
              <w:rPr>
                <w:b/>
                <w:color w:val="1F2668"/>
              </w:rPr>
            </w:pPr>
            <w:r>
              <w:rPr>
                <w:b/>
                <w:color w:val="1F2668"/>
              </w:rPr>
              <w:t>External Assurance</w:t>
            </w:r>
          </w:p>
          <w:p>
            <w:pPr>
              <w:pStyle w:val="TableContents"/>
              <w:bidi w:val="0"/>
              <w:spacing w:lineRule="atLeast" w:line="220" w:before="60" w:after="283"/>
              <w:jc w:val="left"/>
              <w:rPr>
                <w:spacing w:val="-2"/>
              </w:rPr>
            </w:pPr>
            <w:r>
              <w:rPr>
                <w:spacing w:val="-2"/>
              </w:rPr>
              <w:t xml:space="preserve">We leverage external resources and advisors as needed to reinforce our cybersecurity capacity. External consultants perform testing exercises to further assess our cybersecurity program on an annual basis, or more frequently if circumstances warrant such testing. </w:t>
            </w:r>
          </w:p>
          <w:p>
            <w:pPr>
              <w:pStyle w:val="TableContents"/>
              <w:bidi w:val="0"/>
              <w:spacing w:lineRule="atLeast" w:line="220" w:before="240" w:after="283"/>
              <w:jc w:val="left"/>
              <w:rPr>
                <w:b/>
                <w:color w:val="1F2668"/>
              </w:rPr>
            </w:pPr>
            <w:r>
              <w:rPr>
                <w:b/>
                <w:color w:val="1F2668"/>
              </w:rPr>
              <w:t>Risk Mitigation and Strategy</w:t>
            </w:r>
          </w:p>
          <w:p>
            <w:pPr>
              <w:pStyle w:val="TableContents"/>
              <w:bidi w:val="0"/>
              <w:spacing w:lineRule="atLeast" w:line="220" w:before="60" w:after="283"/>
              <w:jc w:val="left"/>
              <w:rPr>
                <w:spacing w:val="-2"/>
              </w:rPr>
            </w:pPr>
            <w:r>
              <w:rPr>
                <w:spacing w:val="-2"/>
              </w:rPr>
              <w:t xml:space="preserve">With growing risks associated with cybersecurity, we mitigate our exposure by offsetting the potential costs involved with recovery after a cyber-related security breach or similar event by purchasing cyber liability insurance coverage. </w:t>
            </w:r>
          </w:p>
          <w:p>
            <w:pPr>
              <w:pStyle w:val="TableContents"/>
              <w:bidi w:val="0"/>
              <w:spacing w:lineRule="atLeast" w:line="220" w:before="120" w:after="283"/>
              <w:jc w:val="left"/>
              <w:rPr>
                <w:spacing w:val="-2"/>
              </w:rPr>
            </w:pPr>
            <w:r>
              <w:rPr>
                <w:spacing w:val="-2"/>
              </w:rPr>
              <w:t xml:space="preserve">Our cybersecurity strategy is guided by prioritized risk, the National Institute for Standards and Technology (NIST) Cybersecurity Framework, and emerging business needs. We maintain a cybersecurity incident response plan, as well as a monitoring program, to support senior leadership and the Board. </w:t>
            </w:r>
          </w:p>
          <w:p>
            <w:pPr>
              <w:pStyle w:val="TableContents"/>
              <w:bidi w:val="0"/>
              <w:spacing w:lineRule="atLeast" w:line="220" w:before="240" w:after="283"/>
              <w:jc w:val="left"/>
              <w:rPr>
                <w:b/>
                <w:color w:val="1F2668"/>
              </w:rPr>
            </w:pPr>
            <w:r>
              <w:rPr>
                <w:b/>
                <w:color w:val="1F2668"/>
              </w:rPr>
              <w:t>Security Assessments</w:t>
            </w:r>
          </w:p>
          <w:p>
            <w:pPr>
              <w:pStyle w:val="TableContents"/>
              <w:bidi w:val="0"/>
              <w:spacing w:lineRule="atLeast" w:line="220" w:before="60" w:after="283"/>
              <w:jc w:val="left"/>
              <w:rPr>
                <w:spacing w:val="-2"/>
              </w:rPr>
            </w:pPr>
            <w:r>
              <w:rPr>
                <w:spacing w:val="-2"/>
              </w:rPr>
              <w:t xml:space="preserve">We periodically employ internal software tools as well as external agencies to test the efficacy of our security protocols. Any weaknesses found are addressed through corrective action plans and systematic changes. </w:t>
            </w:r>
          </w:p>
          <w:p>
            <w:pPr>
              <w:pStyle w:val="TableContents"/>
              <w:bidi w:val="0"/>
              <w:spacing w:lineRule="atLeast" w:line="220" w:before="240" w:after="283"/>
              <w:jc w:val="left"/>
              <w:rPr>
                <w:b/>
                <w:color w:val="1F2668"/>
              </w:rPr>
            </w:pPr>
            <w:r>
              <w:rPr>
                <w:b/>
                <w:color w:val="1F2668"/>
              </w:rPr>
              <w:t>Cybersecurity Awareness</w:t>
            </w:r>
          </w:p>
          <w:p>
            <w:pPr>
              <w:pStyle w:val="TableContents"/>
              <w:bidi w:val="0"/>
              <w:spacing w:lineRule="atLeast" w:line="220" w:before="60" w:after="283"/>
              <w:jc w:val="left"/>
              <w:rPr/>
            </w:pPr>
            <w:r>
              <w:rPr>
                <w:spacing w:val="-2"/>
              </w:rPr>
              <w:t>To ensure our employees are equipped with strategies to combat cybersecurity threats, our employees are provided cybersecurity awareness training, which includes topics on our policies and procedures for reporting potential incidents. All employees also receive security awareness tips to help identify phishing, deceptive emails, and corrupt links.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Stockholder Outreach</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believes that engaging in stockholder outreach is an essential element of strong corporate governance. We strive for a collaborative approach to issues of importance to investors and continually seek to better understand the views of our investors on key topics.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2777"/>
        <w:gridCol w:w="109"/>
        <w:gridCol w:w="109"/>
        <w:gridCol w:w="109"/>
        <w:gridCol w:w="2932"/>
        <w:gridCol w:w="109"/>
        <w:gridCol w:w="109"/>
        <w:gridCol w:w="109"/>
        <w:gridCol w:w="2663"/>
        <w:gridCol w:w="155"/>
      </w:tblGrid>
      <w:tr>
        <w:trPr/>
        <w:tc>
          <w:tcPr>
            <w:tcW w:w="124" w:type="dxa"/>
            <w:tcBorders/>
            <w:vAlign w:val="center"/>
          </w:tcPr>
          <w:p>
            <w:pPr>
              <w:pStyle w:val="TableContents"/>
              <w:bidi w:val="0"/>
              <w:spacing w:before="0" w:after="283"/>
              <w:jc w:val="left"/>
              <w:rPr/>
            </w:pPr>
            <w:r>
              <w:rPr/>
              <w:t>​</w:t>
            </w:r>
          </w:p>
        </w:tc>
        <w:tc>
          <w:tcPr>
            <w:tcW w:w="2777" w:type="dxa"/>
            <w:tcBorders/>
            <w:vAlign w:val="center"/>
          </w:tcPr>
          <w:p>
            <w:pPr>
              <w:pStyle w:val="TableContents"/>
              <w:bidi w:val="0"/>
              <w:spacing w:before="0" w:after="283"/>
              <w:jc w:val="left"/>
              <w:rPr/>
            </w:pPr>
            <w:r>
              <w:rPr/>
              <w:t>Who We Engage</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32" w:type="dxa"/>
            <w:tcBorders/>
            <w:vAlign w:val="center"/>
          </w:tcPr>
          <w:p>
            <w:pPr>
              <w:pStyle w:val="TableContents"/>
              <w:bidi w:val="0"/>
              <w:spacing w:before="0" w:after="0"/>
              <w:jc w:val="left"/>
              <w:rPr/>
            </w:pPr>
            <w:r>
              <w:rPr/>
              <w:t>Offered Engagement with Approximately</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before="0" w:after="283"/>
              <w:jc w:val="left"/>
              <w:rPr/>
            </w:pPr>
            <w:r>
              <w:rPr/>
              <w:t>How We Engage</w:t>
            </w:r>
            <w:r>
              <w:rPr>
                <w:color w:val="000000"/>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7" w:type="dxa"/>
            <w:tcBorders/>
            <w:vAlign w:val="center"/>
          </w:tcPr>
          <w:p>
            <w:pPr>
              <w:pStyle w:val="TableContents"/>
              <w:bidi w:val="0"/>
              <w:spacing w:lineRule="atLeast" w:line="220" w:before="0" w:after="283"/>
              <w:jc w:val="left"/>
              <w:rPr>
                <w:spacing w:val="-2"/>
              </w:rPr>
            </w:pPr>
            <w:r>
              <w:rPr>
                <w:spacing w:val="-2"/>
              </w:rPr>
              <w:t xml:space="preserve">Over the past several years, the chairs of the Compensation and Nominating and Governance Committees and members of our senior management team have engaged with many of our largest institutional investors.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32" w:type="dxa"/>
            <w:tcBorders/>
            <w:vAlign w:val="center"/>
          </w:tcPr>
          <w:p>
            <w:pPr>
              <w:pStyle w:val="TableContents"/>
              <w:bidi w:val="0"/>
              <w:spacing w:before="0" w:after="0"/>
              <w:jc w:val="center"/>
              <w:rPr/>
            </w:pPr>
            <w:r>
              <w:rPr/>
              <w:drawing>
                <wp:inline distT="0" distB="0" distL="0" distR="0">
                  <wp:extent cx="1752600" cy="1752600"/>
                  <wp:effectExtent l="0" t="0" r="0" b="0"/>
                  <wp:docPr id="57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223" descr=""/>
                          <pic:cNvPicPr>
                            <a:picLocks noChangeAspect="1" noChangeArrowheads="1"/>
                          </pic:cNvPicPr>
                        </pic:nvPicPr>
                        <pic:blipFill>
                          <a:blip r:embed="rId306"/>
                          <a:stretch>
                            <a:fillRect/>
                          </a:stretch>
                        </pic:blipFill>
                        <pic:spPr bwMode="auto">
                          <a:xfrm>
                            <a:off x="0" y="0"/>
                            <a:ext cx="1752600" cy="17526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3" w:type="dxa"/>
            <w:tcBorders/>
            <w:vAlign w:val="center"/>
          </w:tcPr>
          <w:p>
            <w:pPr>
              <w:pStyle w:val="TableContents"/>
              <w:bidi w:val="0"/>
              <w:spacing w:lineRule="atLeast" w:line="220" w:before="0" w:after="283"/>
              <w:jc w:val="left"/>
              <w:rPr/>
            </w:pPr>
            <w:r>
              <w:rPr>
                <w:spacing w:val="-2"/>
              </w:rPr>
              <w:t>We held in-person and virtual meetings, conducted calls and otherwise engaged with investors on topics including our business strategy and executive compensation as well as governance and ESG matters.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20" w:before="220" w:after="283"/>
        <w:ind w:left="900" w:right="0" w:hanging="0"/>
        <w:jc w:val="left"/>
        <w:rPr>
          <w:rFonts w:ascii="Arial;Helvetica;sans-serif" w:hAnsi="Arial;Helvetica;sans-serif"/>
          <w:b w:val="false"/>
          <w:i w:val="false"/>
          <w:caps w:val="false"/>
          <w:smallCaps w:val="false"/>
          <w:color w:val="1F2668"/>
          <w:sz w:val="18"/>
        </w:rPr>
      </w:pPr>
      <w:r>
        <w:rPr>
          <w:rFonts w:ascii="Arial;Helvetica;sans-serif" w:hAnsi="Arial;Helvetica;sans-serif"/>
          <w:b w:val="false"/>
          <w:i w:val="false"/>
          <w:caps w:val="false"/>
          <w:smallCaps w:val="false"/>
          <w:color w:val="1F2668"/>
          <w:spacing w:val="-2"/>
          <w:sz w:val="18"/>
        </w:rPr>
        <w:t>Following the 2023 annual meeting, the Company:</w:t>
      </w:r>
      <w:r>
        <w:rPr>
          <w:rFonts w:ascii="Arial;Helvetica;sans-serif" w:hAnsi="Arial;Helvetica;sans-serif"/>
          <w:b w:val="false"/>
          <w:i w:val="false"/>
          <w:caps w:val="false"/>
          <w:smallCaps w:val="false"/>
          <w:color w:val="000000"/>
          <w:spacing w:val="4"/>
          <w:sz w:val="18"/>
        </w:rPr>
        <w:t xml:space="preserve"> </w:t>
      </w:r>
    </w:p>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109"/>
        <w:gridCol w:w="2633"/>
        <w:gridCol w:w="109"/>
        <w:gridCol w:w="109"/>
        <w:gridCol w:w="109"/>
        <w:gridCol w:w="2633"/>
        <w:gridCol w:w="109"/>
        <w:gridCol w:w="109"/>
        <w:gridCol w:w="109"/>
        <w:gridCol w:w="2888"/>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3" w:type="dxa"/>
            <w:tcBorders/>
            <w:shd w:fill="D8D8D8" w:val="clear"/>
            <w:vAlign w:val="center"/>
          </w:tcPr>
          <w:p>
            <w:pPr>
              <w:pStyle w:val="TableContents"/>
              <w:bidi w:val="0"/>
              <w:spacing w:lineRule="atLeast" w:line="260" w:before="0" w:after="0"/>
              <w:ind w:left="400" w:right="400" w:hanging="0"/>
              <w:jc w:val="left"/>
              <w:rPr/>
            </w:pPr>
            <w:r>
              <w:rPr/>
              <w:t>Offered</w:t>
              <w:br/>
              <w:t>Engagement with</w:t>
              <w:br/>
              <w:t>approximately</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1F2668"/>
            </w:tcBorders>
            <w:shd w:fill="1F2668" w:val="clear"/>
            <w:tcMar>
              <w:bottom w:w="28" w:type="dxa"/>
            </w:tcM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633" w:type="dxa"/>
            <w:tcBorders/>
            <w:shd w:fill="D8D8D8" w:val="clear"/>
            <w:vAlign w:val="center"/>
          </w:tcPr>
          <w:p>
            <w:pPr>
              <w:pStyle w:val="TableContents"/>
              <w:bidi w:val="0"/>
              <w:spacing w:lineRule="atLeast" w:line="260" w:before="0" w:after="0"/>
              <w:ind w:left="400" w:right="400" w:hanging="0"/>
              <w:jc w:val="left"/>
              <w:rPr/>
            </w:pPr>
            <w:r>
              <w:rPr/>
              <w:t>Had Direct one-on-</w:t>
              <w:br/>
              <w:t>one discussions</w:t>
              <w:br/>
              <w:t>with approximately</w:t>
            </w:r>
            <w:r>
              <w:rPr>
                <w:color w:val="000000"/>
              </w:rPr>
              <w:t>​</w:t>
            </w:r>
          </w:p>
        </w:tc>
        <w:tc>
          <w:tcPr>
            <w:tcW w:w="109" w:type="dxa"/>
            <w:tcBorders/>
            <w:shd w:fill="D8D8D8" w:val="clear"/>
            <w:vAlign w:val="center"/>
          </w:tcPr>
          <w:p>
            <w:pPr>
              <w:pStyle w:val="TableContents"/>
              <w:bidi w:val="0"/>
              <w:spacing w:before="0" w:after="283"/>
              <w:jc w:val="left"/>
              <w:rPr/>
            </w:pPr>
            <w:r>
              <w:rPr/>
              <w:t>​</w:t>
            </w:r>
          </w:p>
        </w:tc>
        <w:tc>
          <w:tcPr>
            <w:tcW w:w="109" w:type="dxa"/>
            <w:tcBorders>
              <w:bottom w:val="single" w:sz="2" w:space="0" w:color="1F2668"/>
            </w:tcBorders>
            <w:shd w:fill="1F2668"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shd w:fill="D8D8D8" w:val="clear"/>
            <w:vAlign w:val="center"/>
          </w:tcPr>
          <w:p>
            <w:pPr>
              <w:pStyle w:val="TableContents"/>
              <w:bidi w:val="0"/>
              <w:spacing w:lineRule="atLeast" w:line="260" w:before="0" w:after="0"/>
              <w:ind w:left="400" w:right="400" w:hanging="0"/>
              <w:jc w:val="left"/>
              <w:rPr/>
            </w:pPr>
            <w:r>
              <w:rPr/>
              <w:t>Directors participated in</w:t>
              <w:br/>
              <w:t>calls with stockholders</w:t>
              <w:br/>
              <w:t>representing approximately</w:t>
            </w:r>
            <w:r>
              <w:rPr>
                <w:color w:val="000000"/>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33" w:type="dxa"/>
            <w:tcBorders/>
            <w:shd w:fill="D8D8D8" w:val="clear"/>
            <w:vAlign w:val="center"/>
          </w:tcPr>
          <w:p>
            <w:pPr>
              <w:pStyle w:val="TableContents"/>
              <w:bidi w:val="0"/>
              <w:spacing w:lineRule="atLeast" w:line="400" w:before="0" w:after="0"/>
              <w:ind w:left="400" w:right="400" w:hanging="0"/>
              <w:jc w:val="left"/>
              <w:rPr>
                <w:sz w:val="36"/>
              </w:rPr>
            </w:pPr>
            <w:r>
              <w:rPr>
                <w:sz w:val="36"/>
              </w:rPr>
              <w:t>75%</w:t>
            </w:r>
            <w:r>
              <w:rPr>
                <w:color w:val="000000"/>
                <w:sz w:val="36"/>
              </w:rPr>
              <w:t>​</w:t>
            </w:r>
          </w:p>
          <w:p>
            <w:pPr>
              <w:pStyle w:val="TableContents"/>
              <w:bidi w:val="0"/>
              <w:spacing w:lineRule="atLeast" w:line="220" w:before="40" w:after="283"/>
              <w:ind w:left="400" w:right="400" w:hanging="0"/>
              <w:jc w:val="left"/>
              <w:rPr>
                <w:b/>
              </w:rPr>
            </w:pPr>
            <w:r>
              <w:rPr>
                <w:b/>
              </w:rPr>
              <w:t>of Outstanding Shares</w:t>
            </w:r>
          </w:p>
        </w:tc>
        <w:tc>
          <w:tcPr>
            <w:tcW w:w="109" w:type="dxa"/>
            <w:tcBorders/>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109" w:type="dxa"/>
            <w:tcBorders/>
            <w:shd w:fill="D8D8D8" w:val="clear"/>
            <w:vAlign w:val="center"/>
          </w:tcPr>
          <w:p>
            <w:pPr>
              <w:pStyle w:val="TableContents"/>
              <w:bidi w:val="0"/>
              <w:spacing w:before="0" w:after="283"/>
              <w:jc w:val="left"/>
              <w:rPr/>
            </w:pPr>
            <w:r>
              <w:rPr/>
              <w:t>​</w:t>
            </w:r>
          </w:p>
        </w:tc>
        <w:tc>
          <w:tcPr>
            <w:tcW w:w="2633" w:type="dxa"/>
            <w:tcBorders/>
            <w:shd w:fill="D8D8D8" w:val="clear"/>
            <w:vAlign w:val="center"/>
          </w:tcPr>
          <w:p>
            <w:pPr>
              <w:pStyle w:val="TableContents"/>
              <w:bidi w:val="0"/>
              <w:spacing w:lineRule="atLeast" w:line="400" w:before="0" w:after="0"/>
              <w:ind w:left="400" w:right="400" w:hanging="0"/>
              <w:jc w:val="left"/>
              <w:rPr>
                <w:sz w:val="36"/>
              </w:rPr>
            </w:pPr>
            <w:r>
              <w:rPr>
                <w:sz w:val="36"/>
              </w:rPr>
              <w:t>69%</w:t>
            </w:r>
          </w:p>
          <w:p>
            <w:pPr>
              <w:pStyle w:val="TableContents"/>
              <w:bidi w:val="0"/>
              <w:spacing w:lineRule="atLeast" w:line="220" w:before="40" w:after="283"/>
              <w:ind w:left="400" w:right="400" w:hanging="0"/>
              <w:jc w:val="left"/>
              <w:rPr>
                <w:b/>
              </w:rPr>
            </w:pPr>
            <w:r>
              <w:rPr>
                <w:b/>
              </w:rPr>
              <w:t>of Outstanding Shares</w:t>
            </w:r>
          </w:p>
        </w:tc>
        <w:tc>
          <w:tcPr>
            <w:tcW w:w="109" w:type="dxa"/>
            <w:tcBorders/>
            <w:shd w:fill="D8D8D8" w:val="clear"/>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shd w:fill="D8D8D8" w:val="clear"/>
            <w:vAlign w:val="center"/>
          </w:tcPr>
          <w:p>
            <w:pPr>
              <w:pStyle w:val="TableContents"/>
              <w:bidi w:val="0"/>
              <w:spacing w:lineRule="atLeast" w:line="400" w:before="0" w:after="0"/>
              <w:ind w:left="400" w:right="400" w:hanging="0"/>
              <w:jc w:val="left"/>
              <w:rPr>
                <w:sz w:val="36"/>
              </w:rPr>
            </w:pPr>
            <w:r>
              <w:rPr>
                <w:sz w:val="36"/>
              </w:rPr>
              <w:t>38%</w:t>
            </w:r>
          </w:p>
          <w:p>
            <w:pPr>
              <w:pStyle w:val="TableContents"/>
              <w:bidi w:val="0"/>
              <w:spacing w:lineRule="atLeast" w:line="220" w:before="40" w:after="283"/>
              <w:ind w:left="400" w:right="400" w:hanging="0"/>
              <w:jc w:val="left"/>
              <w:rPr>
                <w:b/>
              </w:rPr>
            </w:pPr>
            <w:r>
              <w:rPr>
                <w:b/>
              </w:rPr>
              <w:t>of Outstanding Shares</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605" w:type="dxa"/>
        <w:jc w:val="left"/>
        <w:tblInd w:w="90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45" w:before="0" w:after="0"/>
              <w:jc w:val="left"/>
              <w:rPr>
                <w:b/>
                <w:color w:val="83AD40"/>
                <w:sz w:val="22"/>
              </w:rPr>
            </w:pPr>
            <w:r>
              <w:rPr>
                <w:b/>
                <w:color w:val="83AD40"/>
                <w:sz w:val="22"/>
              </w:rPr>
              <w:t>Our Track Record of Responsiveness</w:t>
            </w:r>
            <w:r>
              <w:rPr>
                <w:b/>
                <w:color w:val="000000"/>
                <w:sz w:val="22"/>
              </w:rPr>
              <w:t>​</w:t>
            </w:r>
          </w:p>
          <w:p>
            <w:pPr>
              <w:pStyle w:val="TableContents"/>
              <w:bidi w:val="0"/>
              <w:spacing w:lineRule="atLeast" w:line="205" w:before="60" w:after="283"/>
              <w:jc w:val="left"/>
              <w:rPr/>
            </w:pPr>
            <w:r>
              <w:rPr>
                <w:spacing w:val="-2"/>
              </w:rPr>
              <w:t>Our Board has always valued stockholder feedback and has embarked on a robust stockholder outreach program for many years. That feedback has served as a key input to Board composition, corporate governance, and executive compensation, as well as environmental and social discussions and decisions at the Board and committee levels. The Board is proud of our track record of responsiveness to stockholder feedback as outlined below, and as further discussed under Executive Compensation, below.</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2176"/>
        <w:gridCol w:w="109"/>
        <w:gridCol w:w="109"/>
        <w:gridCol w:w="2659"/>
        <w:gridCol w:w="109"/>
        <w:gridCol w:w="109"/>
        <w:gridCol w:w="3755"/>
        <w:gridCol w:w="155"/>
      </w:tblGrid>
      <w:tr>
        <w:trPr/>
        <w:tc>
          <w:tcPr>
            <w:tcW w:w="124" w:type="dxa"/>
            <w:tcBorders>
              <w:bottom w:val="single" w:sz="8" w:space="0" w:color="1F2668"/>
            </w:tcBorders>
            <w:vAlign w:val="center"/>
          </w:tcPr>
          <w:p>
            <w:pPr>
              <w:pStyle w:val="TableContents"/>
              <w:bidi w:val="0"/>
              <w:spacing w:before="0" w:after="283"/>
              <w:jc w:val="left"/>
              <w:rPr/>
            </w:pPr>
            <w:r>
              <w:rPr/>
              <w:t>​</w:t>
            </w:r>
          </w:p>
        </w:tc>
        <w:tc>
          <w:tcPr>
            <w:tcW w:w="2176" w:type="dxa"/>
            <w:tcBorders>
              <w:bottom w:val="single" w:sz="8" w:space="0" w:color="1F2668"/>
            </w:tcBorders>
            <w:tcMar>
              <w:bottom w:w="43"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659"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Board Composition &amp; </w:t>
              <w:br/>
              <w:t xml:space="preserve">Corporate Governance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755" w:type="dxa"/>
            <w:tcBorders>
              <w:bottom w:val="single" w:sz="8" w:space="0" w:color="1F2668"/>
            </w:tcBorders>
            <w:tcMar>
              <w:bottom w:w="43" w:type="dxa"/>
            </w:tcMar>
            <w:vAlign w:val="center"/>
          </w:tcPr>
          <w:p>
            <w:pPr>
              <w:pStyle w:val="TableContents"/>
              <w:bidi w:val="0"/>
              <w:spacing w:before="0" w:after="0"/>
              <w:jc w:val="left"/>
              <w:rPr>
                <w:spacing w:val="2"/>
              </w:rPr>
            </w:pPr>
            <w:r>
              <w:rPr>
                <w:spacing w:val="2"/>
              </w:rPr>
              <w:t xml:space="preserve">Environmental &amp; Social </w:t>
            </w:r>
          </w:p>
        </w:tc>
        <w:tc>
          <w:tcPr>
            <w:tcW w:w="155"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76"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76250" cy="342900"/>
                      <wp:effectExtent l="0" t="0" r="0" b="0"/>
                      <wp:wrapNone/>
                      <wp:docPr id="576" name="Frame277"/>
                      <a:graphic xmlns:a="http://schemas.openxmlformats.org/drawingml/2006/main">
                        <a:graphicData uri="http://schemas.microsoft.com/office/word/2010/wordprocessingShape">
                          <wps:wsp>
                            <wps:cNvSpPr txBox="1"/>
                            <wps:spPr>
                              <a:xfrm>
                                <a:off x="0" y="0"/>
                                <a:ext cx="476250" cy="342900"/>
                              </a:xfrm>
                              <a:prstGeom prst="rect"/>
                              <a:solidFill>
                                <a:srgbClr val="FFFFFF"/>
                              </a:solidFill>
                            </wps:spPr>
                            <wps:txbx>
                              <w:txbxContent>
                                <w:p>
                                  <w:pPr>
                                    <w:pStyle w:val="TextBody"/>
                                    <w:bidi w:val="0"/>
                                    <w:spacing w:before="0" w:after="283"/>
                                    <w:jc w:val="left"/>
                                    <w:rPr>
                                      <w:color w:val="1F2668"/>
                                    </w:rPr>
                                  </w:pPr>
                                  <w:r>
                                    <w:rPr>
                                      <w:color w:val="1F2668"/>
                                      <w:spacing w:val="2"/>
                                    </w:rPr>
                                    <w:t>2018</w:t>
                                  </w:r>
                                  <w:r>
                                    <w:rPr>
                                      <w:color w:val="1F2668"/>
                                    </w:rPr>
                                    <w:t xml:space="preserve"> </w:t>
                                  </w:r>
                                </w:p>
                              </w:txbxContent>
                            </wps:txbx>
                            <wps:bodyPr anchor="t" lIns="0" tIns="0" rIns="0" bIns="0">
                              <a:noAutofit/>
                            </wps:bodyPr>
                          </wps:wsp>
                        </a:graphicData>
                      </a:graphic>
                    </wp:anchor>
                  </w:drawing>
                </mc:Choice>
                <mc:Fallback>
                  <w:pict>
                    <v:rect style="position:absolute;rotation:-0;width:37.5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2018</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9"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spacing w:val="-2"/>
              </w:rPr>
            </w:pPr>
            <w:r>
              <w:rPr>
                <w:spacing w:val="-2"/>
              </w:rPr>
              <w:t xml:space="preserve">Amended bylaws to permit stockholders to amend bylaws by a majority vote </w:t>
            </w:r>
            <w:r>
              <mc:AlternateContent>
                <mc:Choice Requires="wps">
                  <w:drawing>
                    <wp:anchor behindDoc="0" distT="0" distB="0" distL="0" distR="0" simplePos="0" locked="0" layoutInCell="1" allowOverlap="1" relativeHeight="592">
                      <wp:simplePos x="0" y="0"/>
                      <wp:positionH relativeFrom="column">
                        <wp:align>left</wp:align>
                      </wp:positionH>
                      <wp:positionV relativeFrom="line">
                        <wp:posOffset>635</wp:posOffset>
                      </wp:positionV>
                      <wp:extent cx="152400" cy="525780"/>
                      <wp:effectExtent l="0" t="0" r="0" b="0"/>
                      <wp:wrapSquare wrapText="right"/>
                      <wp:docPr id="577" name="Frame27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5"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pPr>
            <w:r>
              <w:rPr>
                <w:spacing w:val="-2"/>
              </w:rPr>
              <w:t>Committed to reduce GHG emissions intensity 30% by 2025</w:t>
            </w:r>
            <w:r>
              <w:rPr/>
              <w:t xml:space="preserve"> </w:t>
            </w:r>
            <w:r>
              <mc:AlternateContent>
                <mc:Choice Requires="wps">
                  <w:drawing>
                    <wp:anchor behindDoc="0" distT="0" distB="0" distL="0" distR="0" simplePos="0" locked="0" layoutInCell="1" allowOverlap="1" relativeHeight="593">
                      <wp:simplePos x="0" y="0"/>
                      <wp:positionH relativeFrom="column">
                        <wp:align>left</wp:align>
                      </wp:positionH>
                      <wp:positionV relativeFrom="line">
                        <wp:posOffset>635</wp:posOffset>
                      </wp:positionV>
                      <wp:extent cx="152400" cy="525780"/>
                      <wp:effectExtent l="0" t="0" r="0" b="0"/>
                      <wp:wrapSquare wrapText="right"/>
                      <wp:docPr id="578" name="Frame27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5" w:after="0"/>
              <w:ind w:left="240" w:right="0" w:hanging="0"/>
              <w:jc w:val="left"/>
              <w:rPr>
                <w:spacing w:val="-2"/>
              </w:rPr>
            </w:pPr>
            <w:r>
              <w:rPr>
                <w:spacing w:val="-2"/>
              </w:rPr>
              <w:t xml:space="preserve">Achieved CDP score of “B” as first time responder </w:t>
            </w:r>
            <w:r>
              <mc:AlternateContent>
                <mc:Choice Requires="wps">
                  <w:drawing>
                    <wp:anchor behindDoc="0" distT="47625" distB="0" distL="0" distR="0" simplePos="0" locked="0" layoutInCell="1" allowOverlap="1" relativeHeight="594">
                      <wp:simplePos x="0" y="0"/>
                      <wp:positionH relativeFrom="column">
                        <wp:align>left</wp:align>
                      </wp:positionH>
                      <wp:positionV relativeFrom="line">
                        <wp:align>top</wp:align>
                      </wp:positionV>
                      <wp:extent cx="152400" cy="525780"/>
                      <wp:effectExtent l="0" t="0" r="0" b="0"/>
                      <wp:wrapSquare wrapText="right"/>
                      <wp:docPr id="579" name="Frame28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76"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022350" cy="342900"/>
                      <wp:effectExtent l="0" t="0" r="0" b="0"/>
                      <wp:wrapNone/>
                      <wp:docPr id="580" name="Frame281"/>
                      <a:graphic xmlns:a="http://schemas.openxmlformats.org/drawingml/2006/main">
                        <a:graphicData uri="http://schemas.microsoft.com/office/word/2010/wordprocessingShape">
                          <wps:wsp>
                            <wps:cNvSpPr txBox="1"/>
                            <wps:spPr>
                              <a:xfrm>
                                <a:off x="0" y="0"/>
                                <a:ext cx="1022350" cy="342900"/>
                              </a:xfrm>
                              <a:prstGeom prst="rect"/>
                              <a:solidFill>
                                <a:srgbClr val="FFFFFF"/>
                              </a:solidFill>
                            </wps:spPr>
                            <wps:txbx>
                              <w:txbxContent>
                                <w:p>
                                  <w:pPr>
                                    <w:pStyle w:val="TextBody"/>
                                    <w:bidi w:val="0"/>
                                    <w:spacing w:before="0" w:after="283"/>
                                    <w:jc w:val="left"/>
                                    <w:rPr>
                                      <w:color w:val="1F2668"/>
                                    </w:rPr>
                                  </w:pPr>
                                  <w:r>
                                    <w:rPr>
                                      <w:color w:val="1F2668"/>
                                      <w:spacing w:val="2"/>
                                    </w:rPr>
                                    <w:t>2019</w:t>
                                  </w:r>
                                  <w:r>
                                    <w:rPr>
                                      <w:color w:val="1F2668"/>
                                    </w:rPr>
                                    <w:t xml:space="preserve"> </w:t>
                                  </w:r>
                                </w:p>
                              </w:txbxContent>
                            </wps:txbx>
                            <wps:bodyPr anchor="t" lIns="0" tIns="0" rIns="0" bIns="0">
                              <a:noAutofit/>
                            </wps:bodyPr>
                          </wps:wsp>
                        </a:graphicData>
                      </a:graphic>
                    </wp:anchor>
                  </w:drawing>
                </mc:Choice>
                <mc:Fallback>
                  <w:pict>
                    <v:rect style="position:absolute;rotation:-0;width:80.5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2019</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9"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spacing w:val="-2"/>
              </w:rPr>
            </w:pPr>
            <w:r>
              <w:rPr>
                <w:spacing w:val="-2"/>
              </w:rPr>
              <w:t xml:space="preserve">Transition of Stephen L. Green from Chairman to “Chairman Emeritus” </w:t>
            </w:r>
            <w:r>
              <mc:AlternateContent>
                <mc:Choice Requires="wps">
                  <w:drawing>
                    <wp:anchor behindDoc="0" distT="0" distB="0" distL="0" distR="0" simplePos="0" locked="0" layoutInCell="1" allowOverlap="1" relativeHeight="596">
                      <wp:simplePos x="0" y="0"/>
                      <wp:positionH relativeFrom="column">
                        <wp:align>left</wp:align>
                      </wp:positionH>
                      <wp:positionV relativeFrom="line">
                        <wp:posOffset>635</wp:posOffset>
                      </wp:positionV>
                      <wp:extent cx="152400" cy="525780"/>
                      <wp:effectExtent l="0" t="0" r="0" b="0"/>
                      <wp:wrapSquare wrapText="right"/>
                      <wp:docPr id="581" name="Frame28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5"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pPr>
            <w:r>
              <w:rPr>
                <w:spacing w:val="-2"/>
              </w:rPr>
              <w:t>Committed to &gt;$2M in annual donations to NYC charities</w:t>
            </w:r>
            <w:r>
              <w:rPr/>
              <w:t xml:space="preserve"> </w:t>
            </w:r>
            <w:r>
              <mc:AlternateContent>
                <mc:Choice Requires="wps">
                  <w:drawing>
                    <wp:anchor behindDoc="0" distT="0" distB="0" distL="0" distR="0" simplePos="0" locked="0" layoutInCell="1" allowOverlap="1" relativeHeight="597">
                      <wp:simplePos x="0" y="0"/>
                      <wp:positionH relativeFrom="column">
                        <wp:align>left</wp:align>
                      </wp:positionH>
                      <wp:positionV relativeFrom="line">
                        <wp:posOffset>635</wp:posOffset>
                      </wp:positionV>
                      <wp:extent cx="152400" cy="525780"/>
                      <wp:effectExtent l="0" t="0" r="0" b="0"/>
                      <wp:wrapSquare wrapText="right"/>
                      <wp:docPr id="582" name="Frame28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pPr>
            <w:r>
              <w:rPr>
                <w:spacing w:val="-2"/>
              </w:rPr>
              <w:t>#1 scoring REIT for ESG Disclosures on Bloomberg World Index</w:t>
            </w:r>
            <w:r>
              <w:rPr/>
              <w:t xml:space="preserve"> </w:t>
            </w:r>
            <w:r>
              <mc:AlternateContent>
                <mc:Choice Requires="wps">
                  <w:drawing>
                    <wp:anchor behindDoc="0" distT="31750" distB="0" distL="0" distR="0" simplePos="0" locked="0" layoutInCell="1" allowOverlap="1" relativeHeight="598">
                      <wp:simplePos x="0" y="0"/>
                      <wp:positionH relativeFrom="column">
                        <wp:align>left</wp:align>
                      </wp:positionH>
                      <wp:positionV relativeFrom="line">
                        <wp:align>top</wp:align>
                      </wp:positionV>
                      <wp:extent cx="152400" cy="525780"/>
                      <wp:effectExtent l="0" t="0" r="0" b="0"/>
                      <wp:wrapSquare wrapText="right"/>
                      <wp:docPr id="583" name="Frame28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spacing w:val="-2"/>
              </w:rPr>
            </w:pPr>
            <w:r>
              <w:rPr>
                <w:spacing w:val="-2"/>
              </w:rPr>
              <w:t xml:space="preserve">Achieved GRESB Green Star designation as a first-time responder and an “A” rating on GRESB’s Public Disclosure Report </w:t>
            </w:r>
            <w:r>
              <mc:AlternateContent>
                <mc:Choice Requires="wps">
                  <w:drawing>
                    <wp:anchor behindDoc="0" distT="31750" distB="0" distL="0" distR="0" simplePos="0" locked="0" layoutInCell="1" allowOverlap="1" relativeHeight="599">
                      <wp:simplePos x="0" y="0"/>
                      <wp:positionH relativeFrom="column">
                        <wp:align>left</wp:align>
                      </wp:positionH>
                      <wp:positionV relativeFrom="line">
                        <wp:align>top</wp:align>
                      </wp:positionV>
                      <wp:extent cx="152400" cy="525780"/>
                      <wp:effectExtent l="0" t="0" r="0" b="0"/>
                      <wp:wrapSquare wrapText="right"/>
                      <wp:docPr id="584" name="Frame28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76"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00075" cy="342900"/>
                      <wp:effectExtent l="0" t="0" r="0" b="0"/>
                      <wp:wrapNone/>
                      <wp:docPr id="585" name="Frame286"/>
                      <a:graphic xmlns:a="http://schemas.openxmlformats.org/drawingml/2006/main">
                        <a:graphicData uri="http://schemas.microsoft.com/office/word/2010/wordprocessingShape">
                          <wps:wsp>
                            <wps:cNvSpPr txBox="1"/>
                            <wps:spPr>
                              <a:xfrm>
                                <a:off x="0" y="0"/>
                                <a:ext cx="600075" cy="342900"/>
                              </a:xfrm>
                              <a:prstGeom prst="rect"/>
                              <a:solidFill>
                                <a:srgbClr val="FFFFFF"/>
                              </a:solidFill>
                            </wps:spPr>
                            <wps:txbx>
                              <w:txbxContent>
                                <w:p>
                                  <w:pPr>
                                    <w:pStyle w:val="TextBody"/>
                                    <w:bidi w:val="0"/>
                                    <w:spacing w:before="0" w:after="283"/>
                                    <w:jc w:val="left"/>
                                    <w:rPr>
                                      <w:color w:val="1F2668"/>
                                    </w:rPr>
                                  </w:pPr>
                                  <w:r>
                                    <w:rPr>
                                      <w:color w:val="1F2668"/>
                                      <w:spacing w:val="2"/>
                                    </w:rPr>
                                    <w:t>2020</w:t>
                                  </w:r>
                                  <w:r>
                                    <w:rPr>
                                      <w:color w:val="1F2668"/>
                                    </w:rPr>
                                    <w:t xml:space="preserve"> </w:t>
                                  </w:r>
                                </w:p>
                              </w:txbxContent>
                            </wps:txbx>
                            <wps:bodyPr anchor="t" lIns="0" tIns="0" rIns="0" bIns="0">
                              <a:noAutofit/>
                            </wps:bodyPr>
                          </wps:wsp>
                        </a:graphicData>
                      </a:graphic>
                    </wp:anchor>
                  </w:drawing>
                </mc:Choice>
                <mc:Fallback>
                  <w:pict>
                    <v:rect style="position:absolute;rotation:-0;width:47.25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2020</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9"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spacing w:val="-2"/>
              </w:rPr>
            </w:pPr>
            <w:r>
              <w:rPr>
                <w:spacing w:val="-2"/>
              </w:rPr>
              <w:t xml:space="preserve">Completed declassification of the Board with all directors elected for one-year terms </w:t>
            </w:r>
            <w:r>
              <mc:AlternateContent>
                <mc:Choice Requires="wps">
                  <w:drawing>
                    <wp:anchor behindDoc="0" distT="0" distB="0" distL="0" distR="0" simplePos="0" locked="0" layoutInCell="1" allowOverlap="1" relativeHeight="601">
                      <wp:simplePos x="0" y="0"/>
                      <wp:positionH relativeFrom="column">
                        <wp:align>left</wp:align>
                      </wp:positionH>
                      <wp:positionV relativeFrom="line">
                        <wp:posOffset>635</wp:posOffset>
                      </wp:positionV>
                      <wp:extent cx="152400" cy="525780"/>
                      <wp:effectExtent l="0" t="0" r="0" b="0"/>
                      <wp:wrapSquare wrapText="right"/>
                      <wp:docPr id="586" name="Frame28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5"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pPr>
            <w:r>
              <w:rPr>
                <w:spacing w:val="-2"/>
              </w:rPr>
              <w:t>Launched not-for-profit Food1st to serve first responders and food-insecure New Yorkers, while revitalizing NYC’s restaurants</w:t>
            </w:r>
            <w:r>
              <w:rPr/>
              <w:t xml:space="preserve"> </w:t>
            </w:r>
            <w:r>
              <mc:AlternateContent>
                <mc:Choice Requires="wps">
                  <w:drawing>
                    <wp:anchor behindDoc="0" distT="0" distB="0" distL="0" distR="0" simplePos="0" locked="0" layoutInCell="1" allowOverlap="1" relativeHeight="602">
                      <wp:simplePos x="0" y="0"/>
                      <wp:positionH relativeFrom="column">
                        <wp:align>left</wp:align>
                      </wp:positionH>
                      <wp:positionV relativeFrom="line">
                        <wp:posOffset>635</wp:posOffset>
                      </wp:positionV>
                      <wp:extent cx="152400" cy="525780"/>
                      <wp:effectExtent l="0" t="0" r="0" b="0"/>
                      <wp:wrapSquare wrapText="right"/>
                      <wp:docPr id="587" name="Frame28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5" w:after="0"/>
              <w:ind w:left="240" w:right="0" w:hanging="0"/>
              <w:jc w:val="left"/>
              <w:rPr>
                <w:spacing w:val="-2"/>
              </w:rPr>
            </w:pPr>
            <w:r>
              <w:rPr>
                <w:spacing w:val="-2"/>
              </w:rPr>
              <w:t xml:space="preserve">Released first formal SASB disclosures </w:t>
            </w:r>
            <w:r>
              <mc:AlternateContent>
                <mc:Choice Requires="wps">
                  <w:drawing>
                    <wp:anchor behindDoc="0" distT="47625" distB="0" distL="0" distR="0" simplePos="0" locked="0" layoutInCell="1" allowOverlap="1" relativeHeight="603">
                      <wp:simplePos x="0" y="0"/>
                      <wp:positionH relativeFrom="column">
                        <wp:align>left</wp:align>
                      </wp:positionH>
                      <wp:positionV relativeFrom="line">
                        <wp:align>top</wp:align>
                      </wp:positionV>
                      <wp:extent cx="152400" cy="525780"/>
                      <wp:effectExtent l="0" t="0" r="0" b="0"/>
                      <wp:wrapSquare wrapText="right"/>
                      <wp:docPr id="588" name="Frame28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76"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69900" cy="342900"/>
                      <wp:effectExtent l="0" t="0" r="0" b="0"/>
                      <wp:wrapNone/>
                      <wp:docPr id="589" name="Frame290"/>
                      <a:graphic xmlns:a="http://schemas.openxmlformats.org/drawingml/2006/main">
                        <a:graphicData uri="http://schemas.microsoft.com/office/word/2010/wordprocessingShape">
                          <wps:wsp>
                            <wps:cNvSpPr txBox="1"/>
                            <wps:spPr>
                              <a:xfrm>
                                <a:off x="0" y="0"/>
                                <a:ext cx="469900" cy="342900"/>
                              </a:xfrm>
                              <a:prstGeom prst="rect"/>
                              <a:solidFill>
                                <a:srgbClr val="FFFFFF"/>
                              </a:solidFill>
                            </wps:spPr>
                            <wps:txbx>
                              <w:txbxContent>
                                <w:p>
                                  <w:pPr>
                                    <w:pStyle w:val="TextBody"/>
                                    <w:bidi w:val="0"/>
                                    <w:spacing w:before="0" w:after="283"/>
                                    <w:jc w:val="left"/>
                                    <w:rPr>
                                      <w:color w:val="1F2668"/>
                                    </w:rPr>
                                  </w:pPr>
                                  <w:r>
                                    <w:rPr>
                                      <w:color w:val="1F2668"/>
                                      <w:spacing w:val="2"/>
                                    </w:rPr>
                                    <w:t>2021</w:t>
                                  </w:r>
                                  <w:r>
                                    <w:rPr>
                                      <w:color w:val="1F2668"/>
                                    </w:rPr>
                                    <w:t xml:space="preserve"> </w:t>
                                  </w:r>
                                </w:p>
                              </w:txbxContent>
                            </wps:txbx>
                            <wps:bodyPr anchor="t" lIns="0" tIns="0" rIns="0" bIns="0">
                              <a:noAutofit/>
                            </wps:bodyPr>
                          </wps:wsp>
                        </a:graphicData>
                      </a:graphic>
                    </wp:anchor>
                  </w:drawing>
                </mc:Choice>
                <mc:Fallback>
                  <w:pict>
                    <v:rect style="position:absolute;rotation:-0;width:37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2021</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9"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spacing w:val="-2"/>
              </w:rPr>
            </w:pPr>
            <w:r>
              <w:rPr>
                <w:spacing w:val="-2"/>
              </w:rPr>
              <w:t xml:space="preserve">Committed to enhancing Board diversity by 2022 annual meeting </w:t>
            </w:r>
            <w:r>
              <mc:AlternateContent>
                <mc:Choice Requires="wps">
                  <w:drawing>
                    <wp:anchor behindDoc="0" distT="0" distB="0" distL="0" distR="0" simplePos="0" locked="0" layoutInCell="1" allowOverlap="1" relativeHeight="605">
                      <wp:simplePos x="0" y="0"/>
                      <wp:positionH relativeFrom="column">
                        <wp:align>left</wp:align>
                      </wp:positionH>
                      <wp:positionV relativeFrom="line">
                        <wp:posOffset>635</wp:posOffset>
                      </wp:positionV>
                      <wp:extent cx="152400" cy="525780"/>
                      <wp:effectExtent l="0" t="0" r="0" b="0"/>
                      <wp:wrapSquare wrapText="right"/>
                      <wp:docPr id="590" name="Frame29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5" w:type="dxa"/>
            <w:tcBorders>
              <w:bottom w:val="single" w:sz="6" w:space="0" w:color="1F2668"/>
            </w:tcBorders>
            <w:tcMar>
              <w:bottom w:w="37" w:type="dxa"/>
            </w:tcMar>
            <w:vAlign w:val="center"/>
          </w:tcPr>
          <w:p>
            <w:pPr>
              <w:pStyle w:val="TableContents"/>
              <w:bidi w:val="0"/>
              <w:spacing w:lineRule="atLeast" w:line="180" w:before="0" w:after="0"/>
              <w:ind w:left="240" w:right="0" w:hanging="0"/>
              <w:jc w:val="left"/>
              <w:rPr/>
            </w:pPr>
            <w:r>
              <w:rPr>
                <w:spacing w:val="-2"/>
              </w:rPr>
              <w:t>Published first formal TCFD report</w:t>
            </w:r>
            <w:r>
              <w:rPr/>
              <w:t xml:space="preserve"> </w:t>
            </w:r>
            <w:r>
              <mc:AlternateContent>
                <mc:Choice Requires="wps">
                  <w:drawing>
                    <wp:anchor behindDoc="0" distT="0" distB="0" distL="0" distR="0" simplePos="0" locked="0" layoutInCell="1" allowOverlap="1" relativeHeight="606">
                      <wp:simplePos x="0" y="0"/>
                      <wp:positionH relativeFrom="column">
                        <wp:align>left</wp:align>
                      </wp:positionH>
                      <wp:positionV relativeFrom="line">
                        <wp:posOffset>635</wp:posOffset>
                      </wp:positionV>
                      <wp:extent cx="152400" cy="525780"/>
                      <wp:effectExtent l="0" t="0" r="0" b="0"/>
                      <wp:wrapSquare wrapText="right"/>
                      <wp:docPr id="591" name="Frame29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spacing w:val="-2"/>
              </w:rPr>
            </w:pPr>
            <w:r>
              <w:rPr>
                <w:spacing w:val="-2"/>
              </w:rPr>
              <w:t xml:space="preserve">Donated $6M to more than 70 not-for-profit organizations </w:t>
            </w:r>
            <w:r>
              <mc:AlternateContent>
                <mc:Choice Requires="wps">
                  <w:drawing>
                    <wp:anchor behindDoc="0" distT="31750" distB="0" distL="0" distR="0" simplePos="0" locked="0" layoutInCell="1" allowOverlap="1" relativeHeight="607">
                      <wp:simplePos x="0" y="0"/>
                      <wp:positionH relativeFrom="column">
                        <wp:align>left</wp:align>
                      </wp:positionH>
                      <wp:positionV relativeFrom="line">
                        <wp:align>top</wp:align>
                      </wp:positionV>
                      <wp:extent cx="152400" cy="525780"/>
                      <wp:effectExtent l="0" t="0" r="0" b="0"/>
                      <wp:wrapSquare wrapText="right"/>
                      <wp:docPr id="592" name="Frame29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2176"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00075" cy="342900"/>
                      <wp:effectExtent l="0" t="0" r="0" b="0"/>
                      <wp:wrapNone/>
                      <wp:docPr id="593" name="Frame294"/>
                      <a:graphic xmlns:a="http://schemas.openxmlformats.org/drawingml/2006/main">
                        <a:graphicData uri="http://schemas.microsoft.com/office/word/2010/wordprocessingShape">
                          <wps:wsp>
                            <wps:cNvSpPr txBox="1"/>
                            <wps:spPr>
                              <a:xfrm>
                                <a:off x="0" y="0"/>
                                <a:ext cx="600075" cy="342900"/>
                              </a:xfrm>
                              <a:prstGeom prst="rect"/>
                              <a:solidFill>
                                <a:srgbClr val="FFFFFF"/>
                              </a:solidFill>
                            </wps:spPr>
                            <wps:txbx>
                              <w:txbxContent>
                                <w:p>
                                  <w:pPr>
                                    <w:pStyle w:val="TextBody"/>
                                    <w:bidi w:val="0"/>
                                    <w:spacing w:before="0" w:after="283"/>
                                    <w:jc w:val="left"/>
                                    <w:rPr>
                                      <w:color w:val="1F2668"/>
                                    </w:rPr>
                                  </w:pPr>
                                  <w:r>
                                    <w:rPr>
                                      <w:color w:val="1F2668"/>
                                      <w:spacing w:val="2"/>
                                    </w:rPr>
                                    <w:t>2022</w:t>
                                  </w:r>
                                  <w:r>
                                    <w:rPr>
                                      <w:color w:val="1F2668"/>
                                    </w:rPr>
                                    <w:t xml:space="preserve"> </w:t>
                                  </w:r>
                                </w:p>
                              </w:txbxContent>
                            </wps:txbx>
                            <wps:bodyPr anchor="t" lIns="0" tIns="0" rIns="0" bIns="0">
                              <a:noAutofit/>
                            </wps:bodyPr>
                          </wps:wsp>
                        </a:graphicData>
                      </a:graphic>
                    </wp:anchor>
                  </w:drawing>
                </mc:Choice>
                <mc:Fallback>
                  <w:pict>
                    <v:rect style="position:absolute;rotation:-0;width:47.25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2022</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659" w:type="dxa"/>
            <w:tcBorders>
              <w:bottom w:val="single" w:sz="6" w:space="0" w:color="1F2668"/>
            </w:tcBorders>
            <w:tcMar>
              <w:bottom w:w="37" w:type="dxa"/>
            </w:tcMar>
            <w:vAlign w:val="center"/>
          </w:tcPr>
          <w:p>
            <w:pPr>
              <w:pStyle w:val="TableContents"/>
              <w:bidi w:val="0"/>
              <w:spacing w:lineRule="atLeast" w:line="180" w:before="0" w:after="0"/>
              <w:ind w:left="240" w:right="0" w:hanging="0"/>
              <w:jc w:val="left"/>
              <w:rPr>
                <w:spacing w:val="-2"/>
              </w:rPr>
            </w:pPr>
            <w:r>
              <w:rPr>
                <w:spacing w:val="-2"/>
              </w:rPr>
              <w:t xml:space="preserve">Appointed Carol Brown, enhancing Board diversity </w:t>
            </w:r>
            <w:r>
              <mc:AlternateContent>
                <mc:Choice Requires="wps">
                  <w:drawing>
                    <wp:anchor behindDoc="0" distT="0" distB="0" distL="0" distR="0" simplePos="0" locked="0" layoutInCell="1" allowOverlap="1" relativeHeight="609">
                      <wp:simplePos x="0" y="0"/>
                      <wp:positionH relativeFrom="column">
                        <wp:align>left</wp:align>
                      </wp:positionH>
                      <wp:positionV relativeFrom="line">
                        <wp:posOffset>635</wp:posOffset>
                      </wp:positionV>
                      <wp:extent cx="152400" cy="525780"/>
                      <wp:effectExtent l="0" t="0" r="0" b="0"/>
                      <wp:wrapSquare wrapText="right"/>
                      <wp:docPr id="594" name="Frame29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3755" w:type="dxa"/>
            <w:tcBorders>
              <w:bottom w:val="single" w:sz="6" w:space="0" w:color="1F2668"/>
            </w:tcBorders>
            <w:tcMar>
              <w:bottom w:w="37" w:type="dxa"/>
            </w:tcMar>
            <w:vAlign w:val="center"/>
          </w:tcPr>
          <w:p>
            <w:pPr>
              <w:pStyle w:val="TableContents"/>
              <w:bidi w:val="0"/>
              <w:spacing w:lineRule="atLeast" w:line="205" w:before="0" w:after="0"/>
              <w:ind w:left="240" w:right="0" w:hanging="0"/>
              <w:jc w:val="left"/>
              <w:rPr/>
            </w:pPr>
            <w:r>
              <w:rPr>
                <w:spacing w:val="-2"/>
              </w:rPr>
              <w:t>Expanded Scope 3 disclosures and committed to emissions reduction through SBTi</w:t>
            </w:r>
            <w:r>
              <w:rPr/>
              <w:t xml:space="preserve"> </w:t>
            </w:r>
            <w:r>
              <mc:AlternateContent>
                <mc:Choice Requires="wps">
                  <w:drawing>
                    <wp:anchor behindDoc="0" distT="0" distB="0" distL="0" distR="0" simplePos="0" locked="0" layoutInCell="1" allowOverlap="1" relativeHeight="610">
                      <wp:simplePos x="0" y="0"/>
                      <wp:positionH relativeFrom="column">
                        <wp:align>left</wp:align>
                      </wp:positionH>
                      <wp:positionV relativeFrom="line">
                        <wp:posOffset>635</wp:posOffset>
                      </wp:positionV>
                      <wp:extent cx="152400" cy="525780"/>
                      <wp:effectExtent l="0" t="0" r="0" b="0"/>
                      <wp:wrapSquare wrapText="right"/>
                      <wp:docPr id="595" name="Frame29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spacing w:val="-2"/>
              </w:rPr>
            </w:pPr>
            <w:r>
              <w:rPr>
                <w:spacing w:val="-2"/>
              </w:rPr>
              <w:t xml:space="preserve">Increased racial diversity of all newly hired employees in 2022 to 76% </w:t>
            </w:r>
            <w:r>
              <mc:AlternateContent>
                <mc:Choice Requires="wps">
                  <w:drawing>
                    <wp:anchor behindDoc="0" distT="31750" distB="0" distL="0" distR="0" simplePos="0" locked="0" layoutInCell="1" allowOverlap="1" relativeHeight="611">
                      <wp:simplePos x="0" y="0"/>
                      <wp:positionH relativeFrom="column">
                        <wp:align>left</wp:align>
                      </wp:positionH>
                      <wp:positionV relativeFrom="line">
                        <wp:align>top</wp:align>
                      </wp:positionV>
                      <wp:extent cx="152400" cy="525780"/>
                      <wp:effectExtent l="0" t="0" r="0" b="0"/>
                      <wp:wrapSquare wrapText="right"/>
                      <wp:docPr id="596" name="Frame29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1F2668"/>
            </w:tcBorders>
            <w:vAlign w:val="center"/>
          </w:tcPr>
          <w:p>
            <w:pPr>
              <w:pStyle w:val="TableContents"/>
              <w:bidi w:val="0"/>
              <w:spacing w:before="0" w:after="283"/>
              <w:jc w:val="left"/>
              <w:rPr/>
            </w:pPr>
            <w:r>
              <w:rPr/>
              <w:t>​</w:t>
            </w:r>
          </w:p>
        </w:tc>
      </w:tr>
      <w:tr>
        <w:trPr/>
        <w:tc>
          <w:tcPr>
            <w:tcW w:w="124" w:type="dxa"/>
            <w:tcBorders>
              <w:bottom w:val="single" w:sz="12" w:space="0" w:color="1F2668"/>
            </w:tcBorders>
            <w:shd w:fill="E9F9D8" w:val="clear"/>
            <w:vAlign w:val="center"/>
          </w:tcPr>
          <w:p>
            <w:pPr>
              <w:pStyle w:val="TableContents"/>
              <w:bidi w:val="0"/>
              <w:spacing w:before="0" w:after="283"/>
              <w:jc w:val="left"/>
              <w:rPr/>
            </w:pPr>
            <w:r>
              <w:rPr/>
              <w:t>​</w:t>
            </w:r>
          </w:p>
        </w:tc>
        <w:tc>
          <w:tcPr>
            <w:tcW w:w="2176" w:type="dxa"/>
            <w:tcBorders>
              <w:bottom w:val="single" w:sz="12" w:space="0" w:color="1F2668"/>
            </w:tcBorders>
            <w:shd w:fill="E9F9D8"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327150" cy="342900"/>
                      <wp:effectExtent l="0" t="0" r="0" b="0"/>
                      <wp:wrapNone/>
                      <wp:docPr id="597" name="Frame298"/>
                      <a:graphic xmlns:a="http://schemas.openxmlformats.org/drawingml/2006/main">
                        <a:graphicData uri="http://schemas.microsoft.com/office/word/2010/wordprocessingShape">
                          <wps:wsp>
                            <wps:cNvSpPr txBox="1"/>
                            <wps:spPr>
                              <a:xfrm>
                                <a:off x="0" y="0"/>
                                <a:ext cx="1327150" cy="342900"/>
                              </a:xfrm>
                              <a:prstGeom prst="rect"/>
                              <a:solidFill>
                                <a:srgbClr val="FFFFFF"/>
                              </a:solidFill>
                            </wps:spPr>
                            <wps:txbx>
                              <w:txbxContent>
                                <w:p>
                                  <w:pPr>
                                    <w:pStyle w:val="TextBody"/>
                                    <w:bidi w:val="0"/>
                                    <w:spacing w:before="0" w:after="283"/>
                                    <w:jc w:val="left"/>
                                    <w:rPr>
                                      <w:color w:val="1F2668"/>
                                    </w:rPr>
                                  </w:pPr>
                                  <w:r>
                                    <w:rPr>
                                      <w:color w:val="1F2668"/>
                                      <w:spacing w:val="2"/>
                                    </w:rPr>
                                    <w:t>2023/2024</w:t>
                                  </w:r>
                                  <w:r>
                                    <w:rPr>
                                      <w:color w:val="1F2668"/>
                                    </w:rPr>
                                    <w:t xml:space="preserve"> </w:t>
                                  </w:r>
                                </w:p>
                              </w:txbxContent>
                            </wps:txbx>
                            <wps:bodyPr anchor="t" lIns="0" tIns="0" rIns="0" bIns="0">
                              <a:noAutofit/>
                            </wps:bodyPr>
                          </wps:wsp>
                        </a:graphicData>
                      </a:graphic>
                    </wp:anchor>
                  </w:drawing>
                </mc:Choice>
                <mc:Fallback>
                  <w:pict>
                    <v:rect style="position:absolute;rotation:-0;width:104.5pt;height: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2023/2024</w:t>
                            </w:r>
                            <w:r>
                              <w:rPr>
                                <w:color w:val="1F2668"/>
                              </w:rPr>
                              <w:t xml:space="preserve"> </w:t>
                            </w:r>
                          </w:p>
                        </w:txbxContent>
                      </v:textbox>
                      <w10:wrap type="none"/>
                    </v:rect>
                  </w:pict>
                </mc:Fallback>
              </mc:AlternateConten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2659" w:type="dxa"/>
            <w:tcBorders>
              <w:bottom w:val="single" w:sz="12" w:space="0" w:color="1F2668"/>
            </w:tcBorders>
            <w:shd w:fill="E9F9D8" w:val="clear"/>
            <w:tcMar>
              <w:bottom w:w="37" w:type="dxa"/>
            </w:tcMar>
            <w:vAlign w:val="center"/>
          </w:tcPr>
          <w:p>
            <w:pPr>
              <w:pStyle w:val="TableContents"/>
              <w:bidi w:val="0"/>
              <w:spacing w:lineRule="atLeast" w:line="205" w:before="0" w:after="0"/>
              <w:ind w:left="240" w:right="0" w:hanging="0"/>
              <w:jc w:val="left"/>
              <w:rPr/>
            </w:pPr>
            <w:r>
              <w:rPr>
                <w:spacing w:val="-2"/>
              </w:rPr>
              <w:t>Continued Board succession plan: retirement of John Levy, Ed Burton and Betsy Atkins</w:t>
            </w:r>
            <w:r>
              <w:rPr/>
              <w:t xml:space="preserve"> </w:t>
            </w:r>
            <w:r>
              <mc:AlternateContent>
                <mc:Choice Requires="wps">
                  <w:drawing>
                    <wp:anchor behindDoc="0" distT="0" distB="0" distL="0" distR="0" simplePos="0" locked="0" layoutInCell="1" allowOverlap="1" relativeHeight="613">
                      <wp:simplePos x="0" y="0"/>
                      <wp:positionH relativeFrom="column">
                        <wp:align>left</wp:align>
                      </wp:positionH>
                      <wp:positionV relativeFrom="line">
                        <wp:posOffset>635</wp:posOffset>
                      </wp:positionV>
                      <wp:extent cx="152400" cy="525780"/>
                      <wp:effectExtent l="0" t="0" r="0" b="0"/>
                      <wp:wrapSquare wrapText="right"/>
                      <wp:docPr id="598" name="Frame29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5" w:after="0"/>
              <w:ind w:left="240" w:right="0" w:hanging="0"/>
              <w:jc w:val="left"/>
              <w:rPr/>
            </w:pPr>
            <w:r>
              <w:rPr>
                <w:spacing w:val="-2"/>
              </w:rPr>
              <w:t>Termination of Chairman Emeritus’ retainer</w:t>
            </w:r>
            <w:r>
              <w:rPr/>
              <w:t xml:space="preserve"> </w:t>
            </w:r>
            <w:r>
              <mc:AlternateContent>
                <mc:Choice Requires="wps">
                  <w:drawing>
                    <wp:anchor behindDoc="0" distT="47625" distB="0" distL="0" distR="0" simplePos="0" locked="0" layoutInCell="1" allowOverlap="1" relativeHeight="614">
                      <wp:simplePos x="0" y="0"/>
                      <wp:positionH relativeFrom="column">
                        <wp:align>left</wp:align>
                      </wp:positionH>
                      <wp:positionV relativeFrom="line">
                        <wp:align>top</wp:align>
                      </wp:positionV>
                      <wp:extent cx="152400" cy="525780"/>
                      <wp:effectExtent l="0" t="0" r="0" b="0"/>
                      <wp:wrapSquare wrapText="right"/>
                      <wp:docPr id="599" name="Frame30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5" w:after="0"/>
              <w:ind w:left="240" w:right="0" w:hanging="0"/>
              <w:jc w:val="left"/>
              <w:rPr/>
            </w:pPr>
            <w:r>
              <w:rPr>
                <w:spacing w:val="-2"/>
              </w:rPr>
              <w:t>Anticipate appointing a new Board member in 2024</w:t>
            </w:r>
            <w:r>
              <w:rPr/>
              <w:t xml:space="preserve"> </w:t>
            </w:r>
            <w:r>
              <mc:AlternateContent>
                <mc:Choice Requires="wps">
                  <w:drawing>
                    <wp:anchor behindDoc="0" distT="47625" distB="0" distL="0" distR="0" simplePos="0" locked="0" layoutInCell="1" allowOverlap="1" relativeHeight="615">
                      <wp:simplePos x="0" y="0"/>
                      <wp:positionH relativeFrom="column">
                        <wp:align>left</wp:align>
                      </wp:positionH>
                      <wp:positionV relativeFrom="line">
                        <wp:align>top</wp:align>
                      </wp:positionV>
                      <wp:extent cx="152400" cy="525780"/>
                      <wp:effectExtent l="0" t="0" r="0" b="0"/>
                      <wp:wrapSquare wrapText="right"/>
                      <wp:docPr id="600" name="Frame30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109" w:type="dxa"/>
            <w:tcBorders>
              <w:bottom w:val="single" w:sz="12" w:space="0" w:color="1F2668"/>
            </w:tcBorders>
            <w:shd w:fill="E9F9D8" w:val="clear"/>
            <w:vAlign w:val="center"/>
          </w:tcPr>
          <w:p>
            <w:pPr>
              <w:pStyle w:val="TableContents"/>
              <w:bidi w:val="0"/>
              <w:spacing w:before="0" w:after="283"/>
              <w:jc w:val="left"/>
              <w:rPr/>
            </w:pPr>
            <w:r>
              <w:rPr/>
              <w:t>​</w:t>
            </w:r>
          </w:p>
        </w:tc>
        <w:tc>
          <w:tcPr>
            <w:tcW w:w="3755" w:type="dxa"/>
            <w:tcBorders>
              <w:bottom w:val="single" w:sz="12" w:space="0" w:color="1F2668"/>
            </w:tcBorders>
            <w:shd w:fill="E9F9D8" w:val="clear"/>
            <w:tcMar>
              <w:bottom w:w="37" w:type="dxa"/>
            </w:tcMar>
            <w:vAlign w:val="center"/>
          </w:tcPr>
          <w:p>
            <w:pPr>
              <w:pStyle w:val="TableContents"/>
              <w:bidi w:val="0"/>
              <w:spacing w:lineRule="atLeast" w:line="205" w:before="0" w:after="0"/>
              <w:ind w:left="240" w:right="0" w:hanging="0"/>
              <w:jc w:val="left"/>
              <w:rPr/>
            </w:pPr>
            <w:r>
              <w:rPr>
                <w:spacing w:val="-2"/>
              </w:rPr>
              <w:t>Validated Scope 1 and 2 emissions reduction targets in line with 1.5°C pathway through SBTi</w:t>
            </w:r>
            <w:r>
              <w:rPr/>
              <w:t xml:space="preserve"> </w:t>
            </w:r>
            <w:r>
              <mc:AlternateContent>
                <mc:Choice Requires="wps">
                  <w:drawing>
                    <wp:anchor behindDoc="0" distT="0" distB="0" distL="0" distR="0" simplePos="0" locked="0" layoutInCell="1" allowOverlap="1" relativeHeight="616">
                      <wp:simplePos x="0" y="0"/>
                      <wp:positionH relativeFrom="column">
                        <wp:align>left</wp:align>
                      </wp:positionH>
                      <wp:positionV relativeFrom="line">
                        <wp:posOffset>635</wp:posOffset>
                      </wp:positionV>
                      <wp:extent cx="152400" cy="525780"/>
                      <wp:effectExtent l="0" t="0" r="0" b="0"/>
                      <wp:wrapSquare wrapText="right"/>
                      <wp:docPr id="601" name="Frame30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5" w:after="0"/>
              <w:ind w:left="240" w:right="0" w:hanging="0"/>
              <w:jc w:val="left"/>
              <w:rPr/>
            </w:pPr>
            <w:r>
              <w:rPr>
                <w:spacing w:val="-2"/>
              </w:rPr>
              <w:t>Published updated TCFD Report</w:t>
            </w:r>
            <w:r>
              <w:rPr/>
              <w:t xml:space="preserve"> </w:t>
            </w:r>
            <w:r>
              <mc:AlternateContent>
                <mc:Choice Requires="wps">
                  <w:drawing>
                    <wp:anchor behindDoc="0" distT="47625" distB="0" distL="0" distR="0" simplePos="0" locked="0" layoutInCell="1" allowOverlap="1" relativeHeight="617">
                      <wp:simplePos x="0" y="0"/>
                      <wp:positionH relativeFrom="column">
                        <wp:align>left</wp:align>
                      </wp:positionH>
                      <wp:positionV relativeFrom="line">
                        <wp:align>top</wp:align>
                      </wp:positionV>
                      <wp:extent cx="152400" cy="525780"/>
                      <wp:effectExtent l="0" t="0" r="0" b="0"/>
                      <wp:wrapSquare wrapText="right"/>
                      <wp:docPr id="602" name="Frame30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pPr>
            <w:r>
              <w:rPr>
                <w:spacing w:val="-2"/>
              </w:rPr>
              <w:t>Recognized by Newsweek as one of “America’s Most Responsible Companies 2023”</w:t>
            </w:r>
            <w:r>
              <w:rPr/>
              <w:t xml:space="preserve"> </w:t>
            </w:r>
            <w:r>
              <mc:AlternateContent>
                <mc:Choice Requires="wps">
                  <w:drawing>
                    <wp:anchor behindDoc="0" distT="31750" distB="0" distL="0" distR="0" simplePos="0" locked="0" layoutInCell="1" allowOverlap="1" relativeHeight="618">
                      <wp:simplePos x="0" y="0"/>
                      <wp:positionH relativeFrom="column">
                        <wp:align>left</wp:align>
                      </wp:positionH>
                      <wp:positionV relativeFrom="line">
                        <wp:align>top</wp:align>
                      </wp:positionV>
                      <wp:extent cx="152400" cy="525780"/>
                      <wp:effectExtent l="0" t="0" r="0" b="0"/>
                      <wp:wrapSquare wrapText="right"/>
                      <wp:docPr id="603" name="Frame30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50" w:after="0"/>
              <w:ind w:left="240" w:right="0" w:hanging="0"/>
              <w:jc w:val="left"/>
              <w:rPr/>
            </w:pPr>
            <w:r>
              <w:rPr>
                <w:spacing w:val="-2"/>
              </w:rPr>
              <w:t>Conducted “ESG Materiality Assessments” to identify highly valued environmental, social, and governance topics important to our business and key stakeholders</w:t>
            </w:r>
            <w:r>
              <w:rPr/>
              <w:t xml:space="preserve"> </w:t>
            </w:r>
            <w:r>
              <mc:AlternateContent>
                <mc:Choice Requires="wps">
                  <w:drawing>
                    <wp:anchor behindDoc="0" distT="31750" distB="0" distL="0" distR="0" simplePos="0" locked="0" layoutInCell="1" allowOverlap="1" relativeHeight="619">
                      <wp:simplePos x="0" y="0"/>
                      <wp:positionH relativeFrom="column">
                        <wp:align>left</wp:align>
                      </wp:positionH>
                      <wp:positionV relativeFrom="line">
                        <wp:align>top</wp:align>
                      </wp:positionV>
                      <wp:extent cx="152400" cy="525780"/>
                      <wp:effectExtent l="0" t="0" r="0" b="0"/>
                      <wp:wrapSquare wrapText="right"/>
                      <wp:docPr id="604" name="Frame30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5"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5"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1F2668"/>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Stockholder Amendments to Bylaws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bylaws provide our stockholders the right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Declassified Board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Board is fully declassified, and our directors are elected for one-year terms as of our 2020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Proxy Access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Other Matters—Stockholder Proposals and Nominations.”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Majority Voting Standard and Director Resignation Policy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Environmental Social &amp; Governance (ESG)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ultimate sustainability goal is to create long-term social, cultural, financial, and environmental benefits for our stakeholders—our investors, our partners, our tenants, our employees, and our community members. The success of our sustainability program is driven by the guidance from our Board of Directors and the leadership of our executive management team. We depend on our best-in-class team to fully integrate and apply the organization’s ESG principles into day-to-day operations.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16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Delivering Value for All Our Stakeholders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1929"/>
        <w:gridCol w:w="109"/>
        <w:gridCol w:w="109"/>
        <w:gridCol w:w="109"/>
        <w:gridCol w:w="2126"/>
        <w:gridCol w:w="109"/>
        <w:gridCol w:w="109"/>
        <w:gridCol w:w="109"/>
        <w:gridCol w:w="1970"/>
        <w:gridCol w:w="109"/>
        <w:gridCol w:w="109"/>
        <w:gridCol w:w="109"/>
        <w:gridCol w:w="2018"/>
        <w:gridCol w:w="157"/>
      </w:tblGrid>
      <w:tr>
        <w:trPr/>
        <w:tc>
          <w:tcPr>
            <w:tcW w:w="124" w:type="dxa"/>
            <w:tcBorders/>
            <w:vAlign w:val="center"/>
          </w:tcPr>
          <w:p>
            <w:pPr>
              <w:pStyle w:val="TableContents"/>
              <w:bidi w:val="0"/>
              <w:spacing w:before="0" w:after="283"/>
              <w:jc w:val="left"/>
              <w:rPr/>
            </w:pPr>
            <w:r>
              <w:rPr/>
              <w:t>​</w:t>
            </w:r>
          </w:p>
        </w:tc>
        <w:tc>
          <w:tcPr>
            <w:tcW w:w="1929" w:type="dxa"/>
            <w:tcBorders/>
            <w:vAlign w:val="center"/>
          </w:tcPr>
          <w:p>
            <w:pPr>
              <w:pStyle w:val="TableContents"/>
              <w:bidi w:val="0"/>
              <w:spacing w:before="0" w:after="283"/>
              <w:jc w:val="left"/>
              <w:rPr/>
            </w:pPr>
            <w:r>
              <w:rPr/>
              <w:t>Employees</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6" w:type="dxa"/>
            <w:tcBorders/>
            <w:vAlign w:val="center"/>
          </w:tcPr>
          <w:p>
            <w:pPr>
              <w:pStyle w:val="TableContents"/>
              <w:bidi w:val="0"/>
              <w:spacing w:before="0" w:after="283"/>
              <w:jc w:val="left"/>
              <w:rPr/>
            </w:pPr>
            <w:r>
              <w:rPr/>
              <w:t>Tenants</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pPr>
            <w:r>
              <w:rPr/>
              <w:t>Community</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18" w:type="dxa"/>
            <w:tcBorders/>
            <w:vAlign w:val="center"/>
          </w:tcPr>
          <w:p>
            <w:pPr>
              <w:pStyle w:val="TableContents"/>
              <w:bidi w:val="0"/>
              <w:spacing w:before="0" w:after="283"/>
              <w:jc w:val="left"/>
              <w:rPr/>
            </w:pPr>
            <w:r>
              <w:rPr/>
              <w:t>Stockholders</w:t>
            </w:r>
          </w:p>
        </w:tc>
        <w:tc>
          <w:tcPr>
            <w:tcW w:w="157"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1929"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We feel that an equitable and inclusive workplace is positively linked to performance. We are committed to fostering a corporate culture that enables our employees to meet their full potential.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126"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Our long-standing relationships and continued collaboration with our tenants are essential to long-term improvement of our portfolio’s ESG performance, while providing our tenants with unique offerings to track and foster sustainability.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970" w:type="dxa"/>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SL Green’s success is linked to a thriving New York City. We support a variety of causes that address the physical, mental, and emotional needs of our community. We also create thousands of jobs and positive community impact.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018" w:type="dxa"/>
            <w:tcBorders>
              <w:bottom w:val="single" w:sz="6" w:space="0" w:color="83AD40"/>
            </w:tcBorders>
            <w:tcMar>
              <w:bottom w:w="300" w:type="dxa"/>
            </w:tcMar>
            <w:vAlign w:val="center"/>
          </w:tcPr>
          <w:p>
            <w:pPr>
              <w:pStyle w:val="TableContents"/>
              <w:bidi w:val="0"/>
              <w:spacing w:before="0" w:after="283"/>
              <w:jc w:val="left"/>
              <w:rPr/>
            </w:pPr>
            <w:r>
              <w:rPr>
                <w:spacing w:val="-2"/>
              </w:rPr>
              <w:t>Our ongoing ESG efforts help attract and retain diverse, high-performing talent, maximize our portfolio and give back to our NYC community, elements which are essential to delivering long-term stockholder value.</w:t>
            </w:r>
            <w:r>
              <w:rPr/>
              <w:t xml:space="preserve"> </w:t>
            </w:r>
          </w:p>
        </w:tc>
        <w:tc>
          <w:tcPr>
            <w:tcW w:w="157"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614"/>
        <w:gridCol w:w="109"/>
        <w:gridCol w:w="109"/>
        <w:gridCol w:w="7194"/>
        <w:gridCol w:w="155"/>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614" w:type="dxa"/>
            <w:tcBorders>
              <w:bottom w:val="single" w:sz="6" w:space="0" w:color="83AD40"/>
            </w:tcBorders>
            <w:vAlign w:val="center"/>
          </w:tcPr>
          <w:p>
            <w:pPr>
              <w:pStyle w:val="TableContents"/>
              <w:bidi w:val="0"/>
              <w:spacing w:before="0" w:after="0"/>
              <w:jc w:val="left"/>
              <w:rPr/>
            </w:pPr>
            <w:r>
              <w:rPr/>
              <w:drawing>
                <wp:inline distT="0" distB="0" distL="0" distR="0">
                  <wp:extent cx="962025" cy="962025"/>
                  <wp:effectExtent l="0" t="0" r="0" b="0"/>
                  <wp:docPr id="60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224" descr=""/>
                          <pic:cNvPicPr>
                            <a:picLocks noChangeAspect="1" noChangeArrowheads="1"/>
                          </pic:cNvPicPr>
                        </pic:nvPicPr>
                        <pic:blipFill>
                          <a:blip r:embed="rId307"/>
                          <a:stretch>
                            <a:fillRect/>
                          </a:stretch>
                        </pic:blipFill>
                        <pic:spPr bwMode="auto">
                          <a:xfrm>
                            <a:off x="0" y="0"/>
                            <a:ext cx="962025" cy="9620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7194" w:type="dxa"/>
            <w:tcBorders>
              <w:bottom w:val="single" w:sz="6" w:space="0" w:color="83AD40"/>
            </w:tcBorders>
            <w:tcMar>
              <w:bottom w:w="235" w:type="dxa"/>
            </w:tcMar>
            <w:vAlign w:val="center"/>
          </w:tcPr>
          <w:p>
            <w:pPr>
              <w:pStyle w:val="TableContents"/>
              <w:bidi w:val="0"/>
              <w:spacing w:lineRule="atLeast" w:line="240" w:before="0" w:after="0"/>
              <w:jc w:val="left"/>
              <w:rPr>
                <w:b/>
                <w:color w:val="83AD40"/>
                <w:sz w:val="22"/>
              </w:rPr>
            </w:pPr>
            <w:r>
              <w:rPr>
                <w:b/>
                <w:color w:val="83AD40"/>
                <w:sz w:val="22"/>
              </w:rPr>
              <w:t>ESG Oversight</w:t>
            </w:r>
            <w:r>
              <w:rPr>
                <w:b/>
                <w:color w:val="000000"/>
                <w:sz w:val="22"/>
              </w:rPr>
              <w:t>​</w:t>
            </w:r>
          </w:p>
          <w:p>
            <w:pPr>
              <w:pStyle w:val="TableContents"/>
              <w:bidi w:val="0"/>
              <w:spacing w:lineRule="atLeast" w:line="200" w:before="140" w:after="0"/>
              <w:ind w:left="180" w:right="0" w:hanging="0"/>
              <w:jc w:val="left"/>
              <w:rPr/>
            </w:pPr>
            <w:r>
              <w:rPr>
                <w:spacing w:val="-2"/>
              </w:rPr>
              <w:t>Reflecting its importance to our long-term strategic plan, the Board has designated the oversight of ESG matters, including related strategy and risk, to the Nominating and Corporate Governance Committee.</w:t>
            </w:r>
            <w:r>
              <w:rPr/>
              <w:t xml:space="preserve"> </w:t>
            </w:r>
            <w:r>
              <mc:AlternateContent>
                <mc:Choice Requires="wps">
                  <w:drawing>
                    <wp:anchor behindDoc="0" distT="88900" distB="0" distL="0" distR="0" simplePos="0" locked="0" layoutInCell="1" allowOverlap="1" relativeHeight="620">
                      <wp:simplePos x="0" y="0"/>
                      <wp:positionH relativeFrom="column">
                        <wp:align>left</wp:align>
                      </wp:positionH>
                      <wp:positionV relativeFrom="line">
                        <wp:align>top</wp:align>
                      </wp:positionV>
                      <wp:extent cx="114300" cy="350520"/>
                      <wp:effectExtent l="0" t="0" r="0" b="0"/>
                      <wp:wrapSquare wrapText="right"/>
                      <wp:docPr id="606" name="Frame3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At the management level, ESG and DEI initiatives are overseen by Edward V. Piccinich, SL Green’s Chief Operating Officer.</w:t>
            </w:r>
            <w:r>
              <w:rPr/>
              <w:t xml:space="preserve"> </w:t>
            </w:r>
            <w:r>
              <mc:AlternateContent>
                <mc:Choice Requires="wps">
                  <w:drawing>
                    <wp:anchor behindDoc="0" distT="50800" distB="0" distL="0" distR="0" simplePos="0" locked="0" layoutInCell="1" allowOverlap="1" relativeHeight="621">
                      <wp:simplePos x="0" y="0"/>
                      <wp:positionH relativeFrom="column">
                        <wp:align>left</wp:align>
                      </wp:positionH>
                      <wp:positionV relativeFrom="line">
                        <wp:align>top</wp:align>
                      </wp:positionV>
                      <wp:extent cx="114300" cy="350520"/>
                      <wp:effectExtent l="0" t="0" r="0" b="0"/>
                      <wp:wrapSquare wrapText="right"/>
                      <wp:docPr id="607" name="Frame3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Annual ESG reporting is conducted in accordance with GRI, CDP, GRESB, SASB, and TCFD frameworks.</w:t>
            </w:r>
            <w:r>
              <w:rPr/>
              <w:t xml:space="preserve"> </w:t>
            </w:r>
            <w:r>
              <mc:AlternateContent>
                <mc:Choice Requires="wps">
                  <w:drawing>
                    <wp:anchor behindDoc="0" distT="50800" distB="0" distL="0" distR="0" simplePos="0" locked="0" layoutInCell="1" allowOverlap="1" relativeHeight="622">
                      <wp:simplePos x="0" y="0"/>
                      <wp:positionH relativeFrom="column">
                        <wp:align>left</wp:align>
                      </wp:positionH>
                      <wp:positionV relativeFrom="line">
                        <wp:align>top</wp:align>
                      </wp:positionV>
                      <wp:extent cx="114300" cy="350520"/>
                      <wp:effectExtent l="0" t="0" r="0" b="0"/>
                      <wp:wrapSquare wrapText="right"/>
                      <wp:docPr id="608" name="Frame3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80" w:right="0" w:hanging="0"/>
              <w:jc w:val="left"/>
              <w:rPr/>
            </w:pPr>
            <w:r>
              <w:rPr>
                <w:spacing w:val="-2"/>
              </w:rPr>
              <w:t>Environmental performance data is assured by a third party.</w:t>
            </w:r>
            <w:r>
              <w:rPr/>
              <w:t xml:space="preserve"> </w:t>
            </w:r>
            <w:r>
              <mc:AlternateContent>
                <mc:Choice Requires="wps">
                  <w:drawing>
                    <wp:anchor behindDoc="0" distT="50800" distB="0" distL="0" distR="0" simplePos="0" locked="0" layoutInCell="1" allowOverlap="1" relativeHeight="623">
                      <wp:simplePos x="0" y="0"/>
                      <wp:positionH relativeFrom="column">
                        <wp:align>left</wp:align>
                      </wp:positionH>
                      <wp:positionV relativeFrom="line">
                        <wp:align>top</wp:align>
                      </wp:positionV>
                      <wp:extent cx="114300" cy="350520"/>
                      <wp:effectExtent l="0" t="0" r="0" b="0"/>
                      <wp:wrapSquare wrapText="right"/>
                      <wp:docPr id="609" name="Frame3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80" w:after="0"/>
              <w:ind w:left="180" w:right="0" w:hanging="0"/>
              <w:jc w:val="left"/>
              <w:rPr/>
            </w:pPr>
            <w:r>
              <w:rPr>
                <w:spacing w:val="-2"/>
              </w:rPr>
              <w:t>Physical environmental risk factors and transition risks related to environmental legislation are mitigated by energy management, long-term capital investments in energy efficiency, and tenant programs focused on sustainability. More information can be found in the 2023 TCFD Report.</w:t>
            </w:r>
            <w:r>
              <w:rPr/>
              <w:t xml:space="preserve"> </w:t>
            </w:r>
            <w:r>
              <mc:AlternateContent>
                <mc:Choice Requires="wps">
                  <w:drawing>
                    <wp:anchor behindDoc="0" distT="50800" distB="0" distL="0" distR="0" simplePos="0" locked="0" layoutInCell="1" allowOverlap="1" relativeHeight="624">
                      <wp:simplePos x="0" y="0"/>
                      <wp:positionH relativeFrom="column">
                        <wp:align>left</wp:align>
                      </wp:positionH>
                      <wp:positionV relativeFrom="line">
                        <wp:align>top</wp:align>
                      </wp:positionV>
                      <wp:extent cx="114300" cy="350520"/>
                      <wp:effectExtent l="0" t="0" r="0" b="0"/>
                      <wp:wrapSquare wrapText="right"/>
                      <wp:docPr id="610" name="Frame3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14" w:type="dxa"/>
            <w:tcBorders/>
            <w:tcMar>
              <w:bottom w:w="0" w:type="dxa"/>
            </w:tcMar>
            <w:vAlign w:val="center"/>
          </w:tcPr>
          <w:p>
            <w:pPr>
              <w:pStyle w:val="TableContents"/>
              <w:bidi w:val="0"/>
              <w:spacing w:before="0" w:after="0"/>
              <w:jc w:val="left"/>
              <w:rPr/>
            </w:pPr>
            <w:r>
              <w:rPr/>
              <w:drawing>
                <wp:inline distT="0" distB="0" distL="0" distR="0">
                  <wp:extent cx="676275" cy="914400"/>
                  <wp:effectExtent l="0" t="0" r="0" b="0"/>
                  <wp:docPr id="61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225" descr=""/>
                          <pic:cNvPicPr>
                            <a:picLocks noChangeAspect="1" noChangeArrowheads="1"/>
                          </pic:cNvPicPr>
                        </pic:nvPicPr>
                        <pic:blipFill>
                          <a:blip r:embed="rId308"/>
                          <a:stretch>
                            <a:fillRect/>
                          </a:stretch>
                        </pic:blipFill>
                        <pic:spPr bwMode="auto">
                          <a:xfrm>
                            <a:off x="0" y="0"/>
                            <a:ext cx="676275" cy="9144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94" w:type="dxa"/>
            <w:tcBorders/>
            <w:tcMar>
              <w:bottom w:w="0" w:type="dxa"/>
            </w:tcMar>
            <w:vAlign w:val="center"/>
          </w:tcPr>
          <w:p>
            <w:pPr>
              <w:pStyle w:val="TableContents"/>
              <w:bidi w:val="0"/>
              <w:spacing w:lineRule="atLeast" w:line="240" w:before="0" w:after="0"/>
              <w:jc w:val="left"/>
              <w:rPr>
                <w:b/>
                <w:color w:val="83AD40"/>
                <w:sz w:val="22"/>
              </w:rPr>
            </w:pPr>
            <w:r>
              <w:rPr>
                <w:b/>
                <w:color w:val="83AD40"/>
                <w:sz w:val="22"/>
              </w:rPr>
              <w:t>Climate Strategy and Goals</w:t>
            </w:r>
          </w:p>
          <w:p>
            <w:pPr>
              <w:pStyle w:val="TableContents"/>
              <w:bidi w:val="0"/>
              <w:spacing w:lineRule="atLeast" w:line="200" w:before="140" w:after="283"/>
              <w:jc w:val="left"/>
              <w:rPr/>
            </w:pPr>
            <w:r>
              <w:rPr>
                <w:spacing w:val="-2"/>
              </w:rPr>
              <w:t>Our climate strategy ensures that our goals are outcome-driven and transparent. We deploy tactics that reduce our climate impact.</w:t>
            </w:r>
            <w:r>
              <w:rPr/>
              <w:t xml:space="preserve"> </w:t>
            </w:r>
          </w:p>
          <w:p>
            <w:pPr>
              <w:pStyle w:val="TableContents"/>
              <w:bidi w:val="0"/>
              <w:spacing w:lineRule="atLeast" w:line="180" w:before="140" w:after="283"/>
              <w:ind w:left="180" w:right="0" w:hanging="0"/>
              <w:jc w:val="left"/>
              <w:rPr/>
            </w:pPr>
            <w:r>
              <w:rPr>
                <w:spacing w:val="-2"/>
              </w:rPr>
              <w:t>1. Emissions Avoidance &amp; Capital Improvements</w:t>
            </w:r>
            <w:r>
              <w:rPr/>
              <w:t xml:space="preserve"> </w:t>
            </w:r>
          </w:p>
          <w:p>
            <w:pPr>
              <w:pStyle w:val="TableContents"/>
              <w:bidi w:val="0"/>
              <w:spacing w:lineRule="atLeast" w:line="180" w:before="140" w:after="283"/>
              <w:ind w:left="180" w:right="0" w:hanging="0"/>
              <w:jc w:val="left"/>
              <w:rPr/>
            </w:pPr>
            <w:r>
              <w:rPr>
                <w:spacing w:val="-2"/>
              </w:rPr>
              <w:t>2. Operationalizing Energy Efficiency</w:t>
            </w:r>
            <w:r>
              <w:rPr/>
              <w:t xml:space="preserve"> </w:t>
            </w:r>
          </w:p>
          <w:p>
            <w:pPr>
              <w:pStyle w:val="TableContents"/>
              <w:bidi w:val="0"/>
              <w:spacing w:lineRule="atLeast" w:line="180" w:before="140" w:after="283"/>
              <w:ind w:left="180" w:right="0" w:hanging="0"/>
              <w:jc w:val="left"/>
              <w:rPr/>
            </w:pPr>
            <w:r>
              <w:rPr>
                <w:spacing w:val="-2"/>
              </w:rPr>
              <w:t>3. Workforce Training &amp; Development</w:t>
            </w:r>
            <w:r>
              <w:rPr/>
              <w:t xml:space="preserve"> </w:t>
            </w:r>
          </w:p>
          <w:p>
            <w:pPr>
              <w:pStyle w:val="TableContents"/>
              <w:bidi w:val="0"/>
              <w:spacing w:lineRule="atLeast" w:line="180" w:before="140" w:after="283"/>
              <w:ind w:left="180" w:right="0" w:hanging="0"/>
              <w:jc w:val="left"/>
              <w:rPr/>
            </w:pPr>
            <w:r>
              <w:rPr>
                <w:spacing w:val="-2"/>
              </w:rPr>
              <w:t>4. Energy Demand Management &amp; Curtailment</w:t>
            </w:r>
            <w:r>
              <w:rPr/>
              <w:t xml:space="preserve"> </w:t>
            </w:r>
          </w:p>
          <w:p>
            <w:pPr>
              <w:pStyle w:val="TableContents"/>
              <w:bidi w:val="0"/>
              <w:spacing w:lineRule="atLeast" w:line="180" w:before="140" w:after="283"/>
              <w:ind w:left="180" w:right="0" w:hanging="0"/>
              <w:jc w:val="left"/>
              <w:rPr/>
            </w:pPr>
            <w:r>
              <w:rPr>
                <w:spacing w:val="-2"/>
              </w:rPr>
              <w:t>5. Embodied Carbon Reduction</w:t>
            </w:r>
            <w:r>
              <w:rPr/>
              <w:t xml:space="preserve"> </w:t>
            </w:r>
          </w:p>
          <w:p>
            <w:pPr>
              <w:pStyle w:val="TableContents"/>
              <w:bidi w:val="0"/>
              <w:spacing w:lineRule="atLeast" w:line="180" w:before="140" w:after="283"/>
              <w:ind w:left="180" w:right="0" w:hanging="0"/>
              <w:jc w:val="left"/>
              <w:rPr/>
            </w:pPr>
            <w:r>
              <w:rPr>
                <w:spacing w:val="-2"/>
              </w:rPr>
              <w:t>6. Renewable Energy Credits &amp; Carbon Offsets</w:t>
            </w:r>
            <w:r>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8171" w:type="dxa"/>
        <w:jc w:val="left"/>
        <w:tblInd w:w="900" w:type="dxa"/>
        <w:tblLayout w:type="fixed"/>
        <w:tblCellMar>
          <w:top w:w="0" w:type="dxa"/>
          <w:left w:w="0" w:type="dxa"/>
          <w:bottom w:w="0" w:type="dxa"/>
          <w:right w:w="0" w:type="dxa"/>
        </w:tblCellMar>
      </w:tblPr>
      <w:tblGrid>
        <w:gridCol w:w="124"/>
        <w:gridCol w:w="109"/>
        <w:gridCol w:w="767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83AD40"/>
            </w:tcBorders>
            <w:tcMar>
              <w:bottom w:w="28" w:type="dxa"/>
            </w:tcMar>
            <w:vAlign w:val="center"/>
          </w:tcPr>
          <w:p>
            <w:pPr>
              <w:pStyle w:val="TableContents"/>
              <w:bidi w:val="0"/>
              <w:spacing w:before="0" w:after="283"/>
              <w:jc w:val="left"/>
              <w:rPr/>
            </w:pPr>
            <w:r>
              <w:rPr/>
              <w:t>​</w:t>
            </w:r>
          </w:p>
        </w:tc>
        <w:tc>
          <w:tcPr>
            <w:tcW w:w="7675" w:type="dxa"/>
            <w:tcBorders>
              <w:bottom w:val="single" w:sz="16" w:space="0" w:color="83AD40"/>
            </w:tcBorders>
            <w:tcMar>
              <w:bottom w:w="132" w:type="dxa"/>
            </w:tcMar>
            <w:vAlign w:val="center"/>
          </w:tcPr>
          <w:p>
            <w:pPr>
              <w:pStyle w:val="TableContents"/>
              <w:bidi w:val="0"/>
              <w:spacing w:before="0" w:after="0"/>
              <w:jc w:val="center"/>
              <w:rPr/>
            </w:pPr>
            <w:r>
              <w:rPr/>
              <w:t>SCOPE 1, 2, AND 3—CAPITAL GOODS TARGETS:</w:t>
            </w:r>
          </w:p>
          <w:p>
            <w:pPr>
              <w:pStyle w:val="TableContents"/>
              <w:bidi w:val="0"/>
              <w:spacing w:before="40" w:after="283"/>
              <w:jc w:val="center"/>
              <w:rPr>
                <w:color w:val="83AD40"/>
              </w:rPr>
            </w:pPr>
            <w:r>
              <w:rPr>
                <w:color w:val="83AD40"/>
              </w:rPr>
              <w:t>Validated by SBTi</w:t>
            </w:r>
            <w:r>
              <w:rPr>
                <w:color w:val="000000"/>
              </w:rPr>
              <w:t>​</w:t>
            </w:r>
          </w:p>
        </w:tc>
        <w:tc>
          <w:tcPr>
            <w:tcW w:w="109" w:type="dxa"/>
            <w:tcBorders>
              <w:bottom w:val="single" w:sz="1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6" w:space="0" w:color="83AD40"/>
            </w:tcBorders>
            <w:tcMar>
              <w:bottom w:w="28" w:type="dxa"/>
            </w:tcMar>
            <w:vAlign w:val="center"/>
          </w:tcPr>
          <w:p>
            <w:pPr>
              <w:pStyle w:val="TableContents"/>
              <w:bidi w:val="0"/>
              <w:spacing w:before="0" w:after="283"/>
              <w:jc w:val="left"/>
              <w:rPr/>
            </w:pPr>
            <w:r>
              <w:rPr/>
              <w:t>​</w:t>
            </w:r>
          </w:p>
        </w:tc>
        <w:tc>
          <w:tcPr>
            <w:tcW w:w="7675" w:type="dxa"/>
            <w:tcBorders>
              <w:bottom w:val="single" w:sz="16" w:space="0" w:color="83AD40"/>
            </w:tcBorders>
            <w:tcMar>
              <w:bottom w:w="132" w:type="dxa"/>
            </w:tcMar>
            <w:vAlign w:val="center"/>
          </w:tcPr>
          <w:p>
            <w:pPr>
              <w:pStyle w:val="TableContents"/>
              <w:bidi w:val="0"/>
              <w:spacing w:before="0" w:after="0"/>
              <w:jc w:val="left"/>
              <w:rPr>
                <w:b/>
              </w:rPr>
            </w:pPr>
            <w:r>
              <w:rPr>
                <w:b/>
                <w:color w:val="83AD40"/>
              </w:rPr>
              <w:t>2023</w:t>
            </w:r>
            <w:r>
              <w:rPr>
                <w:b w:val="false"/>
                <w:spacing w:val="-2"/>
              </w:rPr>
              <w:t>: SLG emissions reduction targets were validated by SBTi.</w:t>
            </w:r>
            <w:r>
              <w:rPr>
                <w:b/>
              </w:rPr>
              <w:t xml:space="preserve"> </w:t>
            </w:r>
          </w:p>
          <w:p>
            <w:pPr>
              <w:pStyle w:val="TableContents"/>
              <w:bidi w:val="0"/>
              <w:spacing w:before="120" w:after="283"/>
              <w:jc w:val="left"/>
              <w:rPr/>
            </w:pPr>
            <w:r>
              <w:rPr>
                <w:spacing w:val="-2"/>
              </w:rPr>
              <w:t xml:space="preserve">SLG is committed to reduce absolute Scope 1 and Scope 2 emissions 50.4% and </w:t>
              <w:br/>
              <w:t>Scope 3 (Capital Goods) emissions 30% by 2031 from a 2019 base year.</w:t>
            </w:r>
            <w:r>
              <w:rPr/>
              <w:t xml:space="preserve"> </w:t>
            </w:r>
          </w:p>
        </w:tc>
        <w:tc>
          <w:tcPr>
            <w:tcW w:w="109" w:type="dxa"/>
            <w:tcBorders>
              <w:bottom w:val="single" w:sz="16"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900" w:right="0" w:hanging="0"/>
        <w:jc w:val="left"/>
        <w:rPr>
          <w:caps w:val="false"/>
          <w:smallCaps w:val="false"/>
          <w:color w:val="000000"/>
          <w:bdr w:val="single" w:sz="8" w:space="1" w:color="83AD40"/>
        </w:rPr>
      </w:pPr>
      <w:r>
        <w:rPr>
          <w:caps w:val="false"/>
          <w:smallCaps w:val="false"/>
          <w:color w:val="000000"/>
          <w:bdr w:val="single" w:sz="8" w:space="1" w:color="83AD4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611"/>
        <w:gridCol w:w="109"/>
        <w:gridCol w:w="109"/>
        <w:gridCol w:w="7197"/>
        <w:gridCol w:w="155"/>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611" w:type="dxa"/>
            <w:tcBorders>
              <w:bottom w:val="single" w:sz="6" w:space="0" w:color="83AD40"/>
            </w:tcBorders>
            <w:vAlign w:val="center"/>
          </w:tcPr>
          <w:p>
            <w:pPr>
              <w:pStyle w:val="TableContents"/>
              <w:bidi w:val="0"/>
              <w:spacing w:before="0" w:after="0"/>
              <w:jc w:val="left"/>
              <w:rPr/>
            </w:pPr>
            <w:r>
              <w:rPr/>
              <w:drawing>
                <wp:inline distT="0" distB="0" distL="0" distR="0">
                  <wp:extent cx="952500" cy="847725"/>
                  <wp:effectExtent l="0" t="0" r="0" b="0"/>
                  <wp:docPr id="61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226" descr=""/>
                          <pic:cNvPicPr>
                            <a:picLocks noChangeAspect="1" noChangeArrowheads="1"/>
                          </pic:cNvPicPr>
                        </pic:nvPicPr>
                        <pic:blipFill>
                          <a:blip r:embed="rId309"/>
                          <a:stretch>
                            <a:fillRect/>
                          </a:stretch>
                        </pic:blipFill>
                        <pic:spPr bwMode="auto">
                          <a:xfrm>
                            <a:off x="0" y="0"/>
                            <a:ext cx="952500" cy="847725"/>
                          </a:xfrm>
                          <a:prstGeom prst="rect">
                            <a:avLst/>
                          </a:prstGeom>
                        </pic:spPr>
                      </pic:pic>
                    </a:graphicData>
                  </a:graphic>
                </wp:inline>
              </w:drawing>
            </w:r>
            <w:r>
              <w:rPr/>
              <w:t xml:space="preserv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7197" w:type="dxa"/>
            <w:tcBorders>
              <w:bottom w:val="single" w:sz="6" w:space="0" w:color="83AD40"/>
            </w:tcBorders>
            <w:tcMar>
              <w:bottom w:w="228" w:type="dxa"/>
            </w:tcMar>
            <w:vAlign w:val="center"/>
          </w:tcPr>
          <w:p>
            <w:pPr>
              <w:pStyle w:val="TableContents"/>
              <w:bidi w:val="0"/>
              <w:spacing w:lineRule="atLeast" w:line="260" w:before="0" w:after="0"/>
              <w:jc w:val="left"/>
              <w:rPr>
                <w:b/>
                <w:color w:val="83AD40"/>
                <w:sz w:val="22"/>
              </w:rPr>
            </w:pPr>
            <w:r>
              <w:rPr>
                <w:b/>
                <w:color w:val="83AD40"/>
                <w:sz w:val="22"/>
              </w:rPr>
              <w:t>Human Capital Management</w:t>
            </w:r>
          </w:p>
          <w:p>
            <w:pPr>
              <w:pStyle w:val="TableContents"/>
              <w:bidi w:val="0"/>
              <w:spacing w:lineRule="atLeast" w:line="220" w:before="160" w:after="0"/>
              <w:ind w:left="180" w:right="0" w:hanging="0"/>
              <w:jc w:val="left"/>
              <w:rPr/>
            </w:pPr>
            <w:r>
              <w:rPr>
                <w:spacing w:val="-2"/>
              </w:rPr>
              <w:t>Certified as a Great Place to Work with 92% of SL Green employees indicating they are proud to work for SL Green in a 2023 employee engagement survey</w:t>
            </w:r>
            <w:r>
              <w:rPr/>
              <w:t xml:space="preserve"> </w:t>
            </w:r>
            <w:r>
              <mc:AlternateContent>
                <mc:Choice Requires="wps">
                  <w:drawing>
                    <wp:anchor behindDoc="0" distT="101600" distB="0" distL="0" distR="0" simplePos="0" locked="0" layoutInCell="1" allowOverlap="1" relativeHeight="625">
                      <wp:simplePos x="0" y="0"/>
                      <wp:positionH relativeFrom="column">
                        <wp:align>left</wp:align>
                      </wp:positionH>
                      <wp:positionV relativeFrom="line">
                        <wp:align>top</wp:align>
                      </wp:positionV>
                      <wp:extent cx="114300" cy="350520"/>
                      <wp:effectExtent l="0" t="0" r="0" b="0"/>
                      <wp:wrapSquare wrapText="right"/>
                      <wp:docPr id="613" name="Frame3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40% of employees have worked at SL Green for &gt;7 years, and 62% of open corporate management positions were filled by internal promotions</w:t>
            </w:r>
            <w:r>
              <w:rPr/>
              <w:t xml:space="preserve"> </w:t>
            </w:r>
            <w:r>
              <mc:AlternateContent>
                <mc:Choice Requires="wps">
                  <w:drawing>
                    <wp:anchor behindDoc="0" distT="63500" distB="0" distL="0" distR="0" simplePos="0" locked="0" layoutInCell="1" allowOverlap="1" relativeHeight="626">
                      <wp:simplePos x="0" y="0"/>
                      <wp:positionH relativeFrom="column">
                        <wp:align>left</wp:align>
                      </wp:positionH>
                      <wp:positionV relativeFrom="line">
                        <wp:align>top</wp:align>
                      </wp:positionV>
                      <wp:extent cx="114300" cy="350520"/>
                      <wp:effectExtent l="0" t="0" r="0" b="0"/>
                      <wp:wrapSquare wrapText="right"/>
                      <wp:docPr id="614" name="Frame31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Market-leading benefits program spanning healthcare, 401(k) match, employee stock purchase plan, disability and advanced fertility coverage, wellness and life insurance</w:t>
            </w:r>
            <w:r>
              <w:rPr/>
              <w:t xml:space="preserve"> </w:t>
            </w:r>
            <w:r>
              <mc:AlternateContent>
                <mc:Choice Requires="wps">
                  <w:drawing>
                    <wp:anchor behindDoc="0" distT="63500" distB="0" distL="0" distR="0" simplePos="0" locked="0" layoutInCell="1" allowOverlap="1" relativeHeight="627">
                      <wp:simplePos x="0" y="0"/>
                      <wp:positionH relativeFrom="column">
                        <wp:align>left</wp:align>
                      </wp:positionH>
                      <wp:positionV relativeFrom="line">
                        <wp:align>top</wp:align>
                      </wp:positionV>
                      <wp:extent cx="114300" cy="350520"/>
                      <wp:effectExtent l="0" t="0" r="0" b="0"/>
                      <wp:wrapSquare wrapText="right"/>
                      <wp:docPr id="615" name="Frame3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Investments in human capital development through training programs, tuition reimbursement and ongoing education</w:t>
            </w:r>
            <w:r>
              <w:rPr/>
              <w:t xml:space="preserve"> </w:t>
            </w:r>
            <w:r>
              <mc:AlternateContent>
                <mc:Choice Requires="wps">
                  <w:drawing>
                    <wp:anchor behindDoc="0" distT="63500" distB="0" distL="0" distR="0" simplePos="0" locked="0" layoutInCell="1" allowOverlap="1" relativeHeight="628">
                      <wp:simplePos x="0" y="0"/>
                      <wp:positionH relativeFrom="column">
                        <wp:align>left</wp:align>
                      </wp:positionH>
                      <wp:positionV relativeFrom="line">
                        <wp:align>top</wp:align>
                      </wp:positionV>
                      <wp:extent cx="114300" cy="350520"/>
                      <wp:effectExtent l="0" t="0" r="0" b="0"/>
                      <wp:wrapSquare wrapText="right"/>
                      <wp:docPr id="616" name="Frame3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Zero tolerance, anti-discrimination and anti-harassment policies and training</w:t>
            </w:r>
            <w:r>
              <w:rPr/>
              <w:t xml:space="preserve"> </w:t>
            </w:r>
            <w:r>
              <mc:AlternateContent>
                <mc:Choice Requires="wps">
                  <w:drawing>
                    <wp:anchor behindDoc="0" distT="63500" distB="0" distL="0" distR="0" simplePos="0" locked="0" layoutInCell="1" allowOverlap="1" relativeHeight="629">
                      <wp:simplePos x="0" y="0"/>
                      <wp:positionH relativeFrom="column">
                        <wp:align>left</wp:align>
                      </wp:positionH>
                      <wp:positionV relativeFrom="line">
                        <wp:align>top</wp:align>
                      </wp:positionV>
                      <wp:extent cx="114300" cy="350520"/>
                      <wp:effectExtent l="0" t="0" r="0" b="0"/>
                      <wp:wrapSquare wrapText="right"/>
                      <wp:docPr id="617" name="Frame3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Racial minorities represent 59% and women represent 41% of all SL Green employees in 2023</w:t>
            </w:r>
            <w:r>
              <w:rPr/>
              <w:t xml:space="preserve"> </w:t>
            </w:r>
            <w:r>
              <mc:AlternateContent>
                <mc:Choice Requires="wps">
                  <w:drawing>
                    <wp:anchor behindDoc="0" distT="63500" distB="0" distL="0" distR="0" simplePos="0" locked="0" layoutInCell="1" allowOverlap="1" relativeHeight="631">
                      <wp:simplePos x="0" y="0"/>
                      <wp:positionH relativeFrom="column">
                        <wp:align>left</wp:align>
                      </wp:positionH>
                      <wp:positionV relativeFrom="line">
                        <wp:align>top</wp:align>
                      </wp:positionV>
                      <wp:extent cx="114300" cy="350520"/>
                      <wp:effectExtent l="0" t="0" r="0" b="0"/>
                      <wp:wrapSquare wrapText="right"/>
                      <wp:docPr id="618" name="Frame3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Implemented a diversity focused recruitment platform in 2023; 69% of all 2023 new hires identify as racially diverse </w:t>
            </w:r>
            <w:r>
              <mc:AlternateContent>
                <mc:Choice Requires="wps">
                  <w:drawing>
                    <wp:anchor behindDoc="0" distT="63500" distB="0" distL="0" distR="0" simplePos="0" locked="0" layoutInCell="1" allowOverlap="1" relativeHeight="630">
                      <wp:simplePos x="0" y="0"/>
                      <wp:positionH relativeFrom="column">
                        <wp:align>left</wp:align>
                      </wp:positionH>
                      <wp:positionV relativeFrom="line">
                        <wp:align>top</wp:align>
                      </wp:positionV>
                      <wp:extent cx="114300" cy="350520"/>
                      <wp:effectExtent l="0" t="0" r="0" b="0"/>
                      <wp:wrapSquare wrapText="right"/>
                      <wp:docPr id="619" name="Frame3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vAlign w:val="center"/>
          </w:tcPr>
          <w:p>
            <w:pPr>
              <w:pStyle w:val="TableContents"/>
              <w:bidi w:val="0"/>
              <w:spacing w:before="0" w:after="283"/>
              <w:jc w:val="left"/>
              <w:rPr/>
            </w:pPr>
            <w:r>
              <w:rPr/>
              <w:t>​</w:t>
            </w:r>
          </w:p>
        </w:tc>
      </w:tr>
      <w:tr>
        <w:trPr/>
        <w:tc>
          <w:tcPr>
            <w:tcW w:w="124" w:type="dxa"/>
            <w:tcBorders>
              <w:bottom w:val="single" w:sz="2" w:space="0" w:color="83AD40"/>
            </w:tcBorders>
            <w:vAlign w:val="center"/>
          </w:tcPr>
          <w:p>
            <w:pPr>
              <w:pStyle w:val="TableContents"/>
              <w:bidi w:val="0"/>
              <w:spacing w:before="0" w:after="283"/>
              <w:jc w:val="left"/>
              <w:rPr/>
            </w:pPr>
            <w:r>
              <w:rPr/>
              <w:t>​</w:t>
            </w:r>
          </w:p>
        </w:tc>
        <w:tc>
          <w:tcPr>
            <w:tcW w:w="1611" w:type="dxa"/>
            <w:tcBorders>
              <w:bottom w:val="single" w:sz="2" w:space="0" w:color="83AD40"/>
            </w:tcBorders>
            <w:vAlign w:val="center"/>
          </w:tcPr>
          <w:p>
            <w:pPr>
              <w:pStyle w:val="TableContents"/>
              <w:bidi w:val="0"/>
              <w:spacing w:before="0" w:after="0"/>
              <w:jc w:val="left"/>
              <w:rPr/>
            </w:pPr>
            <w:r>
              <w:rPr/>
              <w:drawing>
                <wp:inline distT="0" distB="0" distL="0" distR="0">
                  <wp:extent cx="962025" cy="942975"/>
                  <wp:effectExtent l="0" t="0" r="0" b="0"/>
                  <wp:docPr id="62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27" descr=""/>
                          <pic:cNvPicPr>
                            <a:picLocks noChangeAspect="1" noChangeArrowheads="1"/>
                          </pic:cNvPicPr>
                        </pic:nvPicPr>
                        <pic:blipFill>
                          <a:blip r:embed="rId310"/>
                          <a:stretch>
                            <a:fillRect/>
                          </a:stretch>
                        </pic:blipFill>
                        <pic:spPr bwMode="auto">
                          <a:xfrm>
                            <a:off x="0" y="0"/>
                            <a:ext cx="962025" cy="942975"/>
                          </a:xfrm>
                          <a:prstGeom prst="rect">
                            <a:avLst/>
                          </a:prstGeom>
                        </pic:spPr>
                      </pic:pic>
                    </a:graphicData>
                  </a:graphic>
                </wp:inline>
              </w:drawing>
            </w:r>
            <w:r>
              <w:rPr/>
              <w:t xml:space="preserve"> </w:t>
            </w:r>
          </w:p>
        </w:tc>
        <w:tc>
          <w:tcPr>
            <w:tcW w:w="109" w:type="dxa"/>
            <w:tcBorders>
              <w:bottom w:val="single" w:sz="2" w:space="0" w:color="83AD40"/>
            </w:tcBorders>
            <w:vAlign w:val="center"/>
          </w:tcPr>
          <w:p>
            <w:pPr>
              <w:pStyle w:val="TableContents"/>
              <w:bidi w:val="0"/>
              <w:spacing w:before="0" w:after="283"/>
              <w:jc w:val="left"/>
              <w:rPr/>
            </w:pPr>
            <w:r>
              <w:rPr/>
              <w:t>​</w:t>
            </w:r>
          </w:p>
        </w:tc>
        <w:tc>
          <w:tcPr>
            <w:tcW w:w="109" w:type="dxa"/>
            <w:tcBorders>
              <w:bottom w:val="single" w:sz="2" w:space="0" w:color="83AD40"/>
            </w:tcBorders>
            <w:vAlign w:val="center"/>
          </w:tcPr>
          <w:p>
            <w:pPr>
              <w:pStyle w:val="TableContents"/>
              <w:bidi w:val="0"/>
              <w:spacing w:before="0" w:after="283"/>
              <w:jc w:val="left"/>
              <w:rPr/>
            </w:pPr>
            <w:r>
              <w:rPr/>
              <w:t>​</w:t>
            </w:r>
          </w:p>
        </w:tc>
        <w:tc>
          <w:tcPr>
            <w:tcW w:w="7197" w:type="dxa"/>
            <w:tcBorders>
              <w:bottom w:val="single" w:sz="2" w:space="0" w:color="83AD40"/>
            </w:tcBorders>
            <w:tcMar>
              <w:bottom w:w="228" w:type="dxa"/>
            </w:tcMar>
            <w:vAlign w:val="center"/>
          </w:tcPr>
          <w:p>
            <w:pPr>
              <w:pStyle w:val="TableContents"/>
              <w:bidi w:val="0"/>
              <w:spacing w:lineRule="atLeast" w:line="260" w:before="0" w:after="0"/>
              <w:jc w:val="left"/>
              <w:rPr>
                <w:b/>
                <w:color w:val="83AD40"/>
                <w:sz w:val="22"/>
              </w:rPr>
            </w:pPr>
            <w:r>
              <w:rPr>
                <w:b/>
                <w:color w:val="83AD40"/>
                <w:sz w:val="22"/>
              </w:rPr>
              <w:t>Corporate Philanthropy</w:t>
            </w:r>
          </w:p>
          <w:p>
            <w:pPr>
              <w:pStyle w:val="TableContents"/>
              <w:bidi w:val="0"/>
              <w:spacing w:lineRule="atLeast" w:line="220" w:before="160" w:after="0"/>
              <w:ind w:left="180" w:right="0" w:hanging="0"/>
              <w:jc w:val="left"/>
              <w:rPr/>
            </w:pPr>
            <w:r>
              <w:rPr>
                <w:spacing w:val="-2"/>
              </w:rPr>
              <w:t>Over $23M in financial support contributed to over 500 charitable organizations in New York City and beyond over the past 11 years</w:t>
            </w:r>
            <w:r>
              <w:rPr/>
              <w:t xml:space="preserve"> </w:t>
            </w:r>
            <w:r>
              <mc:AlternateContent>
                <mc:Choice Requires="wps">
                  <w:drawing>
                    <wp:anchor behindDoc="0" distT="101600" distB="0" distL="0" distR="0" simplePos="0" locked="0" layoutInCell="1" allowOverlap="1" relativeHeight="632">
                      <wp:simplePos x="0" y="0"/>
                      <wp:positionH relativeFrom="column">
                        <wp:align>left</wp:align>
                      </wp:positionH>
                      <wp:positionV relativeFrom="line">
                        <wp:align>top</wp:align>
                      </wp:positionV>
                      <wp:extent cx="114300" cy="350520"/>
                      <wp:effectExtent l="0" t="0" r="0" b="0"/>
                      <wp:wrapSquare wrapText="right"/>
                      <wp:docPr id="621" name="Frame3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Co-founded FOOD1st to address NYC food insecurity; delivered over 1,000,000 meals since April 2020</w:t>
            </w:r>
            <w:r>
              <w:rPr/>
              <w:t xml:space="preserve"> </w:t>
            </w:r>
            <w:r>
              <mc:AlternateContent>
                <mc:Choice Requires="wps">
                  <w:drawing>
                    <wp:anchor behindDoc="0" distT="63500" distB="0" distL="0" distR="0" simplePos="0" locked="0" layoutInCell="1" allowOverlap="1" relativeHeight="633">
                      <wp:simplePos x="0" y="0"/>
                      <wp:positionH relativeFrom="column">
                        <wp:align>left</wp:align>
                      </wp:positionH>
                      <wp:positionV relativeFrom="line">
                        <wp:align>top</wp:align>
                      </wp:positionV>
                      <wp:extent cx="114300" cy="350520"/>
                      <wp:effectExtent l="0" t="0" r="0" b="0"/>
                      <wp:wrapSquare wrapText="right"/>
                      <wp:docPr id="622" name="Frame3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Under the Governor’s Committee on Scholastic Achievement, a non-for-profit that connects high school students from underperforming New York communities with corporate mentors, SL Green employees volunteer as mentors, intended to provide local high school students with the knowledge of what is required to succeed in the “real world.”</w:t>
            </w:r>
            <w:r>
              <w:rPr/>
              <w:t xml:space="preserve"> </w:t>
            </w:r>
            <w:r>
              <mc:AlternateContent>
                <mc:Choice Requires="wps">
                  <w:drawing>
                    <wp:anchor behindDoc="0" distT="63500" distB="0" distL="0" distR="0" simplePos="0" locked="0" layoutInCell="1" allowOverlap="1" relativeHeight="634">
                      <wp:simplePos x="0" y="0"/>
                      <wp:positionH relativeFrom="column">
                        <wp:align>left</wp:align>
                      </wp:positionH>
                      <wp:positionV relativeFrom="line">
                        <wp:align>top</wp:align>
                      </wp:positionV>
                      <wp:extent cx="114300" cy="350520"/>
                      <wp:effectExtent l="0" t="0" r="0" b="0"/>
                      <wp:wrapSquare wrapText="right"/>
                      <wp:docPr id="623" name="Frame3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Ongoing donation of one percent of gross ticket sales at SUMMIT, One Vanderbilt’s immersive observatory experience, to New York focused charities through the SUMMIT Foundation</w:t>
            </w:r>
            <w:r>
              <w:rPr/>
              <w:t xml:space="preserve"> </w:t>
            </w:r>
            <w:r>
              <mc:AlternateContent>
                <mc:Choice Requires="wps">
                  <w:drawing>
                    <wp:anchor behindDoc="0" distT="63500" distB="0" distL="0" distR="0" simplePos="0" locked="0" layoutInCell="1" allowOverlap="1" relativeHeight="635">
                      <wp:simplePos x="0" y="0"/>
                      <wp:positionH relativeFrom="column">
                        <wp:align>left</wp:align>
                      </wp:positionH>
                      <wp:positionV relativeFrom="line">
                        <wp:align>top</wp:align>
                      </wp:positionV>
                      <wp:extent cx="114300" cy="350520"/>
                      <wp:effectExtent l="0" t="0" r="0" b="0"/>
                      <wp:wrapSquare wrapText="right"/>
                      <wp:docPr id="624" name="Frame3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83AD40"/>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Governance Principles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 including the Investor Stewardship Group (ISG) and the ISG Corporate Governance Principles.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Code of Ethics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adopted a Code of Ethics that applies to our directors, executive officers and employees. The Code of Ethics is available on our website at https://slgreen.gcs-web.com/corporate-governance.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at the address listed above, any amendment to, or waiver of, any provisions of this Code applicable to our directors and executive officers that would otherwise be required to be disclosed under the rules of the SEC or the NYSE.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Whistleblowing and Whistleblower Protection Policy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Whistleblowing and Whistleblower Protection Policy pursuant to which our employees must report if they observe, suspect or become aware of a violation of applicable laws, regulations, or business ethics standards, and pursuant to which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New York, New York 10017-3852. Any such communications may be made anonymously.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Additional Information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You are encouraged to visit the “Investors—Corporate Governance” section of our corporate website at 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New York, New York 10017-3852, Attention: Investor Relations.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Lobbying, Political Contributions and Trade Associations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Company believes that participation in the public policy process is an important and essential means of enhancing stockholder value. Our efforts in this area are directly overseen by our chief executive officer and reviewed periodically by the full Board and on an ongoing basis by our legal department to ensure compliance with applicable laws.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CO"/>
      <w:bookmarkEnd w:id="13"/>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DIRECTOR COMPENSATION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Director Compensation Process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review our director compensation annually, including engagement of FTI Consulting to evaluate the structure and competitiveness of our non-employee director compensation and recommend changes as appropriate. Based on these reviews, since 2019, we have reduced the value of the annual stock grant to directors by $65,000, or 21.7%, from $300,000 to $235,000, and reduced the cash retainer paid for serving as our Lead Independent Director by $15,000, or 17.6%, from $85,000 to $70,000.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Most recently, in December 2023, the Compensation Committee again conducted a full review of our director compensation in consultation with FTI Consulting. No changes were implemented as a result of that review.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Elements of Director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Only non-employee Directors are compensated for service on the Board. During the fiscal year ended December 31, 2023, the fees for non-employee Directors were: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70" w:type="dxa"/>
          <w:right w:w="0" w:type="dxa"/>
        </w:tblCellMar>
      </w:tblPr>
      <w:tblGrid>
        <w:gridCol w:w="7603"/>
        <w:gridCol w:w="109"/>
        <w:gridCol w:w="109"/>
        <w:gridCol w:w="109"/>
        <w:gridCol w:w="226"/>
        <w:gridCol w:w="886"/>
        <w:gridCol w:w="109"/>
        <w:gridCol w:w="154"/>
      </w:tblGrid>
      <w:tr>
        <w:trPr/>
        <w:tc>
          <w:tcPr>
            <w:tcW w:w="7603" w:type="dxa"/>
            <w:tcBorders>
              <w:bottom w:val="single" w:sz="2" w:space="0" w:color="1F2668"/>
            </w:tcBorders>
            <w:vAlign w:val="center"/>
          </w:tcPr>
          <w:p>
            <w:pPr>
              <w:pStyle w:val="TableContents"/>
              <w:bidi w:val="0"/>
              <w:spacing w:before="0" w:after="0"/>
              <w:jc w:val="left"/>
              <w:rPr>
                <w:spacing w:val="2"/>
              </w:rPr>
            </w:pPr>
            <w:r>
              <w:rPr>
                <w:spacing w:val="2"/>
              </w:rPr>
              <w:t xml:space="preserve">Annual cash retainers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28" w:type="dxa"/>
            </w:tcMar>
            <w:vAlign w:val="center"/>
          </w:tcPr>
          <w:p>
            <w:pPr>
              <w:pStyle w:val="TableContents"/>
              <w:bidi w:val="0"/>
              <w:spacing w:before="0" w:after="283"/>
              <w:jc w:val="right"/>
              <w:rPr/>
            </w:pPr>
            <w:r>
              <w:rPr/>
              <w:t>​</w:t>
            </w:r>
          </w:p>
        </w:tc>
        <w:tc>
          <w:tcPr>
            <w:tcW w:w="886" w:type="dxa"/>
            <w:tcBorders>
              <w:bottom w:val="single" w:sz="2" w:space="0" w:color="1F2668"/>
            </w:tcBorders>
            <w:tcMar>
              <w:bottom w:w="28"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Cash retainer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the Lead Independent Director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25,000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Compensation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20,000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Additional cash retainer if serving as a chair of the Corporate Governance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pPr>
            <w:r>
              <w:rPr/>
              <w:t>Meeting fees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For each meeting of the Board or a committee of the Board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1,500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spacing w:val="-2"/>
              </w:rPr>
            </w:pPr>
            <w:r>
              <w:rPr>
                <w:spacing w:val="-2"/>
              </w:rPr>
              <w:t xml:space="preserve">For each special meeting of the Audit Committee held independently of Board meetings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4,000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4B5088"/>
            </w:tcBorders>
            <w:vAlign w:val="center"/>
          </w:tcPr>
          <w:p>
            <w:pPr>
              <w:pStyle w:val="TableContents"/>
              <w:bidi w:val="0"/>
              <w:spacing w:before="0" w:after="283"/>
              <w:jc w:val="left"/>
              <w:rPr/>
            </w:pPr>
            <w:r>
              <w:rPr/>
              <w:t>Stock grant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886" w:type="dxa"/>
            <w:tcBorders>
              <w:bottom w:val="single" w:sz="2" w:space="0" w:color="4B5088"/>
            </w:tcBorders>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603" w:type="dxa"/>
            <w:tcBorders>
              <w:bottom w:val="single" w:sz="2" w:space="0" w:color="1F2668"/>
            </w:tcBorders>
            <w:vAlign w:val="center"/>
          </w:tcPr>
          <w:p>
            <w:pPr>
              <w:pStyle w:val="TableContents"/>
              <w:bidi w:val="0"/>
              <w:spacing w:before="0" w:after="283"/>
              <w:jc w:val="left"/>
              <w:rPr>
                <w:spacing w:val="-2"/>
              </w:rPr>
            </w:pPr>
            <w:r>
              <w:rPr>
                <w:spacing w:val="-2"/>
              </w:rPr>
              <w:t xml:space="preserve">Valued at the grant date with shares fully vested on such 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886" w:type="dxa"/>
            <w:tcBorders>
              <w:bottom w:val="single" w:sz="2" w:space="0" w:color="1F2668"/>
            </w:tcBorders>
            <w:vAlign w:val="center"/>
          </w:tcPr>
          <w:p>
            <w:pPr>
              <w:pStyle w:val="TableContents"/>
              <w:bidi w:val="0"/>
              <w:spacing w:before="0" w:after="283"/>
              <w:jc w:val="right"/>
              <w:rPr/>
            </w:pPr>
            <w:r>
              <w:rPr/>
              <w:t>235,000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6"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annual fees and meeting fees generally are payable quarterly in cash. Each director may elect to receive some or all of these fees in stock and, as noted below, may elect to defer some or all of these fees.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a 30-day SOFR-based rate at the beginning of each month plus 2.10%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103" w:type="dxa"/>
        <w:jc w:val="left"/>
        <w:tblInd w:w="900" w:type="dxa"/>
        <w:tblLayout w:type="fixed"/>
        <w:tblCellMar>
          <w:top w:w="0" w:type="dxa"/>
          <w:left w:w="0" w:type="dxa"/>
          <w:bottom w:w="0" w:type="dxa"/>
          <w:right w:w="0" w:type="dxa"/>
        </w:tblCellMar>
      </w:tblPr>
      <w:tblGrid>
        <w:gridCol w:w="124"/>
        <w:gridCol w:w="726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261" w:type="dxa"/>
            <w:tcBorders/>
            <w:vAlign w:val="center"/>
          </w:tcPr>
          <w:p>
            <w:pPr>
              <w:pStyle w:val="TableContents"/>
              <w:bidi w:val="0"/>
              <w:spacing w:lineRule="atLeast" w:line="200" w:before="0" w:after="0"/>
              <w:jc w:val="left"/>
              <w:rPr/>
            </w:pPr>
            <w:r>
              <w:rPr/>
              <w:t>OUR BOARD OF DIRECTORS AND CORPORATE GOVERNANCE</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39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Director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2023.</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1432"/>
        <w:gridCol w:w="109"/>
        <w:gridCol w:w="109"/>
        <w:gridCol w:w="115"/>
        <w:gridCol w:w="239"/>
        <w:gridCol w:w="939"/>
        <w:gridCol w:w="115"/>
        <w:gridCol w:w="109"/>
        <w:gridCol w:w="109"/>
        <w:gridCol w:w="116"/>
        <w:gridCol w:w="241"/>
        <w:gridCol w:w="947"/>
        <w:gridCol w:w="116"/>
        <w:gridCol w:w="109"/>
        <w:gridCol w:w="109"/>
        <w:gridCol w:w="151"/>
        <w:gridCol w:w="151"/>
        <w:gridCol w:w="482"/>
        <w:gridCol w:w="152"/>
        <w:gridCol w:w="109"/>
        <w:gridCol w:w="109"/>
        <w:gridCol w:w="109"/>
        <w:gridCol w:w="227"/>
        <w:gridCol w:w="1062"/>
        <w:gridCol w:w="109"/>
        <w:gridCol w:w="109"/>
        <w:gridCol w:w="109"/>
        <w:gridCol w:w="109"/>
        <w:gridCol w:w="226"/>
        <w:gridCol w:w="903"/>
        <w:gridCol w:w="109"/>
        <w:gridCol w:w="165"/>
      </w:tblGrid>
      <w:tr>
        <w:trPr/>
        <w:tc>
          <w:tcPr>
            <w:tcW w:w="1432" w:type="dxa"/>
            <w:tcBorders>
              <w:bottom w:val="single" w:sz="2" w:space="0" w:color="1F2668"/>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Fees Earned or </w:t>
              <w:br/>
              <w:t>Paid in Cash</w:t>
            </w:r>
            <w:r>
              <w:rPr>
                <w:spacing w:val="1"/>
                <w:sz w:val="10"/>
              </w:rPr>
              <w:t>(1)</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0" w:type="dxa"/>
            <w:gridSpan w:val="4"/>
            <w:tcBorders>
              <w:bottom w:val="single" w:sz="2" w:space="0" w:color="1F2668"/>
            </w:tcBorders>
            <w:vAlign w:val="center"/>
          </w:tcPr>
          <w:p>
            <w:pPr>
              <w:pStyle w:val="TableContents"/>
              <w:bidi w:val="0"/>
              <w:spacing w:lineRule="atLeast" w:line="142" w:before="0" w:after="0"/>
              <w:jc w:val="right"/>
              <w:rPr/>
            </w:pPr>
            <w:r>
              <w:rPr>
                <w:spacing w:val="2"/>
              </w:rPr>
              <w:t>Stock Awards</w:t>
            </w:r>
            <w:r>
              <w:rPr>
                <w:spacing w:val="1"/>
                <w:sz w:val="10"/>
              </w:rPr>
              <w:t>(2)</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6"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Option </w:t>
              <w:br/>
              <w:t>Awards</w:t>
            </w:r>
            <w:r>
              <w:rPr>
                <w:spacing w:val="1"/>
                <w:sz w:val="10"/>
              </w:rPr>
              <w:t>(3)</w:t>
            </w:r>
            <w:r>
              <w:rPr/>
              <w:t xml:space="preserve"> </w:t>
              <w:br/>
            </w:r>
            <w:r>
              <w:rPr>
                <w:spacing w:val="2"/>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7" w:type="dxa"/>
            <w:gridSpan w:val="4"/>
            <w:tcBorders>
              <w:bottom w:val="single" w:sz="2" w:space="0" w:color="1F2668"/>
            </w:tcBorders>
            <w:vAlign w:val="center"/>
          </w:tcPr>
          <w:p>
            <w:pPr>
              <w:pStyle w:val="TableContents"/>
              <w:bidi w:val="0"/>
              <w:spacing w:before="0" w:after="0"/>
              <w:jc w:val="right"/>
              <w:rPr/>
            </w:pPr>
            <w:r>
              <w:rPr>
                <w:spacing w:val="2"/>
              </w:rPr>
              <w:t xml:space="preserve">All Other </w:t>
              <w:br/>
              <w:t xml:space="preserve">Compensation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7" w:type="dxa"/>
            <w:gridSpan w:val="4"/>
            <w:tcBorders>
              <w:bottom w:val="single" w:sz="2" w:space="0" w:color="1F2668"/>
            </w:tcBorders>
            <w:vAlign w:val="center"/>
          </w:tcPr>
          <w:p>
            <w:pPr>
              <w:pStyle w:val="TableContents"/>
              <w:bidi w:val="0"/>
              <w:spacing w:before="0" w:after="0"/>
              <w:jc w:val="right"/>
              <w:rPr/>
            </w:pPr>
            <w:r>
              <w:rPr>
                <w:spacing w:val="2"/>
              </w:rPr>
              <w:t xml:space="preserve">Total </w:t>
              <w:br/>
              <w:t>($)</w:t>
            </w:r>
            <w:r>
              <w:rPr/>
              <w:t xml:space="preserve"> </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John H. Alschuler</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79,500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314,500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Betsy S. Atkins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75,500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310,500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Carol N. Brown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63,500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298,500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Edwin T. Burton, III</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100,500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335,500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Lauren B. Dillard</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131,500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366,500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Stephen L. Green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59,000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216,672</w:t>
            </w:r>
            <w:r>
              <w:rPr>
                <w:sz w:val="11"/>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 xml:space="preserve">510,672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Craig M. Hatkoff</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239" w:type="dxa"/>
            <w:tcBorders>
              <w:bottom w:val="single" w:sz="2" w:space="0" w:color="4B5088"/>
            </w:tcBorders>
            <w:tcMar>
              <w:bottom w:w="70" w:type="dxa"/>
            </w:tcMar>
            <w:vAlign w:val="center"/>
          </w:tcPr>
          <w:p>
            <w:pPr>
              <w:pStyle w:val="TableContents"/>
              <w:bidi w:val="0"/>
              <w:spacing w:before="0" w:after="283"/>
              <w:jc w:val="right"/>
              <w:rPr/>
            </w:pPr>
            <w:r>
              <w:rPr/>
              <w:t>$</w:t>
            </w:r>
          </w:p>
        </w:tc>
        <w:tc>
          <w:tcPr>
            <w:tcW w:w="939" w:type="dxa"/>
            <w:tcBorders>
              <w:bottom w:val="single" w:sz="2" w:space="0" w:color="4B5088"/>
            </w:tcBorders>
            <w:tcMar>
              <w:bottom w:w="70" w:type="dxa"/>
            </w:tcMar>
            <w:vAlign w:val="center"/>
          </w:tcPr>
          <w:p>
            <w:pPr>
              <w:pStyle w:val="TableContents"/>
              <w:bidi w:val="0"/>
              <w:spacing w:before="0" w:after="283"/>
              <w:jc w:val="right"/>
              <w:rPr/>
            </w:pPr>
            <w:r>
              <w:rPr/>
              <w:t>83,500</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241" w:type="dxa"/>
            <w:tcBorders>
              <w:bottom w:val="single" w:sz="2" w:space="0" w:color="4B5088"/>
            </w:tcBorders>
            <w:tcMar>
              <w:bottom w:w="70" w:type="dxa"/>
            </w:tcMar>
            <w:vAlign w:val="center"/>
          </w:tcPr>
          <w:p>
            <w:pPr>
              <w:pStyle w:val="TableContents"/>
              <w:bidi w:val="0"/>
              <w:spacing w:before="0" w:after="283"/>
              <w:jc w:val="right"/>
              <w:rPr/>
            </w:pPr>
            <w:r>
              <w:rPr/>
              <w:t>$</w:t>
            </w:r>
          </w:p>
        </w:tc>
        <w:tc>
          <w:tcPr>
            <w:tcW w:w="947" w:type="dxa"/>
            <w:tcBorders>
              <w:bottom w:val="single" w:sz="2" w:space="0" w:color="4B508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28" w:type="dxa"/>
            </w:tcMar>
            <w:vAlign w:val="center"/>
          </w:tcPr>
          <w:p>
            <w:pPr>
              <w:pStyle w:val="TableContents"/>
              <w:bidi w:val="0"/>
              <w:spacing w:before="0" w:after="283"/>
              <w:jc w:val="left"/>
              <w:rPr/>
            </w:pPr>
            <w:r>
              <w:rPr/>
              <w:t>​</w:t>
            </w:r>
          </w:p>
        </w:tc>
        <w:tc>
          <w:tcPr>
            <w:tcW w:w="151" w:type="dxa"/>
            <w:tcBorders>
              <w:bottom w:val="single" w:sz="2" w:space="0" w:color="4B5088"/>
            </w:tcBorders>
            <w:tcMar>
              <w:bottom w:w="70" w:type="dxa"/>
            </w:tcMar>
            <w:vAlign w:val="center"/>
          </w:tcPr>
          <w:p>
            <w:pPr>
              <w:pStyle w:val="TableContents"/>
              <w:bidi w:val="0"/>
              <w:spacing w:before="0" w:after="283"/>
              <w:jc w:val="right"/>
              <w:rPr/>
            </w:pPr>
            <w:r>
              <w:rPr/>
              <w:t>​</w:t>
            </w:r>
          </w:p>
        </w:tc>
        <w:tc>
          <w:tcPr>
            <w:tcW w:w="482" w:type="dxa"/>
            <w:tcBorders>
              <w:bottom w:val="single" w:sz="2" w:space="0" w:color="4B5088"/>
            </w:tcBorders>
            <w:tcMar>
              <w:bottom w:w="70" w:type="dxa"/>
            </w:tcMar>
            <w:vAlign w:val="center"/>
          </w:tcPr>
          <w:p>
            <w:pPr>
              <w:pStyle w:val="TableContents"/>
              <w:bidi w:val="0"/>
              <w:spacing w:before="0" w:after="283"/>
              <w:jc w:val="right"/>
              <w:rPr/>
            </w:pPr>
            <w:r>
              <w:rPr/>
              <w:t>—</w:t>
            </w:r>
          </w:p>
        </w:tc>
        <w:tc>
          <w:tcPr>
            <w:tcW w:w="15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7" w:type="dxa"/>
            <w:tcBorders>
              <w:bottom w:val="single" w:sz="2" w:space="0" w:color="4B5088"/>
            </w:tcBorders>
            <w:tcMar>
              <w:bottom w:w="70" w:type="dxa"/>
            </w:tcMar>
            <w:vAlign w:val="center"/>
          </w:tcPr>
          <w:p>
            <w:pPr>
              <w:pStyle w:val="TableContents"/>
              <w:bidi w:val="0"/>
              <w:spacing w:before="0" w:after="283"/>
              <w:jc w:val="right"/>
              <w:rPr/>
            </w:pPr>
            <w:r>
              <w:rPr/>
              <w:t>​</w:t>
            </w:r>
          </w:p>
        </w:tc>
        <w:tc>
          <w:tcPr>
            <w:tcW w:w="1062"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903" w:type="dxa"/>
            <w:tcBorders>
              <w:bottom w:val="single" w:sz="2" w:space="0" w:color="4B5088"/>
            </w:tcBorders>
            <w:tcMar>
              <w:bottom w:w="70" w:type="dxa"/>
            </w:tcMar>
            <w:vAlign w:val="center"/>
          </w:tcPr>
          <w:p>
            <w:pPr>
              <w:pStyle w:val="TableContents"/>
              <w:bidi w:val="0"/>
              <w:spacing w:before="0" w:after="283"/>
              <w:jc w:val="right"/>
              <w:rPr/>
            </w:pPr>
            <w:r>
              <w:rPr/>
              <w:t>318,500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2"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John S. Levy</w:t>
            </w:r>
            <w:r>
              <w:rPr>
                <w:b/>
                <w:color w:val="1F2668"/>
                <w:sz w:val="11"/>
              </w:rPr>
              <w:t>(5)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1F2668"/>
            </w:tcBorders>
            <w:tcMar>
              <w:bottom w:w="28" w:type="dxa"/>
            </w:tcMar>
            <w:vAlign w:val="center"/>
          </w:tcPr>
          <w:p>
            <w:pPr>
              <w:pStyle w:val="TableContents"/>
              <w:bidi w:val="0"/>
              <w:spacing w:before="0" w:after="283"/>
              <w:jc w:val="left"/>
              <w:rPr/>
            </w:pPr>
            <w:r>
              <w:rPr/>
              <w:t>​</w:t>
            </w:r>
          </w:p>
        </w:tc>
        <w:tc>
          <w:tcPr>
            <w:tcW w:w="239" w:type="dxa"/>
            <w:tcBorders>
              <w:bottom w:val="single" w:sz="2" w:space="0" w:color="1F2668"/>
            </w:tcBorders>
            <w:tcMar>
              <w:bottom w:w="70" w:type="dxa"/>
            </w:tcMar>
            <w:vAlign w:val="center"/>
          </w:tcPr>
          <w:p>
            <w:pPr>
              <w:pStyle w:val="TableContents"/>
              <w:bidi w:val="0"/>
              <w:spacing w:before="0" w:after="283"/>
              <w:jc w:val="right"/>
              <w:rPr/>
            </w:pPr>
            <w:r>
              <w:rPr/>
              <w:t>$</w:t>
            </w:r>
          </w:p>
        </w:tc>
        <w:tc>
          <w:tcPr>
            <w:tcW w:w="939" w:type="dxa"/>
            <w:tcBorders>
              <w:bottom w:val="single" w:sz="2" w:space="0" w:color="1F2668"/>
            </w:tcBorders>
            <w:tcMar>
              <w:bottom w:w="70" w:type="dxa"/>
            </w:tcMar>
            <w:vAlign w:val="center"/>
          </w:tcPr>
          <w:p>
            <w:pPr>
              <w:pStyle w:val="TableContents"/>
              <w:bidi w:val="0"/>
              <w:spacing w:before="0" w:after="283"/>
              <w:jc w:val="right"/>
              <w:rPr/>
            </w:pPr>
            <w:r>
              <w:rPr/>
              <w:t>28,000</w:t>
            </w:r>
          </w:p>
        </w:tc>
        <w:tc>
          <w:tcPr>
            <w:tcW w:w="115"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241" w:type="dxa"/>
            <w:tcBorders>
              <w:bottom w:val="single" w:sz="2" w:space="0" w:color="1F2668"/>
            </w:tcBorders>
            <w:tcMar>
              <w:bottom w:w="70" w:type="dxa"/>
            </w:tcMar>
            <w:vAlign w:val="center"/>
          </w:tcPr>
          <w:p>
            <w:pPr>
              <w:pStyle w:val="TableContents"/>
              <w:bidi w:val="0"/>
              <w:spacing w:before="0" w:after="283"/>
              <w:jc w:val="right"/>
              <w:rPr/>
            </w:pPr>
            <w:r>
              <w:rPr/>
              <w:t>$</w:t>
            </w:r>
          </w:p>
        </w:tc>
        <w:tc>
          <w:tcPr>
            <w:tcW w:w="947" w:type="dxa"/>
            <w:tcBorders>
              <w:bottom w:val="single" w:sz="2" w:space="0" w:color="1F2668"/>
            </w:tcBorders>
            <w:tcMar>
              <w:bottom w:w="70" w:type="dxa"/>
            </w:tcMar>
            <w:vAlign w:val="center"/>
          </w:tcPr>
          <w:p>
            <w:pPr>
              <w:pStyle w:val="TableContents"/>
              <w:bidi w:val="0"/>
              <w:spacing w:before="0" w:after="283"/>
              <w:jc w:val="right"/>
              <w:rPr/>
            </w:pPr>
            <w:r>
              <w:rPr/>
              <w:t>235,000</w:t>
            </w:r>
          </w:p>
        </w:tc>
        <w:tc>
          <w:tcPr>
            <w:tcW w:w="116"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 w:type="dxa"/>
            <w:tcBorders>
              <w:bottom w:val="single" w:sz="2" w:space="0" w:color="1F2668"/>
            </w:tcBorders>
            <w:tcMar>
              <w:bottom w:w="28" w:type="dxa"/>
            </w:tcMar>
            <w:vAlign w:val="center"/>
          </w:tcPr>
          <w:p>
            <w:pPr>
              <w:pStyle w:val="TableContents"/>
              <w:bidi w:val="0"/>
              <w:spacing w:before="0" w:after="283"/>
              <w:jc w:val="left"/>
              <w:rPr/>
            </w:pPr>
            <w:r>
              <w:rPr/>
              <w:t>​</w:t>
            </w:r>
          </w:p>
        </w:tc>
        <w:tc>
          <w:tcPr>
            <w:tcW w:w="151" w:type="dxa"/>
            <w:tcBorders>
              <w:bottom w:val="single" w:sz="2" w:space="0" w:color="1F2668"/>
            </w:tcBorders>
            <w:tcMar>
              <w:bottom w:w="70" w:type="dxa"/>
            </w:tcMar>
            <w:vAlign w:val="center"/>
          </w:tcPr>
          <w:p>
            <w:pPr>
              <w:pStyle w:val="TableContents"/>
              <w:bidi w:val="0"/>
              <w:spacing w:before="0" w:after="283"/>
              <w:jc w:val="right"/>
              <w:rPr/>
            </w:pPr>
            <w:r>
              <w:rPr/>
              <w:t>​</w:t>
            </w:r>
          </w:p>
        </w:tc>
        <w:tc>
          <w:tcPr>
            <w:tcW w:w="482" w:type="dxa"/>
            <w:tcBorders>
              <w:bottom w:val="single" w:sz="2" w:space="0" w:color="1F2668"/>
            </w:tcBorders>
            <w:tcMar>
              <w:bottom w:w="70" w:type="dxa"/>
            </w:tcMar>
            <w:vAlign w:val="center"/>
          </w:tcPr>
          <w:p>
            <w:pPr>
              <w:pStyle w:val="TableContents"/>
              <w:bidi w:val="0"/>
              <w:spacing w:before="0" w:after="283"/>
              <w:jc w:val="right"/>
              <w:rPr/>
            </w:pPr>
            <w:r>
              <w:rPr/>
              <w:t>—</w:t>
            </w:r>
          </w:p>
        </w:tc>
        <w:tc>
          <w:tcPr>
            <w:tcW w:w="15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7" w:type="dxa"/>
            <w:tcBorders>
              <w:bottom w:val="single" w:sz="2" w:space="0" w:color="1F2668"/>
            </w:tcBorders>
            <w:tcMar>
              <w:bottom w:w="70" w:type="dxa"/>
            </w:tcMar>
            <w:vAlign w:val="center"/>
          </w:tcPr>
          <w:p>
            <w:pPr>
              <w:pStyle w:val="TableContents"/>
              <w:bidi w:val="0"/>
              <w:spacing w:before="0" w:after="283"/>
              <w:jc w:val="right"/>
              <w:rPr/>
            </w:pPr>
            <w:r>
              <w:rPr/>
              <w:t>​</w:t>
            </w:r>
          </w:p>
        </w:tc>
        <w:tc>
          <w:tcPr>
            <w:tcW w:w="1062"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903" w:type="dxa"/>
            <w:tcBorders>
              <w:bottom w:val="single" w:sz="2" w:space="0" w:color="1F2668"/>
            </w:tcBorders>
            <w:tcMar>
              <w:bottom w:w="70" w:type="dxa"/>
            </w:tcMar>
            <w:vAlign w:val="center"/>
          </w:tcPr>
          <w:p>
            <w:pPr>
              <w:pStyle w:val="TableContents"/>
              <w:bidi w:val="0"/>
              <w:spacing w:before="0" w:after="283"/>
              <w:jc w:val="right"/>
              <w:rPr/>
            </w:pPr>
            <w:r>
              <w:rPr/>
              <w:t>263,000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Levy deferred all of his 2023 cash compensation and Mr. Alschuler deferred $33,750 of his 2023 cash compensation pursuant to our Non-Employee Directors’ Deferral Program. Mr. Levy elected to receive his deferred 2023 cash compensation in the form of phantom stock units and Mr. Hatkoff elected to receive $6,250 of his 2023 cash compensation in the form of shares of our common stock. Accordingly, our non-employee directors received the following phantom stock units or shares of our common stock with respect to the portion of their 2023 cash compensation that they elected to defer or receive in stock, as applicable: Mr. Levy received 1,004 units and Mr. Hatkoff received 183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636">
                <wp:simplePos x="0" y="0"/>
                <wp:positionH relativeFrom="column">
                  <wp:align>left</wp:align>
                </wp:positionH>
                <wp:positionV relativeFrom="line">
                  <wp:align>top</wp:align>
                </wp:positionV>
                <wp:extent cx="254000" cy="254000"/>
                <wp:effectExtent l="0" t="0" r="0" b="0"/>
                <wp:wrapSquare wrapText="right"/>
                <wp:docPr id="625" name="Frame32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shown reflect the full grant date fair value on the date of grant of shares of our common stock or phantom stock units granted to the directors in 2023, excluding shares of our common stock and phantom stock units credited in lieu of annual fees and meeting fees.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7">
                <wp:simplePos x="0" y="0"/>
                <wp:positionH relativeFrom="column">
                  <wp:align>left</wp:align>
                </wp:positionH>
                <wp:positionV relativeFrom="line">
                  <wp:align>top</wp:align>
                </wp:positionV>
                <wp:extent cx="254000" cy="254000"/>
                <wp:effectExtent l="0" t="0" r="0" b="0"/>
                <wp:wrapSquare wrapText="right"/>
                <wp:docPr id="626" name="Frame32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There were no stock options granted to members of the Board in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8">
                <wp:simplePos x="0" y="0"/>
                <wp:positionH relativeFrom="column">
                  <wp:align>left</wp:align>
                </wp:positionH>
                <wp:positionV relativeFrom="line">
                  <wp:align>top</wp:align>
                </wp:positionV>
                <wp:extent cx="254000" cy="254000"/>
                <wp:effectExtent l="0" t="0" r="0" b="0"/>
                <wp:wrapSquare wrapText="right"/>
                <wp:docPr id="627" name="Frame32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monthly retainer fees paid pursuant to the chairman emeritus agreement we entered into with Mr. Green in connection with his retirement as Chairman of the Company in January 2019, as amended by a letter agreement in March 2022. Under the letter agreement, Mr. Green received reduced monthly retainer fees for 2022 and 2023, and ceased to receive any retainer fee beginning January 1, 2024. Further information on the agreement can be found in the section entitled “Certain Relationships and Related Party Transactions—Chairman Emeritus Agreement” on page 88.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254000" cy="254000"/>
                <wp:effectExtent l="0" t="0" r="0" b="0"/>
                <wp:wrapSquare wrapText="right"/>
                <wp:docPr id="628" name="Frame32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Mr. Levy retired as a director in June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640">
                <wp:simplePos x="0" y="0"/>
                <wp:positionH relativeFrom="column">
                  <wp:align>left</wp:align>
                </wp:positionH>
                <wp:positionV relativeFrom="line">
                  <wp:align>top</wp:align>
                </wp:positionV>
                <wp:extent cx="254000" cy="254000"/>
                <wp:effectExtent l="0" t="0" r="0" b="0"/>
                <wp:wrapSquare wrapText="right"/>
                <wp:docPr id="629" name="Frame32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(5)</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b w:val="false"/>
                <w:spacing w:val="-2"/>
              </w:rPr>
              <w:t xml:space="preserve">Director compensation has been unchanged since 2019, when we </w:t>
            </w:r>
            <w:r>
              <w:rPr/>
              <w:t>reduced the value of the annual stock grant to directors by $65,000, or 21.7%, from $300,000 to $235,000</w:t>
            </w:r>
            <w:r>
              <w:rPr>
                <w:spacing w:val="-2"/>
              </w:rPr>
              <w:t xml:space="preserve"> </w:t>
            </w:r>
            <w:r>
              <w:rPr>
                <w:b w:val="false"/>
                <w:spacing w:val="-2"/>
              </w:rPr>
              <w:t xml:space="preserve">and </w:t>
            </w:r>
            <w:r>
              <w:rPr/>
              <w:t>reduced the cash retainer paid for serving as our Lead Independent Director by $15,000, or 17.6%, from $85,000 to $70,000</w:t>
            </w:r>
            <w:r>
              <w:rPr>
                <w:b w:val="false"/>
                <w:spacing w:val="-2"/>
              </w:rPr>
              <w:t>.</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OF"/>
      <w:bookmarkEnd w:id="14"/>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283"/>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EXECUTIVE OFFICERS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sets forth biographical information regarding our executive officers who are not also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87">
                <wp:simplePos x="0" y="0"/>
                <wp:positionH relativeFrom="column">
                  <wp:align>left</wp:align>
                </wp:positionH>
                <wp:positionV relativeFrom="line">
                  <wp:posOffset>635</wp:posOffset>
                </wp:positionV>
                <wp:extent cx="1562100" cy="4573270"/>
                <wp:effectExtent l="0" t="0" r="0" b="0"/>
                <wp:wrapSquare wrapText="right"/>
                <wp:docPr id="630" name="Frame327"/>
                <a:graphic xmlns:a="http://schemas.openxmlformats.org/drawingml/2006/main">
                  <a:graphicData uri="http://schemas.microsoft.com/office/word/2010/wordprocessingShape">
                    <wps:wsp>
                      <wps:cNvSpPr txBox="1"/>
                      <wps:spPr>
                        <a:xfrm>
                          <a:off x="0" y="0"/>
                          <a:ext cx="1562100" cy="457327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52" w:type="dxa"/>
                              <w:jc w:val="left"/>
                              <w:tblInd w:w="0" w:type="dxa"/>
                              <w:tblLayout w:type="fixed"/>
                              <w:tblCellMar>
                                <w:top w:w="0" w:type="dxa"/>
                                <w:left w:w="0" w:type="dxa"/>
                                <w:bottom w:w="0" w:type="dxa"/>
                                <w:right w:w="0" w:type="dxa"/>
                              </w:tblCellMar>
                            </w:tblPr>
                            <w:tblGrid>
                              <w:gridCol w:w="124"/>
                              <w:gridCol w:w="109"/>
                              <w:gridCol w:w="245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6" w:type="dxa"/>
                                  <w:tcBorders/>
                                  <w:shd w:fill="1F2668" w:val="clear"/>
                                  <w:vAlign w:val="center"/>
                                </w:tcPr>
                                <w:p>
                                  <w:pPr>
                                    <w:pStyle w:val="TableContents"/>
                                    <w:bidi w:val="0"/>
                                    <w:spacing w:lineRule="atLeast" w:line="280" w:before="0" w:after="0"/>
                                    <w:ind w:left="0" w:right="160" w:hanging="0"/>
                                    <w:jc w:val="left"/>
                                    <w:rPr>
                                      <w:sz w:val="24"/>
                                    </w:rPr>
                                  </w:pPr>
                                  <w:r>
                                    <w:rPr>
                                      <w:sz w:val="24"/>
                                    </w:rPr>
                                    <w:t xml:space="preserve">MATTHEW J. </w:t>
                                    <w:br/>
                                    <w:t>DILIBERTO</w:t>
                                  </w:r>
                                </w:p>
                                <w:p>
                                  <w:pPr>
                                    <w:pStyle w:val="TableContents"/>
                                    <w:bidi w:val="0"/>
                                    <w:spacing w:before="520" w:after="283"/>
                                    <w:ind w:left="0" w:right="160" w:hanging="0"/>
                                    <w:jc w:val="left"/>
                                    <w:rPr/>
                                  </w:pPr>
                                  <w:r>
                                    <w:rPr/>
                                    <w:drawing>
                                      <wp:inline distT="0" distB="0" distL="0" distR="0">
                                        <wp:extent cx="1219200" cy="1457325"/>
                                        <wp:effectExtent l="0" t="0" r="0" b="0"/>
                                        <wp:docPr id="6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228" descr=""/>
                                                <pic:cNvPicPr>
                                                  <a:picLocks noChangeAspect="1" noChangeArrowheads="1"/>
                                                </pic:cNvPicPr>
                                              </pic:nvPicPr>
                                              <pic:blipFill>
                                                <a:blip r:embed="rId311"/>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t>Chief Financial Officer</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rPr>
                                    <w:t>2015</w:t>
                                  </w:r>
                                  <w:r>
                                    <w:rPr>
                                      <w:b w:val="false"/>
                                    </w:rPr>
                                    <w:t xml:space="preserve"> </w:t>
                                    <w:br/>
                                  </w:r>
                                  <w:r>
                                    <w:rPr>
                                      <w:b w:val="false"/>
                                      <w:spacing w:val="-2"/>
                                    </w:rPr>
                                    <w:t xml:space="preserve">Age: </w:t>
                                  </w:r>
                                  <w:r>
                                    <w:rPr>
                                      <w:b/>
                                    </w:rPr>
                                    <w:t>49</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60.1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952" w:type="dxa"/>
                        <w:jc w:val="left"/>
                        <w:tblInd w:w="0" w:type="dxa"/>
                        <w:tblLayout w:type="fixed"/>
                        <w:tblCellMar>
                          <w:top w:w="0" w:type="dxa"/>
                          <w:left w:w="0" w:type="dxa"/>
                          <w:bottom w:w="0" w:type="dxa"/>
                          <w:right w:w="0" w:type="dxa"/>
                        </w:tblCellMar>
                      </w:tblPr>
                      <w:tblGrid>
                        <w:gridCol w:w="124"/>
                        <w:gridCol w:w="109"/>
                        <w:gridCol w:w="245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6" w:type="dxa"/>
                            <w:tcBorders/>
                            <w:shd w:fill="1F2668" w:val="clear"/>
                            <w:vAlign w:val="center"/>
                          </w:tcPr>
                          <w:p>
                            <w:pPr>
                              <w:pStyle w:val="TableContents"/>
                              <w:bidi w:val="0"/>
                              <w:spacing w:lineRule="atLeast" w:line="280" w:before="0" w:after="0"/>
                              <w:ind w:left="0" w:right="160" w:hanging="0"/>
                              <w:jc w:val="left"/>
                              <w:rPr>
                                <w:sz w:val="24"/>
                              </w:rPr>
                            </w:pPr>
                            <w:r>
                              <w:rPr>
                                <w:sz w:val="24"/>
                              </w:rPr>
                              <w:t xml:space="preserve">MATTHEW J. </w:t>
                              <w:br/>
                              <w:t>DILIBERTO</w:t>
                            </w:r>
                          </w:p>
                          <w:p>
                            <w:pPr>
                              <w:pStyle w:val="TableContents"/>
                              <w:bidi w:val="0"/>
                              <w:spacing w:before="520" w:after="283"/>
                              <w:ind w:left="0" w:right="160" w:hanging="0"/>
                              <w:jc w:val="left"/>
                              <w:rPr/>
                            </w:pPr>
                            <w:r>
                              <w:rPr/>
                              <w:drawing>
                                <wp:inline distT="0" distB="0" distL="0" distR="0">
                                  <wp:extent cx="1219200" cy="1457325"/>
                                  <wp:effectExtent l="0" t="0" r="0" b="0"/>
                                  <wp:docPr id="6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228" descr=""/>
                                          <pic:cNvPicPr>
                                            <a:picLocks noChangeAspect="1" noChangeArrowheads="1"/>
                                          </pic:cNvPicPr>
                                        </pic:nvPicPr>
                                        <pic:blipFill>
                                          <a:blip r:embed="rId312"/>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t>Chief Financial Officer</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rPr>
                              <w:t>2015</w:t>
                            </w:r>
                            <w:r>
                              <w:rPr>
                                <w:b w:val="false"/>
                              </w:rPr>
                              <w:t xml:space="preserve"> </w:t>
                              <w:br/>
                            </w:r>
                            <w:r>
                              <w:rPr>
                                <w:b w:val="false"/>
                                <w:spacing w:val="-2"/>
                              </w:rPr>
                              <w:t xml:space="preserve">Age: </w:t>
                            </w:r>
                            <w:r>
                              <w:rPr>
                                <w:b/>
                              </w:rPr>
                              <w:t>49</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41">
                <wp:simplePos x="0" y="0"/>
                <wp:positionH relativeFrom="column">
                  <wp:align>left</wp:align>
                </wp:positionH>
                <wp:positionV relativeFrom="line">
                  <wp:posOffset>635</wp:posOffset>
                </wp:positionV>
                <wp:extent cx="4584700" cy="5807710"/>
                <wp:effectExtent l="0" t="0" r="0" b="0"/>
                <wp:wrapSquare wrapText="right"/>
                <wp:docPr id="633" name="Frame328"/>
                <a:graphic xmlns:a="http://schemas.openxmlformats.org/drawingml/2006/main">
                  <a:graphicData uri="http://schemas.microsoft.com/office/word/2010/wordprocessingShape">
                    <wps:wsp>
                      <wps:cNvSpPr txBox="1"/>
                      <wps:spPr>
                        <a:xfrm>
                          <a:off x="0" y="0"/>
                          <a:ext cx="4584700" cy="5807710"/>
                        </a:xfrm>
                        <a:prstGeom prst="rect"/>
                        <a:solidFill>
                          <a:srgbClr val="FFFFFF"/>
                        </a:solidFill>
                      </wps:spPr>
                      <wps:txb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DiLiberto joined the Company in September 2004 and currently serves as the Company’s Chief Financial Officer, overseeing the finance, accounting, tax, investor relations and corporate capital markets functions of the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previously served as the Company’s Chief Accounting Officer &amp; Treasurer from 2007 to 2014.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high-level management reports and SEC filings.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Vornado Realty Trust, Mr. DiLiberto worked as a Business Assurance Associate at Coopers and Lybrand, LLP (now PricewaterhouseCoopers LLP).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currently serves as Vice Chairman of the Board of Directors of the FDNY Foundation, and has been a firefighter in New Jersey since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received a B.S. degree in Accounting from The University of Scranton.</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457.3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DiLiberto joined the Company in September 2004 and currently serves as the Company’s Chief Financial Officer, overseeing the finance, accounting, tax, investor relations and corporate capital markets functions of the organization.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previously served as the Company’s Chief Accounting Officer &amp; Treasurer from 2007 to 2014.</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high-level management reports and SEC filings.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Vornado Realty Trust, Mr. DiLiberto worked as a Business Assurance Associate at Coopers and Lybrand, LLP (now PricewaterhouseCoopers LLP).</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currently serves as Vice Chairman of the Board of Directors of the FDNY Foundation, and has been a firefighter in New Jersey since 1997.</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DiLiberto received a B.S. degree in Accounting from The University of Scranton.</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23190" distB="0" distL="0" distR="0" simplePos="0" locked="0" layoutInCell="1" allowOverlap="1" relativeHeight="642">
                <wp:simplePos x="0" y="0"/>
                <wp:positionH relativeFrom="column">
                  <wp:align>left</wp:align>
                </wp:positionH>
                <wp:positionV relativeFrom="line">
                  <wp:align>top</wp:align>
                </wp:positionV>
                <wp:extent cx="127000" cy="350520"/>
                <wp:effectExtent l="0" t="0" r="0" b="0"/>
                <wp:wrapSquare wrapText="right"/>
                <wp:docPr id="634"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635"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636"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637"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638"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639"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640"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tbl>
      <w:tblPr>
        <w:tblW w:w="1148" w:type="dxa"/>
        <w:jc w:val="left"/>
        <w:tblInd w:w="900" w:type="dxa"/>
        <w:tblLayout w:type="fixed"/>
        <w:tblCellMar>
          <w:top w:w="0" w:type="dxa"/>
          <w:left w:w="0" w:type="dxa"/>
          <w:bottom w:w="28" w:type="dxa"/>
          <w:right w:w="0" w:type="dxa"/>
        </w:tblCellMar>
      </w:tblPr>
      <w:tblGrid>
        <w:gridCol w:w="124"/>
        <w:gridCol w:w="326"/>
        <w:gridCol w:w="109"/>
        <w:gridCol w:w="109"/>
        <w:gridCol w:w="3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FFFFFF"/>
            </w:tcBorders>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 w:type="dxa"/>
            <w:tcBorders>
              <w:bottom w:val="single" w:sz="2" w:space="0" w:color="83AD40"/>
            </w:tcBorders>
            <w:vAlign w:val="center"/>
          </w:tcPr>
          <w:p>
            <w:pPr>
              <w:pStyle w:val="TableContents"/>
              <w:bidi w:val="0"/>
              <w:spacing w:lineRule="atLeast" w:line="142" w:before="0" w:after="0"/>
              <w:jc w:val="left"/>
              <w:rPr/>
            </w:pPr>
            <w:r>
              <w:rPr>
                <w:spacing w:val="0"/>
              </w:rPr>
              <w:t>   </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2044"/>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189">
                <wp:simplePos x="0" y="0"/>
                <wp:positionH relativeFrom="column">
                  <wp:align>left</wp:align>
                </wp:positionH>
                <wp:positionV relativeFrom="line">
                  <wp:posOffset>635</wp:posOffset>
                </wp:positionV>
                <wp:extent cx="1562100" cy="4400550"/>
                <wp:effectExtent l="0" t="0" r="0" b="0"/>
                <wp:wrapSquare wrapText="right"/>
                <wp:docPr id="641" name="Frame336"/>
                <a:graphic xmlns:a="http://schemas.openxmlformats.org/drawingml/2006/main">
                  <a:graphicData uri="http://schemas.microsoft.com/office/word/2010/wordprocessingShape">
                    <wps:wsp>
                      <wps:cNvSpPr txBox="1"/>
                      <wps:spPr>
                        <a:xfrm>
                          <a:off x="0" y="0"/>
                          <a:ext cx="1562100" cy="4400550"/>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587" w:type="dxa"/>
                              <w:jc w:val="left"/>
                              <w:tblInd w:w="0" w:type="dxa"/>
                              <w:tblLayout w:type="fixed"/>
                              <w:tblCellMar>
                                <w:top w:w="0" w:type="dxa"/>
                                <w:left w:w="0" w:type="dxa"/>
                                <w:bottom w:w="0" w:type="dxa"/>
                                <w:right w:w="0" w:type="dxa"/>
                              </w:tblCellMar>
                            </w:tblPr>
                            <w:tblGrid>
                              <w:gridCol w:w="124"/>
                              <w:gridCol w:w="109"/>
                              <w:gridCol w:w="20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1" w:type="dxa"/>
                                  <w:tcBorders/>
                                  <w:shd w:fill="1F2668" w:val="clear"/>
                                  <w:vAlign w:val="center"/>
                                </w:tcPr>
                                <w:p>
                                  <w:pPr>
                                    <w:pStyle w:val="TableContents"/>
                                    <w:bidi w:val="0"/>
                                    <w:spacing w:lineRule="atLeast" w:line="280" w:before="0" w:after="0"/>
                                    <w:ind w:left="0" w:right="160" w:hanging="0"/>
                                    <w:jc w:val="left"/>
                                    <w:rPr>
                                      <w:sz w:val="24"/>
                                    </w:rPr>
                                  </w:pPr>
                                  <w:r>
                                    <w:rPr>
                                      <w:sz w:val="24"/>
                                    </w:rPr>
                                    <w:t xml:space="preserve">ANDREW S. </w:t>
                                    <w:br/>
                                    <w:t>LEVINE</w:t>
                                  </w:r>
                                </w:p>
                                <w:p>
                                  <w:pPr>
                                    <w:pStyle w:val="TableContents"/>
                                    <w:bidi w:val="0"/>
                                    <w:spacing w:before="160" w:after="283"/>
                                    <w:ind w:left="0" w:right="160" w:hanging="0"/>
                                    <w:jc w:val="left"/>
                                    <w:rPr/>
                                  </w:pPr>
                                  <w:r>
                                    <w:rPr/>
                                    <w:drawing>
                                      <wp:inline distT="0" distB="0" distL="0" distR="0">
                                        <wp:extent cx="1133475" cy="1257300"/>
                                        <wp:effectExtent l="0" t="0" r="0" b="0"/>
                                        <wp:docPr id="64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229" descr=""/>
                                                <pic:cNvPicPr>
                                                  <a:picLocks noChangeAspect="1" noChangeArrowheads="1"/>
                                                </pic:cNvPicPr>
                                              </pic:nvPicPr>
                                              <pic:blipFill>
                                                <a:blip r:embed="rId313"/>
                                                <a:stretch>
                                                  <a:fillRect/>
                                                </a:stretch>
                                              </pic:blipFill>
                                              <pic:spPr bwMode="auto">
                                                <a:xfrm>
                                                  <a:off x="0" y="0"/>
                                                  <a:ext cx="1133475" cy="12573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t>General Counsel</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rPr>
                                    <w:t>2007</w:t>
                                  </w:r>
                                  <w:r>
                                    <w:rPr>
                                      <w:b w:val="false"/>
                                    </w:rPr>
                                    <w:t xml:space="preserve"> </w:t>
                                  </w:r>
                                </w:p>
                                <w:p>
                                  <w:pPr>
                                    <w:pStyle w:val="TableContents"/>
                                    <w:bidi w:val="0"/>
                                    <w:spacing w:lineRule="atLeast" w:line="220" w:before="120" w:after="283"/>
                                    <w:ind w:left="0" w:right="160" w:hanging="0"/>
                                    <w:jc w:val="left"/>
                                    <w:rPr>
                                      <w:b w:val="false"/>
                                    </w:rPr>
                                  </w:pPr>
                                  <w:r>
                                    <w:rPr>
                                      <w:b w:val="false"/>
                                      <w:spacing w:val="-2"/>
                                    </w:rPr>
                                    <w:t xml:space="preserve">Age: </w:t>
                                  </w:r>
                                  <w:r>
                                    <w:rPr>
                                      <w:b/>
                                    </w:rPr>
                                    <w:t>65</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23pt;height:346.5pt;mso-wrap-distance-left:45pt;mso-wrap-distance-right:0pt;mso-wrap-distance-top:0pt;mso-wrap-distance-bottom:0pt;margin-top:0pt;mso-position-vertical:top;mso-position-vertical-relative:text;margin-left:213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2587" w:type="dxa"/>
                        <w:jc w:val="left"/>
                        <w:tblInd w:w="0" w:type="dxa"/>
                        <w:tblLayout w:type="fixed"/>
                        <w:tblCellMar>
                          <w:top w:w="0" w:type="dxa"/>
                          <w:left w:w="0" w:type="dxa"/>
                          <w:bottom w:w="0" w:type="dxa"/>
                          <w:right w:w="0" w:type="dxa"/>
                        </w:tblCellMar>
                      </w:tblPr>
                      <w:tblGrid>
                        <w:gridCol w:w="124"/>
                        <w:gridCol w:w="109"/>
                        <w:gridCol w:w="2091"/>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1" w:type="dxa"/>
                            <w:tcBorders/>
                            <w:shd w:fill="1F2668" w:val="clear"/>
                            <w:vAlign w:val="center"/>
                          </w:tcPr>
                          <w:p>
                            <w:pPr>
                              <w:pStyle w:val="TableContents"/>
                              <w:bidi w:val="0"/>
                              <w:spacing w:lineRule="atLeast" w:line="280" w:before="0" w:after="0"/>
                              <w:ind w:left="0" w:right="160" w:hanging="0"/>
                              <w:jc w:val="left"/>
                              <w:rPr>
                                <w:sz w:val="24"/>
                              </w:rPr>
                            </w:pPr>
                            <w:r>
                              <w:rPr>
                                <w:sz w:val="24"/>
                              </w:rPr>
                              <w:t xml:space="preserve">ANDREW S. </w:t>
                              <w:br/>
                              <w:t>LEVINE</w:t>
                            </w:r>
                          </w:p>
                          <w:p>
                            <w:pPr>
                              <w:pStyle w:val="TableContents"/>
                              <w:bidi w:val="0"/>
                              <w:spacing w:before="160" w:after="283"/>
                              <w:ind w:left="0" w:right="160" w:hanging="0"/>
                              <w:jc w:val="left"/>
                              <w:rPr/>
                            </w:pPr>
                            <w:r>
                              <w:rPr/>
                              <w:drawing>
                                <wp:inline distT="0" distB="0" distL="0" distR="0">
                                  <wp:extent cx="1133475" cy="1257300"/>
                                  <wp:effectExtent l="0" t="0" r="0" b="0"/>
                                  <wp:docPr id="64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229" descr=""/>
                                          <pic:cNvPicPr>
                                            <a:picLocks noChangeAspect="1" noChangeArrowheads="1"/>
                                          </pic:cNvPicPr>
                                        </pic:nvPicPr>
                                        <pic:blipFill>
                                          <a:blip r:embed="rId314"/>
                                          <a:stretch>
                                            <a:fillRect/>
                                          </a:stretch>
                                        </pic:blipFill>
                                        <pic:spPr bwMode="auto">
                                          <a:xfrm>
                                            <a:off x="0" y="0"/>
                                            <a:ext cx="1133475" cy="1257300"/>
                                          </a:xfrm>
                                          <a:prstGeom prst="rect">
                                            <a:avLst/>
                                          </a:prstGeom>
                                        </pic:spPr>
                                      </pic:pic>
                                    </a:graphicData>
                                  </a:graphic>
                                </wp:inline>
                              </w:drawing>
                            </w:r>
                            <w:r>
                              <w:rPr/>
                              <w:t xml:space="preserve"> </w:t>
                            </w:r>
                          </w:p>
                          <w:p>
                            <w:pPr>
                              <w:pStyle w:val="TableContents"/>
                              <w:bidi w:val="0"/>
                              <w:spacing w:lineRule="atLeast" w:line="220" w:before="220" w:after="283"/>
                              <w:ind w:left="0" w:right="160" w:hanging="0"/>
                              <w:jc w:val="left"/>
                              <w:rPr/>
                            </w:pPr>
                            <w:r>
                              <w:rPr/>
                              <w:t>General Counsel</w:t>
                            </w:r>
                          </w:p>
                          <w:p>
                            <w:pPr>
                              <w:pStyle w:val="TableContents"/>
                              <w:bidi w:val="0"/>
                              <w:spacing w:lineRule="atLeast" w:line="220" w:before="120" w:after="283"/>
                              <w:ind w:left="0" w:right="160" w:hanging="0"/>
                              <w:jc w:val="left"/>
                              <w:rPr>
                                <w:b w:val="false"/>
                              </w:rPr>
                            </w:pPr>
                            <w:r>
                              <w:rPr>
                                <w:b w:val="false"/>
                                <w:spacing w:val="-2"/>
                              </w:rPr>
                              <w:t xml:space="preserve">Executive Officer </w:t>
                              <w:br/>
                              <w:t xml:space="preserve">Since: </w:t>
                            </w:r>
                            <w:r>
                              <w:rPr>
                                <w:b/>
                              </w:rPr>
                              <w:t>2007</w:t>
                            </w:r>
                            <w:r>
                              <w:rPr>
                                <w:b w:val="false"/>
                              </w:rPr>
                              <w:t xml:space="preserve"> </w:t>
                            </w:r>
                          </w:p>
                          <w:p>
                            <w:pPr>
                              <w:pStyle w:val="TableContents"/>
                              <w:bidi w:val="0"/>
                              <w:spacing w:lineRule="atLeast" w:line="220" w:before="120" w:after="283"/>
                              <w:ind w:left="0" w:right="160" w:hanging="0"/>
                              <w:jc w:val="left"/>
                              <w:rPr>
                                <w:b w:val="false"/>
                              </w:rPr>
                            </w:pPr>
                            <w:r>
                              <w:rPr>
                                <w:b w:val="false"/>
                                <w:spacing w:val="-2"/>
                              </w:rPr>
                              <w:t xml:space="preserve">Age: </w:t>
                            </w:r>
                            <w:r>
                              <w:rPr>
                                <w:b/>
                              </w:rPr>
                              <w:t>65</w:t>
                            </w:r>
                            <w:r>
                              <w:rPr>
                                <w:b w:val="false"/>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54000" distR="0" simplePos="0" locked="0" layoutInCell="1" allowOverlap="1" relativeHeight="649">
                <wp:simplePos x="0" y="0"/>
                <wp:positionH relativeFrom="column">
                  <wp:align>left</wp:align>
                </wp:positionH>
                <wp:positionV relativeFrom="line">
                  <wp:posOffset>635</wp:posOffset>
                </wp:positionV>
                <wp:extent cx="4584700" cy="3422650"/>
                <wp:effectExtent l="0" t="0" r="0" b="0"/>
                <wp:wrapSquare wrapText="right"/>
                <wp:docPr id="644" name="Frame337"/>
                <a:graphic xmlns:a="http://schemas.openxmlformats.org/drawingml/2006/main">
                  <a:graphicData uri="http://schemas.microsoft.com/office/word/2010/wordprocessingShape">
                    <wps:wsp>
                      <wps:cNvSpPr txBox="1"/>
                      <wps:spPr>
                        <a:xfrm>
                          <a:off x="0" y="0"/>
                          <a:ext cx="4584700" cy="3422650"/>
                        </a:xfrm>
                        <a:prstGeom prst="rect"/>
                        <a:solidFill>
                          <a:srgbClr val="FFFFFF"/>
                        </a:solidFill>
                      </wps:spPr>
                      <wps:txb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Levine has served as our Chief Legal Officer and General Counsel since April 2007 and as our General Counsel, Executive Vice President and Secretary since November 2000.</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the Company, Mr. Levine was a partner in the REIT and Real Estate Transactions and Business groups at the law firm of Pryor, Cashman, Sherman &amp; Flynn,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Pryor, Cashman, Sherman &amp; Flynn, LLP, Mr. Levine was a partner at the law firm of Dreyer &amp; Traub.</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Levine received a B.A. degree from the University of Vermont and a J.D. degree from Rutgers School of Law, where Mr. Levine was an Editor of the Law Review.</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He currently serves as a member of the Advisory Committee for Rutgers Center for Corporate Law and Governance.</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361pt;height:269.5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0"/>
                        <w:jc w:val="left"/>
                        <w:rPr/>
                      </w:pPr>
                      <w:r>
                        <w:rPr>
                          <w:spacing w:val="-2"/>
                        </w:rPr>
                        <w:t>   </w:t>
                      </w:r>
                      <w:r>
                        <w:rPr/>
                        <w:t xml:space="preserve"> </w:t>
                      </w:r>
                    </w:p>
                    <w:p>
                      <w:pPr>
                        <w:pStyle w:val="TextBody"/>
                        <w:bidi w:val="0"/>
                        <w:spacing w:lineRule="atLeast" w:line="220" w:before="194" w:after="0"/>
                        <w:ind w:left="200" w:right="0" w:hanging="0"/>
                        <w:jc w:val="left"/>
                        <w:rPr/>
                      </w:pPr>
                      <w:r>
                        <w:rPr>
                          <w:spacing w:val="-2"/>
                        </w:rPr>
                        <w:t>Mr. Levine has served as our Chief Legal Officer and General Counsel since April 2007 and as our General Counsel, Executive Vice President and Secretary since November 2000.</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the Company, Mr. Levine was a partner in the REIT and Real Estate Transactions and Business groups at the law firm of Pryor, Cashman, Sherman &amp; Flynn, LLP.</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Prior to joining Pryor, Cashman, Sherman &amp; Flynn, LLP, Mr. Levine was a partner at the law firm of Dreyer &amp; Traub.</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Mr. Levine received a B.A. degree from the University of Vermont and a J.D. degree from Rutgers School of Law, where Mr. Levine was an Editor of the Law Review.</w:t>
                      </w:r>
                      <w:r>
                        <w:rPr/>
                        <w:t xml:space="preserve"> </w:t>
                      </w:r>
                    </w:p>
                    <w:p>
                      <w:pPr>
                        <w:pStyle w:val="TextBody"/>
                        <w:bidi w:val="0"/>
                        <w:spacing w:before="0" w:after="0"/>
                        <w:ind w:left="0" w:right="0" w:hanging="0"/>
                        <w:jc w:val="left"/>
                        <w:rPr/>
                      </w:pPr>
                      <w:r>
                        <w:rPr/>
                        <w:t>​</w:t>
                      </w:r>
                    </w:p>
                    <w:p>
                      <w:pPr>
                        <w:pStyle w:val="TextBody"/>
                        <w:bidi w:val="0"/>
                        <w:spacing w:lineRule="atLeast" w:line="220" w:before="84" w:after="0"/>
                        <w:ind w:left="200" w:right="0" w:hanging="0"/>
                        <w:jc w:val="left"/>
                        <w:rPr/>
                      </w:pPr>
                      <w:r>
                        <w:rPr>
                          <w:spacing w:val="-2"/>
                        </w:rPr>
                        <w:t>He currently serves as a member of the Advisory Committee for Rutgers Center for Corporate Law and Governance.</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123190" distB="0" distL="0" distR="0" simplePos="0" locked="0" layoutInCell="1" allowOverlap="1" relativeHeight="650">
                <wp:simplePos x="0" y="0"/>
                <wp:positionH relativeFrom="column">
                  <wp:align>left</wp:align>
                </wp:positionH>
                <wp:positionV relativeFrom="line">
                  <wp:align>top</wp:align>
                </wp:positionV>
                <wp:extent cx="127000" cy="350520"/>
                <wp:effectExtent l="0" t="0" r="0" b="0"/>
                <wp:wrapSquare wrapText="right"/>
                <wp:docPr id="645"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7pt;mso-wrap-distance-bottom:0pt;margin-top:9.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51">
                <wp:simplePos x="0" y="0"/>
                <wp:positionH relativeFrom="column">
                  <wp:align>left</wp:align>
                </wp:positionH>
                <wp:positionV relativeFrom="line">
                  <wp:align>top</wp:align>
                </wp:positionV>
                <wp:extent cx="127000" cy="350520"/>
                <wp:effectExtent l="0" t="0" r="0" b="0"/>
                <wp:wrapSquare wrapText="right"/>
                <wp:docPr id="646"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52">
                <wp:simplePos x="0" y="0"/>
                <wp:positionH relativeFrom="column">
                  <wp:align>left</wp:align>
                </wp:positionH>
                <wp:positionV relativeFrom="line">
                  <wp:align>top</wp:align>
                </wp:positionV>
                <wp:extent cx="127000" cy="350520"/>
                <wp:effectExtent l="0" t="0" r="0" b="0"/>
                <wp:wrapSquare wrapText="right"/>
                <wp:docPr id="647"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53">
                <wp:simplePos x="0" y="0"/>
                <wp:positionH relativeFrom="column">
                  <wp:align>left</wp:align>
                </wp:positionH>
                <wp:positionV relativeFrom="line">
                  <wp:align>top</wp:align>
                </wp:positionV>
                <wp:extent cx="127000" cy="350520"/>
                <wp:effectExtent l="0" t="0" r="0" b="0"/>
                <wp:wrapSquare wrapText="right"/>
                <wp:docPr id="648"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53340" distB="0" distL="0" distR="0" simplePos="0" locked="0" layoutInCell="1" allowOverlap="1" relativeHeight="654">
                <wp:simplePos x="0" y="0"/>
                <wp:positionH relativeFrom="column">
                  <wp:align>left</wp:align>
                </wp:positionH>
                <wp:positionV relativeFrom="line">
                  <wp:align>top</wp:align>
                </wp:positionV>
                <wp:extent cx="127000" cy="350520"/>
                <wp:effectExtent l="0" t="0" r="0" b="0"/>
                <wp:wrapSquare wrapText="right"/>
                <wp:docPr id="649"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R2"/>
      <w:bookmarkEnd w:id="15"/>
      <w:r>
        <w:rPr>
          <w:rFonts w:ascii="calibri;arial;sans-serif" w:hAnsi="calibri;arial;sans-serif"/>
          <w:b w:val="false"/>
          <w:i w:val="false"/>
          <w:caps w:val="false"/>
          <w:smallCaps w:val="false"/>
          <w:color w:val="000000"/>
          <w:sz w:val="16"/>
        </w:rPr>
        <w:t>​</w:t>
      </w:r>
      <w:bookmarkStart w:id="16" w:name="tEXCO"/>
      <w:bookmarkEnd w:id="16"/>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10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pPr>
            <w:r>
              <w:rPr/>
              <w:t>41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360"/>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EXECUTIVE COMPENSATION</w:t>
      </w:r>
      <w:r>
        <w:rPr>
          <w:rFonts w:ascii="Arial;Helvetica;sans-serif" w:hAnsi="Arial;Helvetica;sans-serif"/>
          <w:b/>
          <w:i w:val="false"/>
          <w:caps w:val="false"/>
          <w:smallCaps w:val="false"/>
          <w:color w:val="000000"/>
          <w:spacing w:val="8"/>
          <w:sz w:val="42"/>
        </w:rPr>
        <w:t xml:space="preserve"> </w:t>
      </w:r>
    </w:p>
    <w:tbl>
      <w:tblPr>
        <w:tblW w:w="2972" w:type="dxa"/>
        <w:jc w:val="left"/>
        <w:tblInd w:w="0" w:type="dxa"/>
        <w:tblLayout w:type="fixed"/>
        <w:tblCellMar>
          <w:top w:w="0" w:type="dxa"/>
          <w:left w:w="0" w:type="dxa"/>
          <w:bottom w:w="0" w:type="dxa"/>
          <w:right w:w="0" w:type="dxa"/>
        </w:tblCellMar>
      </w:tblPr>
      <w:tblGrid>
        <w:gridCol w:w="124"/>
        <w:gridCol w:w="1606"/>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06"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z w:val="24"/>
              </w:rPr>
              <w:t>PROPOSAL 2</w:t>
            </w:r>
            <w:r>
              <w:rPr>
                <w:b/>
                <w:color w:val="000000"/>
                <w:sz w:val="24"/>
              </w:rPr>
              <w:t>​</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06"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410" w:before="0" w:after="0"/>
              <w:jc w:val="left"/>
              <w:rPr/>
            </w:pPr>
            <w:r>
              <w:rPr>
                <w:caps/>
              </w:rPr>
              <w:t>ADVISORY VOTE ON THE COMPENSATION OF OUR NAMED EXECUTIVE OFFICERS</w:t>
            </w:r>
            <w:r>
              <w:rPr>
                <w:color w:val="000000"/>
              </w:rPr>
              <w:t>​</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In accordance with the requirements of Section 14A(a)(1) of the Securities Exchange Act of 1934, as amended, and related SEC rules, we are asking our stockholders to vote to approve, on a non-binding, advisory basis, the compensation of our named executive officers, as disclosed in this proxy statement. This is commonly known as, and is referred to herein as, a “say-on-pay” proposal or resolution.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At our 2023 annual stockholder meeting, our stockholders voted, on a non-binding, advisory basis, by an affirmative vote of a majority of all votes cast, that the Company should continue to hold future non-binding advisory votes on executive compensation on an annual basis. On June 5, 2023,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2029 annual meeting of stockholders.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Accordingly, the Company is providing stockholders with the opportunity to approve the following non-binding, advisory resolution: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w:t>
            </w:r>
            <w:r>
              <w:rPr>
                <w:spacing w:val="-2"/>
              </w:rPr>
              <w:t xml:space="preserve">RESOLVED, that the compensation paid to the Company’s named executive officers, as disclosed in this proxy statement pursuant to Item 402 of Regulation S-K, including the Compensation Discussion and Analysis, compensation tables and narrative discussion, is hereby APPROVED.”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The affirmative vote of a majority of all the votes cast with respect to this proposal will be required to approve this proposal.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77"/>
        <w:gridCol w:w="109"/>
        <w:gridCol w:w="109"/>
        <w:gridCol w:w="8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77" w:type="dxa"/>
            <w:tcBorders>
              <w:bottom w:val="single" w:sz="96" w:space="0" w:color="E9F9D8"/>
            </w:tcBorders>
            <w:tcMar>
              <w:bottom w:w="430" w:type="dxa"/>
            </w:tcMar>
            <w:vAlign w:val="center"/>
          </w:tcPr>
          <w:p>
            <w:pPr>
              <w:pStyle w:val="TableContents"/>
              <w:bidi w:val="0"/>
              <w:spacing w:lineRule="atLeast" w:line="260" w:before="0" w:after="0"/>
              <w:jc w:val="left"/>
              <w:rPr/>
            </w:pPr>
            <w:r>
              <w:rPr/>
              <w:t>The Board unanimously recommends a vote </w:t>
            </w:r>
            <w:r>
              <w:rPr>
                <w:color w:val="83AD40"/>
              </w:rPr>
              <w:t>“FOR”</w:t>
            </w:r>
            <w:r>
              <w:rPr/>
              <w:t xml:space="preserve"> the above resolution </w:t>
              <w:br/>
              <w:t xml:space="preserve">regarding the compensation of our named executive officers, as disclosed in the Compensation Discussion and Analysis section and the accompanying compensation tables and narrative discussion in this Proxy Statement.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13" w:type="dxa"/>
            <w:tcBorders>
              <w:bottom w:val="single" w:sz="96" w:space="0" w:color="E9F9D8"/>
            </w:tcBorders>
            <w:tcMar>
              <w:bottom w:w="210" w:type="dxa"/>
            </w:tcMar>
            <w:vAlign w:val="center"/>
          </w:tcPr>
          <w:p>
            <w:pPr>
              <w:pStyle w:val="TableContents"/>
              <w:bidi w:val="0"/>
              <w:spacing w:before="0" w:after="283"/>
              <w:jc w:val="center"/>
              <w:rPr/>
            </w:pPr>
            <w:r>
              <w:rPr/>
              <w:drawing>
                <wp:inline distT="0" distB="0" distL="0" distR="0">
                  <wp:extent cx="457200" cy="457200"/>
                  <wp:effectExtent l="0" t="0" r="0" b="0"/>
                  <wp:docPr id="65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30" descr=""/>
                          <pic:cNvPicPr>
                            <a:picLocks noChangeAspect="1" noChangeArrowheads="1"/>
                          </pic:cNvPicPr>
                        </pic:nvPicPr>
                        <pic:blipFill>
                          <a:blip r:embed="rId315"/>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DAA"/>
      <w:bookmarkEnd w:id="17"/>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COMPENSATION DISCUSSION AND ANALYSIS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Throughout this proxy statement, the individuals who served as our Chief Executive Officer, President, Chief Financial Officer and General Counsel during our 2023 fiscal year are referred to as the “named executive officers,” “our NEOs” or our “executives.”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Mr. Mathias’s term as President ended when his employment agreement expired on December 31, 2023, and was not renewed by the Company. Where indicated, we exclude Mr. Mathias from the discussion in this Compensation Discussion and Analysis section because Mr. Mathias received amounts that became payable in 2024 pursuant to the terms of his employment agreement in lieu of 2023 compensation approved by the Compensation Committee (the “Committee”). See “—Potential Payments Upon Termination or Change in Control” below for a summary of the employment agreement as well as a summary of the non-renewal and advisory agreement that we entered into with Mr. Mathias to ensure a smooth transition.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Executive Summary</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Named Executive Officers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0" w:type="dxa"/>
          <w:right w:w="0" w:type="dxa"/>
        </w:tblCellMar>
      </w:tblPr>
      <w:tblGrid>
        <w:gridCol w:w="124"/>
        <w:gridCol w:w="2072"/>
        <w:gridCol w:w="109"/>
        <w:gridCol w:w="109"/>
        <w:gridCol w:w="109"/>
        <w:gridCol w:w="1891"/>
        <w:gridCol w:w="109"/>
        <w:gridCol w:w="109"/>
        <w:gridCol w:w="109"/>
        <w:gridCol w:w="2028"/>
        <w:gridCol w:w="109"/>
        <w:gridCol w:w="109"/>
        <w:gridCol w:w="109"/>
        <w:gridCol w:w="2053"/>
        <w:gridCol w:w="156"/>
      </w:tblGrid>
      <w:tr>
        <w:trPr/>
        <w:tc>
          <w:tcPr>
            <w:tcW w:w="124" w:type="dxa"/>
            <w:tcBorders/>
            <w:vAlign w:val="center"/>
          </w:tcPr>
          <w:p>
            <w:pPr>
              <w:pStyle w:val="TableContents"/>
              <w:bidi w:val="0"/>
              <w:spacing w:before="0" w:after="283"/>
              <w:jc w:val="left"/>
              <w:rPr/>
            </w:pPr>
            <w:r>
              <w:rPr/>
              <w:t>​</w:t>
            </w:r>
          </w:p>
        </w:tc>
        <w:tc>
          <w:tcPr>
            <w:tcW w:w="2072" w:type="dxa"/>
            <w:tcBorders/>
            <w:vAlign w:val="center"/>
          </w:tcPr>
          <w:p>
            <w:pPr>
              <w:pStyle w:val="TableContents"/>
              <w:bidi w:val="0"/>
              <w:spacing w:before="0" w:after="0"/>
              <w:jc w:val="left"/>
              <w:rPr/>
            </w:pPr>
            <w:r>
              <w:rPr/>
              <w:drawing>
                <wp:inline distT="0" distB="0" distL="0" distR="0">
                  <wp:extent cx="1133475" cy="1362075"/>
                  <wp:effectExtent l="0" t="0" r="0" b="0"/>
                  <wp:docPr id="65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231" descr=""/>
                          <pic:cNvPicPr>
                            <a:picLocks noChangeAspect="1" noChangeArrowheads="1"/>
                          </pic:cNvPicPr>
                        </pic:nvPicPr>
                        <pic:blipFill>
                          <a:blip r:embed="rId316"/>
                          <a:stretch>
                            <a:fillRect/>
                          </a:stretch>
                        </pic:blipFill>
                        <pic:spPr bwMode="auto">
                          <a:xfrm>
                            <a:off x="0" y="0"/>
                            <a:ext cx="1133475" cy="1362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1" w:type="dxa"/>
            <w:tcBorders/>
            <w:vAlign w:val="center"/>
          </w:tcPr>
          <w:p>
            <w:pPr>
              <w:pStyle w:val="TableContents"/>
              <w:bidi w:val="0"/>
              <w:spacing w:before="0" w:after="0"/>
              <w:jc w:val="left"/>
              <w:rPr/>
            </w:pPr>
            <w:r>
              <w:rPr/>
              <w:drawing>
                <wp:inline distT="0" distB="0" distL="0" distR="0">
                  <wp:extent cx="1133475" cy="1362075"/>
                  <wp:effectExtent l="0" t="0" r="0" b="0"/>
                  <wp:docPr id="65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32" descr=""/>
                          <pic:cNvPicPr>
                            <a:picLocks noChangeAspect="1" noChangeArrowheads="1"/>
                          </pic:cNvPicPr>
                        </pic:nvPicPr>
                        <pic:blipFill>
                          <a:blip r:embed="rId317"/>
                          <a:stretch>
                            <a:fillRect/>
                          </a:stretch>
                        </pic:blipFill>
                        <pic:spPr bwMode="auto">
                          <a:xfrm>
                            <a:off x="0" y="0"/>
                            <a:ext cx="1133475" cy="1362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8" w:type="dxa"/>
            <w:tcBorders/>
            <w:vAlign w:val="center"/>
          </w:tcPr>
          <w:p>
            <w:pPr>
              <w:pStyle w:val="TableContents"/>
              <w:bidi w:val="0"/>
              <w:spacing w:before="0" w:after="0"/>
              <w:jc w:val="left"/>
              <w:rPr/>
            </w:pPr>
            <w:r>
              <w:rPr/>
              <w:drawing>
                <wp:inline distT="0" distB="0" distL="0" distR="0">
                  <wp:extent cx="1133475" cy="1362075"/>
                  <wp:effectExtent l="0" t="0" r="0" b="0"/>
                  <wp:docPr id="65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233" descr=""/>
                          <pic:cNvPicPr>
                            <a:picLocks noChangeAspect="1" noChangeArrowheads="1"/>
                          </pic:cNvPicPr>
                        </pic:nvPicPr>
                        <pic:blipFill>
                          <a:blip r:embed="rId318"/>
                          <a:stretch>
                            <a:fillRect/>
                          </a:stretch>
                        </pic:blipFill>
                        <pic:spPr bwMode="auto">
                          <a:xfrm>
                            <a:off x="0" y="0"/>
                            <a:ext cx="1133475" cy="1362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53" w:type="dxa"/>
            <w:tcBorders/>
            <w:vAlign w:val="center"/>
          </w:tcPr>
          <w:p>
            <w:pPr>
              <w:pStyle w:val="TableContents"/>
              <w:bidi w:val="0"/>
              <w:spacing w:before="0" w:after="0"/>
              <w:jc w:val="left"/>
              <w:rPr/>
            </w:pPr>
            <w:r>
              <w:rPr/>
              <w:drawing>
                <wp:inline distT="0" distB="0" distL="0" distR="0">
                  <wp:extent cx="1133475" cy="1362075"/>
                  <wp:effectExtent l="0" t="0" r="0" b="0"/>
                  <wp:docPr id="65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34" descr=""/>
                          <pic:cNvPicPr>
                            <a:picLocks noChangeAspect="1" noChangeArrowheads="1"/>
                          </pic:cNvPicPr>
                        </pic:nvPicPr>
                        <pic:blipFill>
                          <a:blip r:embed="rId319"/>
                          <a:stretch>
                            <a:fillRect/>
                          </a:stretch>
                        </pic:blipFill>
                        <pic:spPr bwMode="auto">
                          <a:xfrm>
                            <a:off x="0" y="0"/>
                            <a:ext cx="1133475" cy="13620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2072" w:type="dxa"/>
            <w:tcBorders>
              <w:bottom w:val="single" w:sz="6" w:space="0" w:color="83AD40"/>
            </w:tcBorders>
            <w:tcMar>
              <w:bottom w:w="180" w:type="dxa"/>
            </w:tcMar>
            <w:vAlign w:val="center"/>
          </w:tcPr>
          <w:p>
            <w:pPr>
              <w:pStyle w:val="TableContents"/>
              <w:bidi w:val="0"/>
              <w:spacing w:before="0" w:after="0"/>
              <w:jc w:val="left"/>
              <w:rPr>
                <w:b/>
              </w:rPr>
            </w:pPr>
            <w:r>
              <w:rPr>
                <w:b/>
              </w:rPr>
              <w:t>Marc Holliday</w:t>
            </w:r>
          </w:p>
          <w:p>
            <w:pPr>
              <w:pStyle w:val="TableContents"/>
              <w:bidi w:val="0"/>
              <w:spacing w:before="60" w:after="283"/>
              <w:jc w:val="left"/>
              <w:rPr>
                <w:spacing w:val="-2"/>
              </w:rPr>
            </w:pPr>
            <w:r>
              <w:rPr>
                <w:spacing w:val="-2"/>
              </w:rPr>
              <w:t xml:space="preserve">Chief Executive Officer, </w:t>
              <w:br/>
              <w:t xml:space="preserve">Chairman of the Board </w:t>
              <w:br/>
              <w:t xml:space="preserve">and Interim President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891" w:type="dxa"/>
            <w:tcBorders>
              <w:bottom w:val="single" w:sz="6" w:space="0" w:color="83AD40"/>
            </w:tcBorders>
            <w:tcMar>
              <w:bottom w:w="180" w:type="dxa"/>
            </w:tcMar>
            <w:vAlign w:val="center"/>
          </w:tcPr>
          <w:p>
            <w:pPr>
              <w:pStyle w:val="TableContents"/>
              <w:bidi w:val="0"/>
              <w:spacing w:before="0" w:after="0"/>
              <w:jc w:val="left"/>
              <w:rPr>
                <w:b/>
              </w:rPr>
            </w:pPr>
            <w:r>
              <w:rPr>
                <w:b/>
              </w:rPr>
              <w:t>Andrew Mathias</w:t>
            </w:r>
          </w:p>
          <w:p>
            <w:pPr>
              <w:pStyle w:val="TableContents"/>
              <w:bidi w:val="0"/>
              <w:spacing w:before="60" w:after="283"/>
              <w:jc w:val="left"/>
              <w:rPr>
                <w:spacing w:val="-2"/>
              </w:rPr>
            </w:pPr>
            <w:r>
              <w:rPr>
                <w:spacing w:val="-2"/>
              </w:rPr>
              <w:t xml:space="preserve">Former President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028" w:type="dxa"/>
            <w:tcBorders>
              <w:bottom w:val="single" w:sz="6" w:space="0" w:color="83AD40"/>
            </w:tcBorders>
            <w:tcMar>
              <w:bottom w:w="180" w:type="dxa"/>
            </w:tcMar>
            <w:vAlign w:val="center"/>
          </w:tcPr>
          <w:p>
            <w:pPr>
              <w:pStyle w:val="TableContents"/>
              <w:bidi w:val="0"/>
              <w:spacing w:before="0" w:after="0"/>
              <w:jc w:val="left"/>
              <w:rPr>
                <w:b/>
              </w:rPr>
            </w:pPr>
            <w:r>
              <w:rPr>
                <w:b/>
              </w:rPr>
              <w:t>Matthew J. DiLiberto</w:t>
            </w:r>
          </w:p>
          <w:p>
            <w:pPr>
              <w:pStyle w:val="TableContents"/>
              <w:bidi w:val="0"/>
              <w:spacing w:before="60" w:after="283"/>
              <w:jc w:val="left"/>
              <w:rPr>
                <w:spacing w:val="-2"/>
              </w:rPr>
            </w:pPr>
            <w:r>
              <w:rPr>
                <w:spacing w:val="-2"/>
              </w:rPr>
              <w:t xml:space="preserve">Chief Financial Officer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053" w:type="dxa"/>
            <w:tcBorders>
              <w:bottom w:val="single" w:sz="6" w:space="0" w:color="83AD40"/>
            </w:tcBorders>
            <w:tcMar>
              <w:bottom w:w="180" w:type="dxa"/>
            </w:tcMar>
            <w:vAlign w:val="center"/>
          </w:tcPr>
          <w:p>
            <w:pPr>
              <w:pStyle w:val="TableContents"/>
              <w:bidi w:val="0"/>
              <w:spacing w:before="0" w:after="0"/>
              <w:jc w:val="left"/>
              <w:rPr>
                <w:b/>
              </w:rPr>
            </w:pPr>
            <w:r>
              <w:rPr>
                <w:b/>
              </w:rPr>
              <w:t>Andrew S. Levine</w:t>
            </w:r>
          </w:p>
          <w:p>
            <w:pPr>
              <w:pStyle w:val="TableContents"/>
              <w:bidi w:val="0"/>
              <w:spacing w:before="60" w:after="283"/>
              <w:jc w:val="left"/>
              <w:rPr/>
            </w:pPr>
            <w:r>
              <w:rPr>
                <w:spacing w:val="-2"/>
              </w:rPr>
              <w:t xml:space="preserve">Chief Legal Officer and </w:t>
              <w:br/>
              <w:t>General Counsel</w:t>
            </w:r>
            <w:r>
              <w:rPr/>
              <w:t xml:space="preserve"> </w:t>
            </w:r>
          </w:p>
        </w:tc>
        <w:tc>
          <w:tcPr>
            <w:tcW w:w="156"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260" w:before="23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Compensation Objectives and Philosophy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adopted a pay-for-performance executive compensation philosophy that rewards the achievement of annual and long-term goals of both the Company and individual executives, while achieving the following objectives: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124"/>
        <w:gridCol w:w="1874"/>
        <w:gridCol w:w="109"/>
        <w:gridCol w:w="109"/>
        <w:gridCol w:w="109"/>
        <w:gridCol w:w="1288"/>
        <w:gridCol w:w="109"/>
        <w:gridCol w:w="109"/>
        <w:gridCol w:w="109"/>
        <w:gridCol w:w="1651"/>
        <w:gridCol w:w="109"/>
        <w:gridCol w:w="109"/>
        <w:gridCol w:w="109"/>
        <w:gridCol w:w="1389"/>
        <w:gridCol w:w="109"/>
        <w:gridCol w:w="109"/>
        <w:gridCol w:w="109"/>
        <w:gridCol w:w="1516"/>
        <w:gridCol w:w="155"/>
      </w:tblGrid>
      <w:tr>
        <w:trPr/>
        <w:tc>
          <w:tcPr>
            <w:tcW w:w="124" w:type="dxa"/>
            <w:tcBorders>
              <w:bottom w:val="single" w:sz="6" w:space="0" w:color="83AD40"/>
            </w:tcBorders>
            <w:vAlign w:val="center"/>
          </w:tcPr>
          <w:p>
            <w:pPr>
              <w:pStyle w:val="TableContents"/>
              <w:bidi w:val="0"/>
              <w:spacing w:before="0" w:after="283"/>
              <w:jc w:val="left"/>
              <w:rPr/>
            </w:pPr>
            <w:r>
              <w:rPr/>
              <w:t>​</w:t>
            </w:r>
          </w:p>
        </w:tc>
        <w:tc>
          <w:tcPr>
            <w:tcW w:w="1874"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z w:val="22"/>
              </w:rPr>
              <w:t>ALIGNMENT</w:t>
            </w:r>
          </w:p>
          <w:p>
            <w:pPr>
              <w:pStyle w:val="TableContents"/>
              <w:bidi w:val="0"/>
              <w:spacing w:lineRule="atLeast" w:line="220" w:before="120" w:after="283"/>
              <w:jc w:val="left"/>
              <w:rPr>
                <w:spacing w:val="-2"/>
              </w:rPr>
            </w:pPr>
            <w:r>
              <w:rPr>
                <w:spacing w:val="-2"/>
              </w:rPr>
              <w:t xml:space="preserve">Provide performance-based incentives that create a strong alignment of management and stockholder interests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288"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z w:val="22"/>
              </w:rPr>
              <w:t>TALENT</w:t>
            </w:r>
          </w:p>
          <w:p>
            <w:pPr>
              <w:pStyle w:val="TableContents"/>
              <w:bidi w:val="0"/>
              <w:spacing w:lineRule="atLeast" w:line="220" w:before="120" w:after="283"/>
              <w:jc w:val="left"/>
              <w:rPr>
                <w:spacing w:val="-2"/>
              </w:rPr>
            </w:pPr>
            <w:r>
              <w:rPr>
                <w:spacing w:val="-2"/>
              </w:rPr>
              <w:t xml:space="preserve">Attract and retain top talent in a market that is highly competitive for New York City commercial real estate management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651"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z w:val="22"/>
              </w:rPr>
              <w:t>MOTIVATION</w:t>
            </w:r>
          </w:p>
          <w:p>
            <w:pPr>
              <w:pStyle w:val="TableContents"/>
              <w:bidi w:val="0"/>
              <w:spacing w:lineRule="atLeast" w:line="220" w:before="120" w:after="283"/>
              <w:jc w:val="left"/>
              <w:rPr>
                <w:spacing w:val="-2"/>
              </w:rPr>
            </w:pPr>
            <w:r>
              <w:rPr>
                <w:spacing w:val="-2"/>
              </w:rPr>
              <w:t xml:space="preserve">Motivate our executives to achieve superior performance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389"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z w:val="22"/>
              </w:rPr>
              <w:t>BALANCE</w:t>
            </w:r>
          </w:p>
          <w:p>
            <w:pPr>
              <w:pStyle w:val="TableContents"/>
              <w:bidi w:val="0"/>
              <w:spacing w:lineRule="atLeast" w:line="220" w:before="120" w:after="283"/>
              <w:jc w:val="left"/>
              <w:rPr>
                <w:spacing w:val="-2"/>
              </w:rPr>
            </w:pPr>
            <w:r>
              <w:rPr>
                <w:spacing w:val="-2"/>
              </w:rPr>
              <w:t xml:space="preserve">Achieve an appropriate balance between risk and reward in our compensation programs that does not create incentives for unnecessary or excessive risk taking </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1516" w:type="dxa"/>
            <w:tcBorders>
              <w:bottom w:val="single" w:sz="6" w:space="0" w:color="83AD40"/>
            </w:tcBorders>
            <w:tcMar>
              <w:bottom w:w="180" w:type="dxa"/>
            </w:tcMar>
            <w:vAlign w:val="center"/>
          </w:tcPr>
          <w:p>
            <w:pPr>
              <w:pStyle w:val="TableContents"/>
              <w:bidi w:val="0"/>
              <w:spacing w:before="0" w:after="0"/>
              <w:jc w:val="left"/>
              <w:rPr>
                <w:b/>
                <w:color w:val="83AD40"/>
                <w:sz w:val="22"/>
              </w:rPr>
            </w:pPr>
            <w:r>
              <w:rPr>
                <w:b/>
                <w:color w:val="83AD40"/>
                <w:sz w:val="22"/>
              </w:rPr>
              <w:t>EFFICIENCY</w:t>
            </w:r>
          </w:p>
          <w:p>
            <w:pPr>
              <w:pStyle w:val="TableContents"/>
              <w:bidi w:val="0"/>
              <w:spacing w:lineRule="atLeast" w:line="220" w:before="120" w:after="283"/>
              <w:jc w:val="left"/>
              <w:rPr/>
            </w:pPr>
            <w:r>
              <w:rPr>
                <w:spacing w:val="-2"/>
              </w:rPr>
              <w:t>Foster the dedication required to succeed against our competitors, while maintaining low overall general and administrative expense</w:t>
            </w:r>
            <w:r>
              <w:rPr/>
              <w:t xml:space="preserve"> </w:t>
            </w:r>
          </w:p>
        </w:tc>
        <w:tc>
          <w:tcPr>
            <w:tcW w:w="155" w:type="dxa"/>
            <w:tcBorders>
              <w:bottom w:val="single" w:sz="6" w:space="0" w:color="83AD40"/>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2023 Performance Highlights</w:t>
      </w:r>
      <w:r>
        <w:rPr>
          <w:rFonts w:ascii="Arial;Helvetica;sans-serif" w:hAnsi="Arial;Helvetica;sans-serif"/>
          <w:b/>
          <w:i w:val="false"/>
          <w:caps w:val="false"/>
          <w:smallCaps w:val="false"/>
          <w:color w:val="000000"/>
          <w:spacing w:val="4"/>
          <w:sz w:val="22"/>
        </w:rPr>
        <w:t xml:space="preserve"> </w:t>
      </w:r>
    </w:p>
    <w:tbl>
      <w:tblPr>
        <w:tblW w:w="8332" w:type="dxa"/>
        <w:jc w:val="left"/>
        <w:tblInd w:w="900" w:type="dxa"/>
        <w:tblLayout w:type="fixed"/>
        <w:tblCellMar>
          <w:top w:w="0" w:type="dxa"/>
          <w:left w:w="0" w:type="dxa"/>
          <w:bottom w:w="28" w:type="dxa"/>
          <w:right w:w="0" w:type="dxa"/>
        </w:tblCellMar>
      </w:tblPr>
      <w:tblGrid>
        <w:gridCol w:w="124"/>
        <w:gridCol w:w="3796"/>
        <w:gridCol w:w="109"/>
        <w:gridCol w:w="109"/>
        <w:gridCol w:w="109"/>
        <w:gridCol w:w="3931"/>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796"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48.41% One-Year TSR</w:t>
            </w:r>
          </w:p>
          <w:p>
            <w:pPr>
              <w:pStyle w:val="TableContents"/>
              <w:bidi w:val="0"/>
              <w:spacing w:lineRule="atLeast" w:line="200" w:before="0" w:after="0"/>
              <w:jc w:val="left"/>
              <w:rPr/>
            </w:pPr>
            <w:r>
              <w:rPr>
                <w:sz w:val="18"/>
              </w:rPr>
              <w:t>Best One-Year TSR of all Office and NYC Peers</w:t>
            </w:r>
            <w:r>
              <w:rPr>
                <w:sz w:val="11"/>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31"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+4,902 basis points</w:t>
            </w:r>
          </w:p>
          <w:p>
            <w:pPr>
              <w:pStyle w:val="TableContents"/>
              <w:bidi w:val="0"/>
              <w:spacing w:lineRule="atLeast" w:line="200" w:before="0" w:after="0"/>
              <w:jc w:val="left"/>
              <w:rPr>
                <w:sz w:val="18"/>
              </w:rPr>
            </w:pPr>
            <w:r>
              <w:rPr>
                <w:sz w:val="18"/>
              </w:rPr>
              <w:t>One-Year Outperformance vs. US Office REIT Index</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796"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$5.48</w:t>
            </w:r>
          </w:p>
          <w:p>
            <w:pPr>
              <w:pStyle w:val="TableContents"/>
              <w:bidi w:val="0"/>
              <w:spacing w:lineRule="atLeast" w:line="200" w:before="0" w:after="0"/>
              <w:jc w:val="left"/>
              <w:rPr/>
            </w:pPr>
            <w:r>
              <w:rPr>
                <w:sz w:val="18"/>
              </w:rPr>
              <w:t>Normalized FFO Per Share</w:t>
            </w:r>
            <w:r>
              <w:rPr>
                <w:sz w:val="11"/>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31" w:type="dxa"/>
            <w:tcBorders>
              <w:bottom w:val="single" w:sz="2" w:space="0" w:color="83AD40"/>
            </w:tcBorders>
            <w:tcMar>
              <w:bottom w:w="68" w:type="dxa"/>
            </w:tcMar>
            <w:vAlign w:val="center"/>
          </w:tcPr>
          <w:p>
            <w:pPr>
              <w:pStyle w:val="TableContents"/>
              <w:bidi w:val="0"/>
              <w:spacing w:before="0" w:after="0"/>
              <w:jc w:val="left"/>
              <w:rPr>
                <w:b w:val="false"/>
                <w:sz w:val="36"/>
              </w:rPr>
            </w:pPr>
            <w:r>
              <w:rPr>
                <w:b w:val="false"/>
                <w:sz w:val="36"/>
              </w:rPr>
              <w:t>5.8%</w:t>
            </w:r>
          </w:p>
          <w:p>
            <w:pPr>
              <w:pStyle w:val="TableContents"/>
              <w:bidi w:val="0"/>
              <w:spacing w:lineRule="atLeast" w:line="200" w:before="0" w:after="0"/>
              <w:jc w:val="left"/>
              <w:rPr/>
            </w:pPr>
            <w:r>
              <w:rPr>
                <w:sz w:val="18"/>
              </w:rPr>
              <w:t>Same Store Cash NOI</w:t>
            </w:r>
            <w:r>
              <w:rPr>
                <w:sz w:val="11"/>
              </w:rPr>
              <w:t>(2)</w:t>
            </w:r>
            <w:r>
              <w:rPr/>
              <w:t xml:space="preserve"> </w:t>
            </w:r>
            <w:r>
              <w:rPr>
                <w:sz w:val="18"/>
              </w:rPr>
              <w:t>Growth</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6" w:space="0" w:color="83AD40"/>
            </w:tcBorders>
            <w:vAlign w:val="center"/>
          </w:tcPr>
          <w:p>
            <w:pPr>
              <w:pStyle w:val="TableContents"/>
              <w:bidi w:val="0"/>
              <w:spacing w:before="0" w:after="283"/>
              <w:jc w:val="left"/>
              <w:rPr/>
            </w:pPr>
            <w:r>
              <w:rPr/>
              <w:t>​</w:t>
            </w:r>
          </w:p>
        </w:tc>
        <w:tc>
          <w:tcPr>
            <w:tcW w:w="3796" w:type="dxa"/>
            <w:tcBorders>
              <w:bottom w:val="single" w:sz="6" w:space="0" w:color="83AD40"/>
            </w:tcBorders>
            <w:tcMar>
              <w:bottom w:w="68" w:type="dxa"/>
            </w:tcMar>
            <w:vAlign w:val="center"/>
          </w:tcPr>
          <w:p>
            <w:pPr>
              <w:pStyle w:val="TableContents"/>
              <w:bidi w:val="0"/>
              <w:spacing w:before="0" w:after="0"/>
              <w:jc w:val="left"/>
              <w:rPr>
                <w:b w:val="false"/>
                <w:sz w:val="36"/>
              </w:rPr>
            </w:pPr>
            <w:r>
              <w:rPr>
                <w:b w:val="false"/>
                <w:sz w:val="36"/>
              </w:rPr>
              <w:t>1.8M square feet</w:t>
            </w:r>
          </w:p>
          <w:p>
            <w:pPr>
              <w:pStyle w:val="TableContents"/>
              <w:bidi w:val="0"/>
              <w:spacing w:lineRule="atLeast" w:line="200" w:before="0" w:after="0"/>
              <w:jc w:val="left"/>
              <w:rPr>
                <w:sz w:val="18"/>
              </w:rPr>
            </w:pPr>
            <w:r>
              <w:rPr>
                <w:sz w:val="18"/>
              </w:rPr>
              <w:t>Manhattan Office Leasing Volume</w:t>
            </w:r>
          </w:p>
        </w:tc>
        <w:tc>
          <w:tcPr>
            <w:tcW w:w="109" w:type="dxa"/>
            <w:tcBorders>
              <w:bottom w:val="single" w:sz="6" w:space="0" w:color="83AD40"/>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83AD40"/>
            </w:tcBorders>
            <w:vAlign w:val="center"/>
          </w:tcPr>
          <w:p>
            <w:pPr>
              <w:pStyle w:val="TableContents"/>
              <w:bidi w:val="0"/>
              <w:spacing w:before="0" w:after="283"/>
              <w:jc w:val="left"/>
              <w:rPr/>
            </w:pPr>
            <w:r>
              <w:rPr/>
              <w:t>​</w:t>
            </w:r>
          </w:p>
        </w:tc>
        <w:tc>
          <w:tcPr>
            <w:tcW w:w="3931" w:type="dxa"/>
            <w:tcBorders>
              <w:bottom w:val="single" w:sz="6" w:space="0" w:color="83AD40"/>
            </w:tcBorders>
            <w:tcMar>
              <w:bottom w:w="68" w:type="dxa"/>
            </w:tcMar>
            <w:vAlign w:val="center"/>
          </w:tcPr>
          <w:p>
            <w:pPr>
              <w:pStyle w:val="TableContents"/>
              <w:bidi w:val="0"/>
              <w:spacing w:before="0" w:after="0"/>
              <w:jc w:val="left"/>
              <w:rPr>
                <w:b w:val="false"/>
                <w:sz w:val="36"/>
              </w:rPr>
            </w:pPr>
            <w:r>
              <w:rPr>
                <w:b w:val="false"/>
                <w:sz w:val="36"/>
              </w:rPr>
              <w:t>$248M</w:t>
            </w:r>
          </w:p>
          <w:p>
            <w:pPr>
              <w:pStyle w:val="TableContents"/>
              <w:bidi w:val="0"/>
              <w:spacing w:lineRule="atLeast" w:line="200" w:before="0" w:after="283"/>
              <w:jc w:val="left"/>
              <w:rPr/>
            </w:pPr>
            <w:r>
              <w:rPr>
                <w:sz w:val="18"/>
              </w:rPr>
              <w:t>Normalized Funds Available for Distribution</w:t>
            </w:r>
            <w:r>
              <w:rPr>
                <w:sz w:val="11"/>
              </w:rPr>
              <w:t>(2)</w:t>
            </w:r>
            <w:r>
              <w:rPr/>
              <w:t xml:space="preserve"> </w:t>
            </w:r>
          </w:p>
        </w:tc>
        <w:tc>
          <w:tcPr>
            <w:tcW w:w="154" w:type="dxa"/>
            <w:tcBorders>
              <w:bottom w:val="single" w:sz="6" w:space="0" w:color="83AD40"/>
            </w:tcBorders>
            <w:vAlign w:val="center"/>
          </w:tcPr>
          <w:p>
            <w:pPr>
              <w:pStyle w:val="TableContents"/>
              <w:bidi w:val="0"/>
              <w:spacing w:before="0" w:after="283"/>
              <w:jc w:val="left"/>
              <w:rPr/>
            </w:pPr>
            <w:r>
              <w:rPr/>
              <w:t>​</w:t>
            </w:r>
          </w:p>
        </w:tc>
      </w:tr>
    </w:tbl>
    <w:p>
      <w:pPr>
        <w:pStyle w:val="TextBody"/>
        <w:bidi w:val="0"/>
        <w:spacing w:lineRule="atLeast" w:line="220" w:before="190"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2023 GOALS AND ACHIEVEMENTS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2023 Goals were presented at our Institutional Investor Conference on December 5, 2022.</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28" w:type="dxa"/>
          <w:right w:w="0" w:type="dxa"/>
        </w:tblCellMar>
      </w:tblPr>
      <w:tblGrid>
        <w:gridCol w:w="4286"/>
        <w:gridCol w:w="109"/>
        <w:gridCol w:w="109"/>
        <w:gridCol w:w="382"/>
        <w:gridCol w:w="109"/>
        <w:gridCol w:w="109"/>
        <w:gridCol w:w="109"/>
        <w:gridCol w:w="3827"/>
        <w:gridCol w:w="109"/>
        <w:gridCol w:w="156"/>
      </w:tblGrid>
      <w:tr>
        <w:trPr/>
        <w:tc>
          <w:tcPr>
            <w:tcW w:w="4286" w:type="dxa"/>
            <w:tcBorders>
              <w:bottom w:val="single" w:sz="8" w:space="0" w:color="1F2668"/>
            </w:tcBorders>
            <w:vAlign w:val="center"/>
          </w:tcPr>
          <w:p>
            <w:pPr>
              <w:pStyle w:val="TableContents"/>
              <w:bidi w:val="0"/>
              <w:spacing w:before="0" w:after="0"/>
              <w:ind w:left="80" w:right="0" w:hanging="0"/>
              <w:jc w:val="left"/>
              <w:rPr/>
            </w:pPr>
            <w:r>
              <w:rPr/>
              <w:t>Goals for 2023</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82"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top w:val="single" w:sz="18" w:space="0" w:color="83AD40"/>
              <w:bottom w:val="single" w:sz="2" w:space="0" w:color="83AD40"/>
            </w:tcBorders>
            <w:shd w:fill="83AD40" w:val="clear"/>
            <w:tcMar>
              <w:top w:w="28" w:type="dxa"/>
            </w:tcMar>
            <w:vAlign w:val="center"/>
          </w:tcPr>
          <w:p>
            <w:pPr>
              <w:pStyle w:val="TableContents"/>
              <w:bidi w:val="0"/>
              <w:spacing w:before="0" w:after="283"/>
              <w:jc w:val="left"/>
              <w:rPr/>
            </w:pPr>
            <w:r>
              <w:rPr/>
              <w:t>​</w:t>
            </w:r>
          </w:p>
        </w:tc>
        <w:tc>
          <w:tcPr>
            <w:tcW w:w="109" w:type="dxa"/>
            <w:tcBorders>
              <w:top w:val="single" w:sz="18" w:space="0" w:color="83AD40"/>
              <w:bottom w:val="single" w:sz="8" w:space="0" w:color="1F2668"/>
            </w:tcBorders>
            <w:tcMar>
              <w:top w:w="28" w:type="dxa"/>
            </w:tcMar>
            <w:vAlign w:val="center"/>
          </w:tcPr>
          <w:p>
            <w:pPr>
              <w:pStyle w:val="TableContents"/>
              <w:bidi w:val="0"/>
              <w:spacing w:before="0" w:after="283"/>
              <w:jc w:val="left"/>
              <w:rPr/>
            </w:pPr>
            <w:r>
              <w:rPr/>
              <w:t>​</w:t>
            </w:r>
          </w:p>
        </w:tc>
        <w:tc>
          <w:tcPr>
            <w:tcW w:w="3827" w:type="dxa"/>
            <w:tcBorders>
              <w:top w:val="single" w:sz="18" w:space="0" w:color="83AD40"/>
              <w:bottom w:val="single" w:sz="8" w:space="0" w:color="1F2668"/>
            </w:tcBorders>
            <w:tcMar>
              <w:top w:w="150" w:type="dxa"/>
            </w:tcMar>
            <w:vAlign w:val="center"/>
          </w:tcPr>
          <w:p>
            <w:pPr>
              <w:pStyle w:val="TableContents"/>
              <w:bidi w:val="0"/>
              <w:spacing w:before="0" w:after="0"/>
              <w:jc w:val="left"/>
              <w:rPr>
                <w:color w:val="83AD40"/>
              </w:rPr>
            </w:pPr>
            <w:r>
              <w:rPr>
                <w:color w:val="83AD40"/>
              </w:rPr>
              <w:t>How We Did</w:t>
            </w:r>
          </w:p>
        </w:tc>
        <w:tc>
          <w:tcPr>
            <w:tcW w:w="109" w:type="dxa"/>
            <w:tcBorders>
              <w:top w:val="single" w:sz="18" w:space="0" w:color="83AD40"/>
              <w:bottom w:val="single" w:sz="8" w:space="0" w:color="1F2668"/>
            </w:tcBorders>
            <w:tcMar>
              <w:top w:w="28" w:type="dxa"/>
            </w:tcMar>
            <w:vAlign w:val="center"/>
          </w:tcPr>
          <w:p>
            <w:pPr>
              <w:pStyle w:val="TableContents"/>
              <w:bidi w:val="0"/>
              <w:spacing w:before="0" w:after="283"/>
              <w:jc w:val="left"/>
              <w:rPr/>
            </w:pPr>
            <w:r>
              <w:rPr/>
              <w:t>​</w:t>
            </w:r>
          </w:p>
        </w:tc>
        <w:tc>
          <w:tcPr>
            <w:tcW w:w="156" w:type="dxa"/>
            <w:tcBorders>
              <w:top w:val="single" w:sz="18" w:space="0" w:color="83AD40"/>
              <w:bottom w:val="single" w:sz="2" w:space="0" w:color="83AD40"/>
            </w:tcBorders>
            <w:shd w:fill="83AD40" w:val="clear"/>
            <w:tcMar>
              <w:top w:w="28" w:type="dxa"/>
            </w:tcM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Sign 1.7M Square Feet of Manhattan Office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235" descr=""/>
                          <pic:cNvPicPr>
                            <a:picLocks noChangeAspect="1" noChangeArrowheads="1"/>
                          </pic:cNvPicPr>
                        </pic:nvPicPr>
                        <pic:blipFill>
                          <a:blip r:embed="rId32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Signed 1.8M Square Feet of Manhattan Office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Manhattan Same Store Occupancy 92.4%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Achieved 90.0% Occupancy at Year End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Manhattan Office Mark-To-Market (2.5%)—+2.5%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36" descr=""/>
                          <pic:cNvPicPr>
                            <a:picLocks noChangeAspect="1" noChangeArrowheads="1"/>
                          </pic:cNvPicPr>
                        </pic:nvPicPr>
                        <pic:blipFill>
                          <a:blip r:embed="rId321"/>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0.8% Mark-to-Market on Signed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Complete $3.5B Share Repurchase Program ($122M)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No Share Repurchases in 2023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Acquisitions &gt;$200M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237" descr=""/>
                          <pic:cNvPicPr>
                            <a:picLocks noChangeAspect="1" noChangeArrowheads="1"/>
                          </pic:cNvPicPr>
                        </pic:nvPicPr>
                        <pic:blipFill>
                          <a:blip r:embed="rId322"/>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$400 Million of Strategic Acquisitions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Dispositions &gt;$2.0B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$1.1 Billion of Strategic Dispositions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Debt and Preferred Equity Originations &gt;$200M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No Originations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Debt and Preferred Equity Originations at 12% Return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Estimated Return of 0%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One Madison: Sign Leases &gt;265,000 Square Feet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Signed 53,000 Square Feet of Leases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One Madison: Temporary Certificate of Occupancy by Oct.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238" descr=""/>
                          <pic:cNvPicPr>
                            <a:picLocks noChangeAspect="1" noChangeArrowheads="1"/>
                          </pic:cNvPicPr>
                        </pic:nvPicPr>
                        <pic:blipFill>
                          <a:blip r:embed="rId323"/>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in September 2023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760 Madison: Turnover Retail Space to Armani by Q4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5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239" descr=""/>
                          <pic:cNvPicPr>
                            <a:picLocks noChangeAspect="1" noChangeArrowheads="1"/>
                          </pic:cNvPicPr>
                        </pic:nvPicPr>
                        <pic:blipFill>
                          <a:blip r:embed="rId324"/>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in Q4 of 2023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760 Madison: Sign 50% of Condominium Sale Contracts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240" descr=""/>
                          <pic:cNvPicPr>
                            <a:picLocks noChangeAspect="1" noChangeArrowheads="1"/>
                          </pic:cNvPicPr>
                        </pic:nvPicPr>
                        <pic:blipFill>
                          <a:blip r:embed="rId325"/>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Signed 50% of Condominium Sale Contracts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245 Park: Sell Joint Venture Interest of 75%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25% of Sale Deferred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15 Beekman: Turnover Dormitory Space to Pace by Q3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241" descr=""/>
                          <pic:cNvPicPr>
                            <a:picLocks noChangeAspect="1" noChangeArrowheads="1"/>
                          </pic:cNvPicPr>
                        </pic:nvPicPr>
                        <pic:blipFill>
                          <a:blip r:embed="rId326"/>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in Q3 of 2023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pPr>
            <w:r>
              <w:rPr>
                <w:spacing w:val="-2"/>
              </w:rPr>
              <w:t>Same Store Cash NOI</w:t>
            </w:r>
            <w:r>
              <w:rPr>
                <w:spacing w:val="-1"/>
                <w:sz w:val="10"/>
              </w:rPr>
              <w:t>(1)</w:t>
            </w:r>
            <w:r>
              <w:rPr>
                <w:spacing w:val="-2"/>
              </w:rPr>
              <w:t xml:space="preserve"> Growth &gt;3.0%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242" descr=""/>
                          <pic:cNvPicPr>
                            <a:picLocks noChangeAspect="1" noChangeArrowheads="1"/>
                          </pic:cNvPicPr>
                        </pic:nvPicPr>
                        <pic:blipFill>
                          <a:blip r:embed="rId327"/>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Growth of 5.8%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Reduce Debt by $2.5B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Reduced Debt by approximately $0.9B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One-Year TSR Performance &gt;10%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243" descr=""/>
                          <pic:cNvPicPr>
                            <a:picLocks noChangeAspect="1" noChangeArrowheads="1"/>
                          </pic:cNvPicPr>
                        </pic:nvPicPr>
                        <pic:blipFill>
                          <a:blip r:embed="rId328"/>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TSR Performance of 48.41%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Exceed DJ U.S. Real Estate Office Index by 250 basis points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244" descr=""/>
                          <pic:cNvPicPr>
                            <a:picLocks noChangeAspect="1" noChangeArrowheads="1"/>
                          </pic:cNvPicPr>
                        </pic:nvPicPr>
                        <pic:blipFill>
                          <a:blip r:embed="rId329"/>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Outperformed Index by 4,902 Basis Points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GRESB Score of 90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b/>
              </w:rPr>
            </w:pPr>
            <w:r>
              <w:rPr>
                <w:b/>
              </w:rPr>
              <w:t>X</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GRESB Score of 88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before="0" w:after="0"/>
              <w:ind w:left="80" w:right="0" w:hanging="0"/>
              <w:jc w:val="left"/>
              <w:rPr>
                <w:spacing w:val="-2"/>
              </w:rPr>
            </w:pPr>
            <w:r>
              <w:rPr>
                <w:spacing w:val="-2"/>
              </w:rPr>
              <w:t xml:space="preserve">Obtain Downstate Casino License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tcMar>
              <w:bottom w:w="6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before="0" w:after="283"/>
              <w:jc w:val="left"/>
              <w:rPr>
                <w:spacing w:val="-2"/>
              </w:rPr>
            </w:pPr>
            <w:r>
              <w:rPr>
                <w:spacing w:val="-2"/>
              </w:rPr>
              <w:t xml:space="preserve">Delayed to 2024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6" w:space="0" w:color="4B5088"/>
            </w:tcBorders>
            <w:tcMar>
              <w:bottom w:w="60" w:type="dxa"/>
            </w:tcMar>
            <w:vAlign w:val="center"/>
          </w:tcPr>
          <w:p>
            <w:pPr>
              <w:pStyle w:val="TableContents"/>
              <w:bidi w:val="0"/>
              <w:spacing w:lineRule="atLeast" w:line="196" w:before="0" w:after="0"/>
              <w:ind w:left="80" w:right="0" w:hanging="0"/>
              <w:jc w:val="left"/>
              <w:rPr>
                <w:spacing w:val="-2"/>
              </w:rPr>
            </w:pPr>
            <w:r>
              <w:rPr>
                <w:spacing w:val="-2"/>
              </w:rPr>
              <w:t xml:space="preserve">Summit Attendance of 1.8M Visitors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 w:type="dxa"/>
            <w:tcBorders>
              <w:bottom w:val="single" w:sz="6" w:space="0" w:color="4B5088"/>
            </w:tcBorders>
            <w:vAlign w:val="center"/>
          </w:tcPr>
          <w:p>
            <w:pPr>
              <w:pStyle w:val="TableContents"/>
              <w:bidi w:val="0"/>
              <w:spacing w:before="0" w:after="0"/>
              <w:jc w:val="center"/>
              <w:rPr/>
            </w:pPr>
            <w:r>
              <w:rPr/>
              <w:drawing>
                <wp:inline distT="0" distB="0" distL="0" distR="0">
                  <wp:extent cx="133350" cy="133350"/>
                  <wp:effectExtent l="0" t="0" r="0" b="0"/>
                  <wp:docPr id="66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245" descr=""/>
                          <pic:cNvPicPr>
                            <a:picLocks noChangeAspect="1" noChangeArrowheads="1"/>
                          </pic:cNvPicPr>
                        </pic:nvPicPr>
                        <pic:blipFill>
                          <a:blip r:embed="rId330"/>
                          <a:stretch>
                            <a:fillRect/>
                          </a:stretch>
                        </pic:blipFill>
                        <pic:spPr bwMode="auto">
                          <a:xfrm>
                            <a:off x="0" y="0"/>
                            <a:ext cx="133350" cy="133350"/>
                          </a:xfrm>
                          <a:prstGeom prst="rect">
                            <a:avLst/>
                          </a:prstGeom>
                        </pic:spPr>
                      </pic:pic>
                    </a:graphicData>
                  </a:graphic>
                </wp:inline>
              </w:drawing>
            </w:r>
            <w:r>
              <w:rPr/>
              <w:t xml:space="preserve"> </w:t>
            </w:r>
          </w:p>
        </w:tc>
        <w:tc>
          <w:tcPr>
            <w:tcW w:w="109" w:type="dxa"/>
            <w:tcBorders>
              <w:bottom w:val="single" w:sz="6" w:space="0" w:color="4B5088"/>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vAlign w:val="center"/>
          </w:tcPr>
          <w:p>
            <w:pPr>
              <w:pStyle w:val="TableContents"/>
              <w:bidi w:val="0"/>
              <w:spacing w:before="0" w:after="283"/>
              <w:jc w:val="left"/>
              <w:rPr/>
            </w:pPr>
            <w:r>
              <w:rPr/>
              <w:t>​</w:t>
            </w:r>
          </w:p>
        </w:tc>
        <w:tc>
          <w:tcPr>
            <w:tcW w:w="109" w:type="dxa"/>
            <w:tcBorders>
              <w:bottom w:val="single" w:sz="6" w:space="0" w:color="4B5088"/>
            </w:tcBorders>
            <w:vAlign w:val="center"/>
          </w:tcPr>
          <w:p>
            <w:pPr>
              <w:pStyle w:val="TableContents"/>
              <w:bidi w:val="0"/>
              <w:spacing w:before="0" w:after="283"/>
              <w:jc w:val="left"/>
              <w:rPr/>
            </w:pPr>
            <w:r>
              <w:rPr/>
              <w:t>​</w:t>
            </w:r>
          </w:p>
        </w:tc>
        <w:tc>
          <w:tcPr>
            <w:tcW w:w="3827" w:type="dxa"/>
            <w:tcBorders>
              <w:bottom w:val="single" w:sz="6" w:space="0" w:color="4B5088"/>
            </w:tcBorders>
            <w:tcMar>
              <w:bottom w:w="60" w:type="dxa"/>
            </w:tcMar>
            <w:vAlign w:val="center"/>
          </w:tcPr>
          <w:p>
            <w:pPr>
              <w:pStyle w:val="TableContents"/>
              <w:bidi w:val="0"/>
              <w:spacing w:lineRule="atLeast" w:line="196" w:before="0" w:after="0"/>
              <w:jc w:val="left"/>
              <w:rPr>
                <w:spacing w:val="-2"/>
              </w:rPr>
            </w:pPr>
            <w:r>
              <w:rPr>
                <w:spacing w:val="-2"/>
              </w:rPr>
              <w:t xml:space="preserve">Achieved 2.1M Visitors </w:t>
            </w:r>
          </w:p>
        </w:tc>
        <w:tc>
          <w:tcPr>
            <w:tcW w:w="109" w:type="dxa"/>
            <w:tcBorders>
              <w:bottom w:val="single" w:sz="6" w:space="0" w:color="4B5088"/>
            </w:tcBorders>
            <w:vAlign w:val="center"/>
          </w:tcPr>
          <w:p>
            <w:pPr>
              <w:pStyle w:val="TableContents"/>
              <w:bidi w:val="0"/>
              <w:spacing w:before="0" w:after="283"/>
              <w:jc w:val="left"/>
              <w:rPr/>
            </w:pPr>
            <w:r>
              <w:rPr/>
              <w:t>​</w:t>
            </w:r>
          </w:p>
        </w:tc>
        <w:tc>
          <w:tcPr>
            <w:tcW w:w="156" w:type="dxa"/>
            <w:tcBorders>
              <w:bottom w:val="single" w:sz="2" w:space="0" w:color="83AD40"/>
            </w:tcBorders>
            <w:shd w:fill="83AD40" w:val="clear"/>
            <w:vAlign w:val="center"/>
          </w:tcPr>
          <w:p>
            <w:pPr>
              <w:pStyle w:val="TableContents"/>
              <w:bidi w:val="0"/>
              <w:spacing w:before="0" w:after="283"/>
              <w:jc w:val="left"/>
              <w:rPr/>
            </w:pPr>
            <w:r>
              <w:rPr/>
              <w:t>​</w:t>
            </w:r>
          </w:p>
        </w:tc>
      </w:tr>
      <w:tr>
        <w:trPr/>
        <w:tc>
          <w:tcPr>
            <w:tcW w:w="4286" w:type="dxa"/>
            <w:tcBorders>
              <w:bottom w:val="single" w:sz="8" w:space="0" w:color="1F2668"/>
            </w:tcBorders>
            <w:vAlign w:val="center"/>
          </w:tcPr>
          <w:p>
            <w:pPr>
              <w:pStyle w:val="TableContents"/>
              <w:bidi w:val="0"/>
              <w:spacing w:lineRule="atLeast" w:line="196" w:before="0" w:after="0"/>
              <w:ind w:left="80" w:right="0" w:hanging="0"/>
              <w:jc w:val="left"/>
              <w:rPr>
                <w:spacing w:val="-2"/>
              </w:rPr>
            </w:pPr>
            <w:r>
              <w:rPr>
                <w:spacing w:val="-2"/>
              </w:rPr>
              <w:t xml:space="preserve">Identify Second Summit Location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382" w:type="dxa"/>
            <w:tcBorders>
              <w:bottom w:val="single" w:sz="8" w:space="0" w:color="1F2668"/>
            </w:tcBorders>
            <w:vAlign w:val="center"/>
          </w:tcPr>
          <w:p>
            <w:pPr>
              <w:pStyle w:val="TableContents"/>
              <w:bidi w:val="0"/>
              <w:spacing w:lineRule="atLeast" w:line="196" w:before="0" w:after="0"/>
              <w:jc w:val="center"/>
              <w:rPr>
                <w:b/>
              </w:rPr>
            </w:pPr>
            <w:r>
              <w:rPr>
                <w:b/>
              </w:rPr>
              <w:t>X</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18" w:space="0" w:color="83AD40"/>
            </w:tcBorders>
            <w:shd w:fill="83AD40" w:val="clear"/>
            <w:vAlign w:val="center"/>
          </w:tcPr>
          <w:p>
            <w:pPr>
              <w:pStyle w:val="TableContents"/>
              <w:bidi w:val="0"/>
              <w:spacing w:before="0" w:after="283"/>
              <w:jc w:val="left"/>
              <w:rPr/>
            </w:pPr>
            <w:r>
              <w:rPr/>
              <w:t>​</w:t>
            </w:r>
          </w:p>
        </w:tc>
        <w:tc>
          <w:tcPr>
            <w:tcW w:w="109" w:type="dxa"/>
            <w:tcBorders>
              <w:bottom w:val="single" w:sz="18" w:space="0" w:color="83AD40"/>
            </w:tcBorders>
            <w:vAlign w:val="center"/>
          </w:tcPr>
          <w:p>
            <w:pPr>
              <w:pStyle w:val="TableContents"/>
              <w:bidi w:val="0"/>
              <w:spacing w:before="0" w:after="283"/>
              <w:jc w:val="left"/>
              <w:rPr/>
            </w:pPr>
            <w:r>
              <w:rPr/>
              <w:t>​</w:t>
            </w:r>
          </w:p>
        </w:tc>
        <w:tc>
          <w:tcPr>
            <w:tcW w:w="3827" w:type="dxa"/>
            <w:tcBorders>
              <w:bottom w:val="single" w:sz="18" w:space="0" w:color="83AD40"/>
            </w:tcBorders>
            <w:vAlign w:val="center"/>
          </w:tcPr>
          <w:p>
            <w:pPr>
              <w:pStyle w:val="TableContents"/>
              <w:bidi w:val="0"/>
              <w:spacing w:lineRule="atLeast" w:line="196" w:before="0" w:after="0"/>
              <w:jc w:val="left"/>
              <w:rPr/>
            </w:pPr>
            <w:r>
              <w:rPr>
                <w:spacing w:val="-2"/>
              </w:rPr>
              <w:t>Delayed</w:t>
            </w:r>
            <w:r>
              <w:rPr/>
              <w:t xml:space="preserve"> </w:t>
            </w:r>
          </w:p>
        </w:tc>
        <w:tc>
          <w:tcPr>
            <w:tcW w:w="109" w:type="dxa"/>
            <w:tcBorders>
              <w:bottom w:val="single" w:sz="18" w:space="0" w:color="83AD40"/>
            </w:tcBorders>
            <w:vAlign w:val="center"/>
          </w:tcPr>
          <w:p>
            <w:pPr>
              <w:pStyle w:val="TableContents"/>
              <w:bidi w:val="0"/>
              <w:spacing w:before="0" w:after="283"/>
              <w:jc w:val="left"/>
              <w:rPr/>
            </w:pPr>
            <w:r>
              <w:rPr/>
              <w:t>​</w:t>
            </w:r>
          </w:p>
        </w:tc>
        <w:tc>
          <w:tcPr>
            <w:tcW w:w="156" w:type="dxa"/>
            <w:tcBorders>
              <w:bottom w:val="single" w:sz="18" w:space="0" w:color="83AD40"/>
            </w:tcBorders>
            <w:shd w:fill="83AD40" w:val="cle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55"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Source: Bloomberg.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98425" distB="0" distL="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66"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5pt;mso-wrap-distance-bottom:0pt;margin-top:7.7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Refer to Appendix A to this proxy statement for reconciliations of Normalized FFO Per Share, Normalized Funds Available for Distribution and Same Store Cash NOI. Same Store Cash NOI is presented excluding lease termination income.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67"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00" w:before="0" w:after="0"/>
              <w:jc w:val="left"/>
              <w:rPr/>
            </w:pPr>
            <w:r>
              <w:rPr>
                <w:spacing w:val="-2"/>
              </w:rPr>
              <w:t xml:space="preserve">For 2023, the goals established as part of our performance-based compensation programs in January 2023 and at our December 2022 Institutional Investor Conference established a roadmap for the year ahead. However, as in prior years, the Company </w:t>
            </w:r>
            <w:r>
              <w:rPr>
                <w:b/>
              </w:rPr>
              <w:t>remained agile and prioritized short-term and long-term stockholder return</w:t>
            </w:r>
            <w:r>
              <w:rPr>
                <w:spacing w:val="-2"/>
              </w:rPr>
              <w:t xml:space="preserve"> ahead of certain goals, such as share repurchases and achieving targeted liquidity and debt reductions, that became less attractive as conditions evolved over the course of the year. These steps were taken </w:t>
            </w:r>
            <w:r>
              <w:rPr>
                <w:b/>
              </w:rPr>
              <w:t>even where pursuing such other goals might have increased the payout of earned performance-based awards and annual bonuses</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Compensation Program Overview</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At the heart of our executive compensation philosophy is a commitment to variable, incentive-based pay that aligns stockholder value with the economic interests of our management team. The percentages below reflect the total direct compensation awarded to our named executive officers for 2023, which we believe best reflects the actual compensation decisions made by the Committee. We do not include our former President as an “Other NEO” for purposes of the percentages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Majority of 2023 Pay at Risk</w:t>
      </w:r>
      <w:r>
        <w:rPr>
          <w:rFonts w:ascii="Arial;Helvetica;sans-serif" w:hAnsi="Arial;Helvetica;sans-serif"/>
          <w:b/>
          <w:i w:val="false"/>
          <w:caps w:val="false"/>
          <w:smallCaps w:val="false"/>
          <w:color w:val="000000"/>
          <w:spacing w:val="4"/>
          <w:sz w:val="2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791200" cy="2505075"/>
            <wp:effectExtent l="0" t="0" r="0" b="0"/>
            <wp:docPr id="668"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246" descr=""/>
                    <pic:cNvPicPr>
                      <a:picLocks noChangeAspect="1" noChangeArrowheads="1"/>
                    </pic:cNvPicPr>
                  </pic:nvPicPr>
                  <pic:blipFill>
                    <a:blip r:embed="rId331"/>
                    <a:stretch>
                      <a:fillRect/>
                    </a:stretch>
                  </pic:blipFill>
                  <pic:spPr bwMode="auto">
                    <a:xfrm>
                      <a:off x="0" y="0"/>
                      <a:ext cx="5791200" cy="25050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2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Majority of 2023 Compensation Paid in Equity</w:t>
      </w:r>
      <w:r>
        <w:rPr>
          <w:rFonts w:ascii="Arial;Helvetica;sans-serif" w:hAnsi="Arial;Helvetica;sans-serif"/>
          <w:b/>
          <w:i w:val="false"/>
          <w:caps w:val="false"/>
          <w:smallCaps w:val="false"/>
          <w:color w:val="000000"/>
          <w:spacing w:val="4"/>
          <w:sz w:val="22"/>
        </w:rPr>
        <w:t xml:space="preserve"> </w:t>
      </w:r>
    </w:p>
    <w:tbl>
      <w:tblPr>
        <w:tblW w:w="6750" w:type="dxa"/>
        <w:jc w:val="left"/>
        <w:tblInd w:w="900" w:type="dxa"/>
        <w:tblLayout w:type="fixed"/>
        <w:tblCellMar>
          <w:top w:w="0" w:type="dxa"/>
          <w:left w:w="0" w:type="dxa"/>
          <w:bottom w:w="28" w:type="dxa"/>
          <w:right w:w="0" w:type="dxa"/>
        </w:tblCellMar>
      </w:tblPr>
      <w:tblGrid>
        <w:gridCol w:w="3669"/>
        <w:gridCol w:w="109"/>
        <w:gridCol w:w="109"/>
        <w:gridCol w:w="1111"/>
        <w:gridCol w:w="109"/>
        <w:gridCol w:w="109"/>
        <w:gridCol w:w="1380"/>
        <w:gridCol w:w="154"/>
      </w:tblGrid>
      <w:tr>
        <w:trPr/>
        <w:tc>
          <w:tcPr>
            <w:tcW w:w="366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111" w:type="dxa"/>
            <w:tcBorders>
              <w:bottom w:val="single" w:sz="2" w:space="0" w:color="1F2668"/>
            </w:tcBorders>
            <w:tcMar>
              <w:bottom w:w="35" w:type="dxa"/>
            </w:tcMar>
            <w:vAlign w:val="center"/>
          </w:tcPr>
          <w:p>
            <w:pPr>
              <w:pStyle w:val="TableContents"/>
              <w:bidi w:val="0"/>
              <w:spacing w:before="0" w:after="0"/>
              <w:jc w:val="center"/>
              <w:rPr>
                <w:spacing w:val="2"/>
              </w:rPr>
            </w:pPr>
            <w:r>
              <w:rPr>
                <w:spacing w:val="2"/>
              </w:rPr>
              <w:t xml:space="preserve">CEO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380" w:type="dxa"/>
            <w:tcBorders>
              <w:bottom w:val="single" w:sz="2" w:space="0" w:color="1F2668"/>
            </w:tcBorders>
            <w:tcMar>
              <w:bottom w:w="35" w:type="dxa"/>
            </w:tcMar>
            <w:vAlign w:val="center"/>
          </w:tcPr>
          <w:p>
            <w:pPr>
              <w:pStyle w:val="TableContents"/>
              <w:bidi w:val="0"/>
              <w:spacing w:before="0" w:after="0"/>
              <w:jc w:val="center"/>
              <w:rPr>
                <w:spacing w:val="2"/>
              </w:rPr>
            </w:pPr>
            <w:r>
              <w:rPr>
                <w:spacing w:val="2"/>
              </w:rPr>
              <w:t xml:space="preserve">Other NEOs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3669" w:type="dxa"/>
            <w:tcBorders>
              <w:bottom w:val="single" w:sz="2" w:space="0" w:color="1F2668"/>
            </w:tcBorders>
            <w:tcMar>
              <w:bottom w:w="252" w:type="dxa"/>
            </w:tcMar>
            <w:vAlign w:val="center"/>
          </w:tcPr>
          <w:p>
            <w:pPr>
              <w:pStyle w:val="TableContents"/>
              <w:bidi w:val="0"/>
              <w:spacing w:lineRule="atLeast" w:line="180" w:before="0" w:after="0"/>
              <w:jc w:val="left"/>
              <w:rPr>
                <w:b/>
              </w:rPr>
            </w:pPr>
            <w:r>
              <w:rPr>
                <w:b/>
              </w:rPr>
              <w:t>Equity Compensation</w:t>
            </w:r>
          </w:p>
          <w:p>
            <w:pPr>
              <w:pStyle w:val="TableContents"/>
              <w:bidi w:val="0"/>
              <w:spacing w:lineRule="atLeast" w:line="180" w:before="160" w:after="0"/>
              <w:ind w:left="180" w:right="0" w:hanging="0"/>
              <w:jc w:val="left"/>
              <w:rPr>
                <w:color w:val="000000"/>
                <w:spacing w:val="-2"/>
              </w:rPr>
            </w:pPr>
            <w:r>
              <w:rPr>
                <w:color w:val="000000"/>
                <w:spacing w:val="-2"/>
              </w:rPr>
              <w:t xml:space="preserve">Performance-Based Equity Awards </w:t>
            </w:r>
            <w:r>
              <mc:AlternateContent>
                <mc:Choice Requires="wps">
                  <w:drawing>
                    <wp:anchor behindDoc="0" distT="101600" distB="0" distL="0" distR="0" simplePos="0" locked="0" layoutInCell="1" allowOverlap="1" relativeHeight="657">
                      <wp:simplePos x="0" y="0"/>
                      <wp:positionH relativeFrom="column">
                        <wp:align>left</wp:align>
                      </wp:positionH>
                      <wp:positionV relativeFrom="line">
                        <wp:align>top</wp:align>
                      </wp:positionV>
                      <wp:extent cx="114300" cy="350520"/>
                      <wp:effectExtent l="0" t="0" r="0" b="0"/>
                      <wp:wrapSquare wrapText="right"/>
                      <wp:docPr id="669" name="Frame3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color w:val="000000"/>
                <w:spacing w:val="-2"/>
              </w:rPr>
            </w:pPr>
            <w:r>
              <w:rPr>
                <w:color w:val="000000"/>
                <w:spacing w:val="-2"/>
              </w:rPr>
              <w:t xml:space="preserve">Time-Based Equity Awards </w:t>
            </w:r>
            <w:r>
              <mc:AlternateContent>
                <mc:Choice Requires="wps">
                  <w:drawing>
                    <wp:anchor behindDoc="0" distT="63500" distB="0" distL="0" distR="0" simplePos="0" locked="0" layoutInCell="1" allowOverlap="1" relativeHeight="658">
                      <wp:simplePos x="0" y="0"/>
                      <wp:positionH relativeFrom="column">
                        <wp:align>left</wp:align>
                      </wp:positionH>
                      <wp:positionV relativeFrom="line">
                        <wp:align>top</wp:align>
                      </wp:positionV>
                      <wp:extent cx="114300" cy="350520"/>
                      <wp:effectExtent l="0" t="0" r="0" b="0"/>
                      <wp:wrapSquare wrapText="right"/>
                      <wp:docPr id="670" name="Frame3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color w:val="000000"/>
                <w:spacing w:val="-2"/>
              </w:rPr>
            </w:pPr>
            <w:r>
              <w:rPr>
                <w:color w:val="000000"/>
                <w:spacing w:val="-2"/>
              </w:rPr>
              <w:t xml:space="preserve">Annual Bonus Received in Equity </w:t>
            </w:r>
            <w:r>
              <mc:AlternateContent>
                <mc:Choice Requires="wps">
                  <w:drawing>
                    <wp:anchor behindDoc="0" distT="63500" distB="0" distL="0" distR="0" simplePos="0" locked="0" layoutInCell="1" allowOverlap="1" relativeHeight="659">
                      <wp:simplePos x="0" y="0"/>
                      <wp:positionH relativeFrom="column">
                        <wp:align>left</wp:align>
                      </wp:positionH>
                      <wp:positionV relativeFrom="line">
                        <wp:align>top</wp:align>
                      </wp:positionV>
                      <wp:extent cx="114300" cy="350520"/>
                      <wp:effectExtent l="0" t="0" r="0" b="0"/>
                      <wp:wrapSquare wrapText="right"/>
                      <wp:docPr id="671" name="Frame3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111" w:type="dxa"/>
            <w:tcBorders>
              <w:bottom w:val="single" w:sz="2" w:space="0" w:color="1F2668"/>
            </w:tcBorders>
            <w:vAlign w:val="center"/>
          </w:tcPr>
          <w:p>
            <w:pPr>
              <w:pStyle w:val="TableContents"/>
              <w:bidi w:val="0"/>
              <w:spacing w:before="0" w:after="0"/>
              <w:jc w:val="center"/>
              <w:rPr>
                <w:sz w:val="48"/>
              </w:rPr>
            </w:pPr>
            <w:r>
              <w:rPr>
                <w:sz w:val="48"/>
              </w:rPr>
              <w:t xml:space="preserve">83%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380" w:type="dxa"/>
            <w:tcBorders>
              <w:bottom w:val="single" w:sz="2" w:space="0" w:color="1F2668"/>
            </w:tcBorders>
            <w:vAlign w:val="center"/>
          </w:tcPr>
          <w:p>
            <w:pPr>
              <w:pStyle w:val="TableContents"/>
              <w:bidi w:val="0"/>
              <w:spacing w:before="0" w:after="0"/>
              <w:jc w:val="center"/>
              <w:rPr>
                <w:sz w:val="48"/>
              </w:rPr>
            </w:pPr>
            <w:r>
              <w:rPr>
                <w:sz w:val="48"/>
              </w:rPr>
              <w:t xml:space="preserve">84% </w:t>
            </w:r>
          </w:p>
        </w:tc>
        <w:tc>
          <w:tcPr>
            <w:tcW w:w="154" w:type="dxa"/>
            <w:tcBorders>
              <w:bottom w:val="single" w:sz="12" w:space="0" w:color="FFFFFF"/>
            </w:tcBorders>
            <w:vAlign w:val="center"/>
          </w:tcPr>
          <w:p>
            <w:pPr>
              <w:pStyle w:val="TableContents"/>
              <w:bidi w:val="0"/>
              <w:spacing w:before="0" w:after="283"/>
              <w:jc w:val="left"/>
              <w:rPr/>
            </w:pPr>
            <w:r>
              <w:rPr/>
              <w:t>​</w:t>
            </w:r>
          </w:p>
        </w:tc>
      </w:tr>
      <w:tr>
        <w:trPr/>
        <w:tc>
          <w:tcPr>
            <w:tcW w:w="3669" w:type="dxa"/>
            <w:tcBorders>
              <w:bottom w:val="single" w:sz="2" w:space="0" w:color="1F2668"/>
            </w:tcBorders>
            <w:tcMar>
              <w:bottom w:w="128" w:type="dxa"/>
            </w:tcMar>
            <w:vAlign w:val="center"/>
          </w:tcPr>
          <w:p>
            <w:pPr>
              <w:pStyle w:val="TableContents"/>
              <w:bidi w:val="0"/>
              <w:spacing w:lineRule="atLeast" w:line="180" w:before="0" w:after="0"/>
              <w:jc w:val="left"/>
              <w:rPr>
                <w:b/>
              </w:rPr>
            </w:pPr>
            <w:r>
              <w:rPr>
                <w:b/>
              </w:rPr>
              <w:t>Cash Compensation</w:t>
            </w:r>
          </w:p>
          <w:p>
            <w:pPr>
              <w:pStyle w:val="TableContents"/>
              <w:bidi w:val="0"/>
              <w:spacing w:lineRule="atLeast" w:line="180" w:before="160" w:after="0"/>
              <w:ind w:left="180" w:right="0" w:hanging="0"/>
              <w:jc w:val="left"/>
              <w:rPr>
                <w:color w:val="000000"/>
                <w:spacing w:val="-2"/>
              </w:rPr>
            </w:pPr>
            <w:r>
              <w:rPr>
                <w:color w:val="000000"/>
                <w:spacing w:val="-2"/>
              </w:rPr>
              <w:t xml:space="preserve">Base Salary </w:t>
            </w:r>
            <w:r>
              <mc:AlternateContent>
                <mc:Choice Requires="wps">
                  <w:drawing>
                    <wp:anchor behindDoc="0" distT="101600" distB="0" distL="0" distR="0" simplePos="0" locked="0" layoutInCell="1" allowOverlap="1" relativeHeight="660">
                      <wp:simplePos x="0" y="0"/>
                      <wp:positionH relativeFrom="column">
                        <wp:align>left</wp:align>
                      </wp:positionH>
                      <wp:positionV relativeFrom="line">
                        <wp:align>top</wp:align>
                      </wp:positionV>
                      <wp:extent cx="114300" cy="350520"/>
                      <wp:effectExtent l="0" t="0" r="0" b="0"/>
                      <wp:wrapSquare wrapText="right"/>
                      <wp:docPr id="672" name="Frame3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color w:val="000000"/>
                <w:spacing w:val="-2"/>
              </w:rPr>
            </w:pPr>
            <w:r>
              <w:rPr>
                <w:color w:val="000000"/>
                <w:spacing w:val="-2"/>
              </w:rPr>
              <w:t xml:space="preserve">Annual Bonus Received in Cash </w:t>
            </w:r>
            <w:r>
              <mc:AlternateContent>
                <mc:Choice Requires="wps">
                  <w:drawing>
                    <wp:anchor behindDoc="0" distT="63500" distB="0" distL="0" distR="0" simplePos="0" locked="0" layoutInCell="1" allowOverlap="1" relativeHeight="661">
                      <wp:simplePos x="0" y="0"/>
                      <wp:positionH relativeFrom="column">
                        <wp:align>left</wp:align>
                      </wp:positionH>
                      <wp:positionV relativeFrom="line">
                        <wp:align>top</wp:align>
                      </wp:positionV>
                      <wp:extent cx="114300" cy="350520"/>
                      <wp:effectExtent l="0" t="0" r="0" b="0"/>
                      <wp:wrapSquare wrapText="right"/>
                      <wp:docPr id="673" name="Frame3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color w:val="000000"/>
                              </w:rPr>
                            </w:pPr>
                            <w:r>
                              <w:rPr>
                                <w:color w:val="1F2668"/>
                                <w:spacing w:val="-2"/>
                              </w:rPr>
                              <w:t>•</w:t>
                            </w:r>
                            <w:r>
                              <w:rPr>
                                <w:color w:val="000000"/>
                              </w:rPr>
                              <w:t xml:space="preserve"> </w:t>
                            </w:r>
                            <w:r>
                              <w:rPr>
                                <w:color w:val="000000"/>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111" w:type="dxa"/>
            <w:tcBorders>
              <w:bottom w:val="single" w:sz="2" w:space="0" w:color="1F2668"/>
            </w:tcBorders>
            <w:tcMar>
              <w:bottom w:w="128" w:type="dxa"/>
            </w:tcMar>
            <w:vAlign w:val="center"/>
          </w:tcPr>
          <w:p>
            <w:pPr>
              <w:pStyle w:val="TableContents"/>
              <w:bidi w:val="0"/>
              <w:spacing w:before="0" w:after="0"/>
              <w:jc w:val="center"/>
              <w:rPr>
                <w:sz w:val="48"/>
              </w:rPr>
            </w:pPr>
            <w:r>
              <w:rPr>
                <w:sz w:val="48"/>
              </w:rPr>
              <w:t xml:space="preserve">17%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380" w:type="dxa"/>
            <w:tcBorders>
              <w:bottom w:val="single" w:sz="2" w:space="0" w:color="1F2668"/>
            </w:tcBorders>
            <w:tcMar>
              <w:bottom w:w="128" w:type="dxa"/>
            </w:tcMar>
            <w:vAlign w:val="center"/>
          </w:tcPr>
          <w:p>
            <w:pPr>
              <w:pStyle w:val="TableContents"/>
              <w:bidi w:val="0"/>
              <w:spacing w:before="0" w:after="0"/>
              <w:jc w:val="center"/>
              <w:rPr>
                <w:sz w:val="48"/>
              </w:rPr>
            </w:pPr>
            <w:r>
              <w:rPr>
                <w:sz w:val="48"/>
              </w:rPr>
              <w:t>16%</w:t>
            </w:r>
          </w:p>
        </w:tc>
        <w:tc>
          <w:tcPr>
            <w:tcW w:w="154" w:type="dxa"/>
            <w:tcBorders>
              <w:bottom w:val="single" w:sz="12" w:space="0" w:color="FFFFFF"/>
            </w:tcBorders>
            <w:vAlign w:val="center"/>
          </w:tcPr>
          <w:p>
            <w:pPr>
              <w:pStyle w:val="TableContents"/>
              <w:bidi w:val="0"/>
              <w:spacing w:before="0" w:after="283"/>
              <w:jc w:val="left"/>
              <w:rPr/>
            </w:pPr>
            <w:r>
              <w:rPr/>
              <w:t>​</w:t>
            </w:r>
          </w:p>
        </w:tc>
      </w:tr>
    </w:tbl>
    <w:p>
      <w:pPr>
        <w:pStyle w:val="TextBody"/>
        <w:bidi w:val="0"/>
        <w:spacing w:lineRule="atLeast" w:line="260" w:before="32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Board Commitment to Stockholder Engagement; Consideration of Say on Pay Vote</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As part of its annual review, the Committee has included </w:t>
      </w:r>
      <w:r>
        <w:rPr>
          <w:rFonts w:ascii="Arial;Helvetica;sans-serif" w:hAnsi="Arial;Helvetica;sans-serif"/>
          <w:b/>
          <w:i w:val="false"/>
          <w:caps w:val="false"/>
          <w:smallCaps w:val="false"/>
          <w:color w:val="000000"/>
          <w:sz w:val="18"/>
        </w:rPr>
        <w:t>a robust stockholder outreach</w:t>
      </w:r>
      <w:r>
        <w:rPr>
          <w:rFonts w:ascii="Arial;Helvetica;sans-serif" w:hAnsi="Arial;Helvetica;sans-serif"/>
          <w:b w:val="false"/>
          <w:i w:val="false"/>
          <w:caps w:val="false"/>
          <w:smallCaps w:val="false"/>
          <w:color w:val="000000"/>
          <w:spacing w:val="-2"/>
          <w:sz w:val="18"/>
        </w:rPr>
        <w:t xml:space="preserve"> program for several years. The feedback received from stockholders has served as a key input to </w:t>
      </w:r>
      <w:r>
        <w:rPr>
          <w:rFonts w:ascii="Arial;Helvetica;sans-serif" w:hAnsi="Arial;Helvetica;sans-serif"/>
          <w:b/>
          <w:i w:val="false"/>
          <w:caps w:val="false"/>
          <w:smallCaps w:val="false"/>
          <w:color w:val="000000"/>
          <w:sz w:val="18"/>
        </w:rPr>
        <w:t>compensation design and structural upgrades</w:t>
      </w:r>
      <w:r>
        <w:rPr>
          <w:rFonts w:ascii="Arial;Helvetica;sans-serif" w:hAnsi="Arial;Helvetica;sans-serif"/>
          <w:b w:val="false"/>
          <w:i w:val="false"/>
          <w:caps w:val="false"/>
          <w:smallCaps w:val="false"/>
          <w:color w:val="000000"/>
          <w:spacing w:val="-2"/>
          <w:sz w:val="18"/>
        </w:rPr>
        <w:t xml:space="preserve"> implemented since 2018. The success of the engagement program is evidenced by the </w:t>
      </w:r>
      <w:r>
        <w:rPr>
          <w:rFonts w:ascii="Arial;Helvetica;sans-serif" w:hAnsi="Arial;Helvetica;sans-serif"/>
          <w:b/>
          <w:i w:val="false"/>
          <w:caps w:val="false"/>
          <w:smallCaps w:val="false"/>
          <w:color w:val="000000"/>
          <w:sz w:val="18"/>
        </w:rPr>
        <w:t>significant changes</w:t>
      </w:r>
      <w:r>
        <w:rPr>
          <w:rFonts w:ascii="Arial;Helvetica;sans-serif" w:hAnsi="Arial;Helvetica;sans-serif"/>
          <w:b w:val="false"/>
          <w:i w:val="false"/>
          <w:caps w:val="false"/>
          <w:smallCaps w:val="false"/>
          <w:color w:val="000000"/>
          <w:spacing w:val="-2"/>
          <w:sz w:val="18"/>
        </w:rPr>
        <w:t xml:space="preserve"> adopted as a direct result of the feedback received and the </w:t>
      </w:r>
      <w:r>
        <w:rPr>
          <w:rFonts w:ascii="Arial;Helvetica;sans-serif" w:hAnsi="Arial;Helvetica;sans-serif"/>
          <w:b/>
          <w:i w:val="false"/>
          <w:caps w:val="false"/>
          <w:smallCaps w:val="false"/>
          <w:color w:val="000000"/>
          <w:sz w:val="18"/>
        </w:rPr>
        <w:t>significant changes implemented</w:t>
      </w:r>
      <w:r>
        <w:rPr>
          <w:rFonts w:ascii="Arial;Helvetica;sans-serif" w:hAnsi="Arial;Helvetica;sans-serif"/>
          <w:b w:val="false"/>
          <w:i w:val="false"/>
          <w:caps w:val="false"/>
          <w:smallCaps w:val="false"/>
          <w:color w:val="000000"/>
          <w:spacing w:val="-2"/>
          <w:sz w:val="18"/>
        </w:rPr>
        <w:t xml:space="preserve"> in response to stockholder feedback over the last several years as outlined in the table below. The Committee considers stockholder support for the annual advisory vote on executive compensation (“Say on Pay”), including the vote outcome at the 2023 annual meeting, as a gauge of stockholder satisfaction with our executive compensation program and pay outcomes. As in prior years, the Committee, following the 2023 annual meeting, conducted its stockholder outreach and remains firmly committed to further enhancing our compensation programs.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Following our 2023 annual meeting, Directors, including the </w:t>
      </w:r>
      <w:r>
        <w:rPr>
          <w:rFonts w:ascii="Arial;Helvetica;sans-serif" w:hAnsi="Arial;Helvetica;sans-serif"/>
          <w:b/>
          <w:i w:val="false"/>
          <w:caps w:val="false"/>
          <w:smallCaps w:val="false"/>
          <w:color w:val="000000"/>
          <w:sz w:val="18"/>
        </w:rPr>
        <w:t>Chair</w:t>
      </w:r>
      <w:r>
        <w:rPr>
          <w:rFonts w:ascii="Arial;Helvetica;sans-serif" w:hAnsi="Arial;Helvetica;sans-serif"/>
          <w:b w:val="false"/>
          <w:i w:val="false"/>
          <w:caps w:val="false"/>
          <w:smallCaps w:val="false"/>
          <w:color w:val="000000"/>
          <w:spacing w:val="-2"/>
          <w:sz w:val="18"/>
        </w:rPr>
        <w:t xml:space="preserve"> of our </w:t>
      </w:r>
      <w:r>
        <w:rPr>
          <w:rFonts w:ascii="Arial;Helvetica;sans-serif" w:hAnsi="Arial;Helvetica;sans-serif"/>
          <w:b/>
          <w:i w:val="false"/>
          <w:caps w:val="false"/>
          <w:smallCaps w:val="false"/>
          <w:color w:val="000000"/>
          <w:sz w:val="18"/>
        </w:rPr>
        <w:t>Compensation Committee</w:t>
      </w:r>
      <w:r>
        <w:rPr>
          <w:rFonts w:ascii="Arial;Helvetica;sans-serif" w:hAnsi="Arial;Helvetica;sans-serif"/>
          <w:b w:val="false"/>
          <w:i w:val="false"/>
          <w:caps w:val="false"/>
          <w:smallCaps w:val="false"/>
          <w:color w:val="000000"/>
          <w:spacing w:val="-2"/>
          <w:sz w:val="18"/>
        </w:rPr>
        <w:t xml:space="preserve">, led </w:t>
      </w:r>
      <w:r>
        <w:rPr>
          <w:rFonts w:ascii="Arial;Helvetica;sans-serif" w:hAnsi="Arial;Helvetica;sans-serif"/>
          <w:b/>
          <w:i w:val="false"/>
          <w:caps w:val="false"/>
          <w:smallCaps w:val="false"/>
          <w:color w:val="000000"/>
          <w:sz w:val="18"/>
        </w:rPr>
        <w:t>several stockholder discussions</w:t>
      </w:r>
      <w:r>
        <w:rPr>
          <w:rFonts w:ascii="Arial;Helvetica;sans-serif" w:hAnsi="Arial;Helvetica;sans-serif"/>
          <w:b w:val="false"/>
          <w:i w:val="false"/>
          <w:caps w:val="false"/>
          <w:smallCaps w:val="false"/>
          <w:color w:val="000000"/>
          <w:spacing w:val="-2"/>
          <w:sz w:val="18"/>
        </w:rPr>
        <w:t xml:space="preserve">, as well as the conversations with proxy advisors. We contacted stockholders collectively representing </w:t>
      </w:r>
      <w:r>
        <w:rPr>
          <w:rFonts w:ascii="Arial;Helvetica;sans-serif" w:hAnsi="Arial;Helvetica;sans-serif"/>
          <w:b/>
          <w:i w:val="false"/>
          <w:caps w:val="false"/>
          <w:smallCaps w:val="false"/>
          <w:color w:val="000000"/>
          <w:sz w:val="18"/>
        </w:rPr>
        <w:t>75% of outstanding shares</w:t>
      </w:r>
      <w:r>
        <w:rPr>
          <w:rFonts w:ascii="Arial;Helvetica;sans-serif" w:hAnsi="Arial;Helvetica;sans-serif"/>
          <w:b w:val="false"/>
          <w:i w:val="false"/>
          <w:caps w:val="false"/>
          <w:smallCaps w:val="false"/>
          <w:color w:val="000000"/>
          <w:spacing w:val="-2"/>
          <w:sz w:val="18"/>
        </w:rPr>
        <w:t xml:space="preserve"> and the Company had substantive conversations with all stockholders who responded to our outreach, which represented 69% of outstanding shares.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aggregate, over the past 5 years, SL Green has engaged with stockholders as outlined in the table below.</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061"/>
        <w:gridCol w:w="109"/>
        <w:gridCol w:w="109"/>
        <w:gridCol w:w="109"/>
        <w:gridCol w:w="109"/>
        <w:gridCol w:w="472"/>
        <w:gridCol w:w="109"/>
        <w:gridCol w:w="109"/>
        <w:gridCol w:w="109"/>
        <w:gridCol w:w="109"/>
        <w:gridCol w:w="109"/>
        <w:gridCol w:w="472"/>
        <w:gridCol w:w="109"/>
        <w:gridCol w:w="109"/>
        <w:gridCol w:w="109"/>
        <w:gridCol w:w="109"/>
        <w:gridCol w:w="109"/>
        <w:gridCol w:w="472"/>
        <w:gridCol w:w="109"/>
        <w:gridCol w:w="109"/>
        <w:gridCol w:w="109"/>
        <w:gridCol w:w="109"/>
        <w:gridCol w:w="109"/>
        <w:gridCol w:w="472"/>
        <w:gridCol w:w="109"/>
        <w:gridCol w:w="109"/>
        <w:gridCol w:w="109"/>
        <w:gridCol w:w="109"/>
        <w:gridCol w:w="109"/>
        <w:gridCol w:w="472"/>
        <w:gridCol w:w="109"/>
        <w:gridCol w:w="159"/>
      </w:tblGrid>
      <w:tr>
        <w:trPr/>
        <w:tc>
          <w:tcPr>
            <w:tcW w:w="40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67" w:type="dxa"/>
            <w:gridSpan w:val="28"/>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Stockholder Outreach following Annual Meeting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2019</w:t>
            </w:r>
            <w:r>
              <w:rPr/>
              <w:t xml:space="preserv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1" w:type="dxa"/>
            <w:tcBorders>
              <w:bottom w:val="single" w:sz="2" w:space="0" w:color="4B5088"/>
            </w:tcBorders>
            <w:tcMar>
              <w:bottom w:w="70" w:type="dxa"/>
            </w:tcMar>
            <w:vAlign w:val="center"/>
          </w:tcPr>
          <w:p>
            <w:pPr>
              <w:pStyle w:val="TableContents"/>
              <w:bidi w:val="0"/>
              <w:spacing w:before="0" w:after="0"/>
              <w:jc w:val="left"/>
              <w:rPr>
                <w:color w:val="1F2668"/>
              </w:rPr>
            </w:pPr>
            <w:r>
              <w:rPr>
                <w:color w:val="1F2668"/>
                <w:spacing w:val="-2"/>
              </w:rPr>
              <w:t>Offered Engagement to stockholders representing approx.</w:t>
            </w:r>
            <w:r>
              <w:rPr>
                <w:color w:val="1F2668"/>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75%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1" w:type="dxa"/>
            <w:tcBorders>
              <w:bottom w:val="single" w:sz="2" w:space="0" w:color="4B5088"/>
            </w:tcBorders>
            <w:tcMar>
              <w:bottom w:w="70" w:type="dxa"/>
            </w:tcMar>
            <w:vAlign w:val="center"/>
          </w:tcPr>
          <w:p>
            <w:pPr>
              <w:pStyle w:val="TableContents"/>
              <w:bidi w:val="0"/>
              <w:spacing w:before="0" w:after="0"/>
              <w:jc w:val="left"/>
              <w:rPr>
                <w:color w:val="1F2668"/>
                <w:spacing w:val="-2"/>
              </w:rPr>
            </w:pPr>
            <w:r>
              <w:rPr>
                <w:color w:val="1F2668"/>
                <w:spacing w:val="-2"/>
              </w:rPr>
              <w:t xml:space="preserve">Had one-on-one discussions with stockholders representing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69%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41%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472" w:type="dxa"/>
            <w:tcBorders>
              <w:bottom w:val="single" w:sz="2" w:space="0" w:color="4B5088"/>
            </w:tcBorders>
            <w:tcMar>
              <w:bottom w:w="70" w:type="dxa"/>
            </w:tcMar>
            <w:vAlign w:val="center"/>
          </w:tcPr>
          <w:p>
            <w:pPr>
              <w:pStyle w:val="TableContents"/>
              <w:bidi w:val="0"/>
              <w:spacing w:before="0" w:after="0"/>
              <w:jc w:val="right"/>
              <w:rPr>
                <w:b/>
              </w:rPr>
            </w:pPr>
            <w:r>
              <w:rPr>
                <w:b/>
              </w:rPr>
              <w:t>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61" w:type="dxa"/>
            <w:tcBorders>
              <w:bottom w:val="single" w:sz="2" w:space="0" w:color="1F2668"/>
            </w:tcBorders>
            <w:tcMar>
              <w:bottom w:w="70" w:type="dxa"/>
            </w:tcMar>
            <w:vAlign w:val="center"/>
          </w:tcPr>
          <w:p>
            <w:pPr>
              <w:pStyle w:val="TableContents"/>
              <w:bidi w:val="0"/>
              <w:spacing w:before="0" w:after="0"/>
              <w:jc w:val="left"/>
              <w:rPr>
                <w:b w:val="false"/>
                <w:color w:val="1F2668"/>
                <w:spacing w:val="-2"/>
              </w:rPr>
            </w:pPr>
            <w:r>
              <w:rPr>
                <w:b w:val="false"/>
                <w:color w:val="1F2668"/>
                <w:spacing w:val="-2"/>
              </w:rPr>
              <w:t xml:space="preserve">Directors participated in calls with stockholders representing approx.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72" w:type="dxa"/>
            <w:tcBorders>
              <w:bottom w:val="single" w:sz="2" w:space="0" w:color="1F2668"/>
            </w:tcBorders>
            <w:tcMar>
              <w:bottom w:w="70" w:type="dxa"/>
            </w:tcMar>
            <w:vAlign w:val="center"/>
          </w:tcPr>
          <w:p>
            <w:pPr>
              <w:pStyle w:val="TableContents"/>
              <w:bidi w:val="0"/>
              <w:spacing w:before="0" w:after="283"/>
              <w:jc w:val="right"/>
              <w:rPr/>
            </w:pPr>
            <w:r>
              <w:rPr/>
              <w:t>38%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72" w:type="dxa"/>
            <w:tcBorders>
              <w:bottom w:val="single" w:sz="2" w:space="0" w:color="1F2668"/>
            </w:tcBorders>
            <w:tcMar>
              <w:bottom w:w="70" w:type="dxa"/>
            </w:tcMar>
            <w:vAlign w:val="center"/>
          </w:tcPr>
          <w:p>
            <w:pPr>
              <w:pStyle w:val="TableContents"/>
              <w:bidi w:val="0"/>
              <w:spacing w:before="0" w:after="283"/>
              <w:jc w:val="right"/>
              <w:rPr/>
            </w:pPr>
            <w:r>
              <w:rPr/>
              <w:t>29%</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72" w:type="dxa"/>
            <w:tcBorders>
              <w:bottom w:val="single" w:sz="2" w:space="0" w:color="1F2668"/>
            </w:tcBorders>
            <w:tcMar>
              <w:bottom w:w="70" w:type="dxa"/>
            </w:tcMar>
            <w:vAlign w:val="center"/>
          </w:tcPr>
          <w:p>
            <w:pPr>
              <w:pStyle w:val="TableContents"/>
              <w:bidi w:val="0"/>
              <w:spacing w:before="0" w:after="283"/>
              <w:jc w:val="right"/>
              <w:rPr/>
            </w:pPr>
            <w:r>
              <w:rPr/>
              <w:t>36%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72" w:type="dxa"/>
            <w:tcBorders>
              <w:bottom w:val="single" w:sz="2" w:space="0" w:color="1F2668"/>
            </w:tcBorders>
            <w:tcMar>
              <w:bottom w:w="70" w:type="dxa"/>
            </w:tcMar>
            <w:vAlign w:val="center"/>
          </w:tcPr>
          <w:p>
            <w:pPr>
              <w:pStyle w:val="TableContents"/>
              <w:bidi w:val="0"/>
              <w:spacing w:before="0" w:after="283"/>
              <w:jc w:val="right"/>
              <w:rPr/>
            </w:pPr>
            <w:r>
              <w:rPr/>
              <w:t>41%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472" w:type="dxa"/>
            <w:tcBorders>
              <w:bottom w:val="single" w:sz="2" w:space="0" w:color="1F2668"/>
            </w:tcBorders>
            <w:tcMar>
              <w:bottom w:w="70" w:type="dxa"/>
            </w:tcMar>
            <w:vAlign w:val="center"/>
          </w:tcPr>
          <w:p>
            <w:pPr>
              <w:pStyle w:val="TableContents"/>
              <w:bidi w:val="0"/>
              <w:spacing w:before="0" w:after="283"/>
              <w:jc w:val="right"/>
              <w:rPr/>
            </w:pPr>
            <w:r>
              <w:rPr/>
              <w:t>11%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line with stockholder feedback received, the Compensation Committee has significantly redesigned SL Green’s executive and director compensation programs to strengthen the alignment of executive pay with Company performance:</w:t>
      </w:r>
      <w:r>
        <w:rPr>
          <w:rFonts w:ascii="Arial;Helvetica;sans-serif" w:hAnsi="Arial;Helvetica;sans-serif"/>
          <w:b w:val="false"/>
          <w:i w:val="false"/>
          <w:caps w:val="false"/>
          <w:smallCaps w:val="false"/>
          <w:color w:val="000000"/>
          <w:spacing w:val="4"/>
          <w:sz w:val="18"/>
        </w:rPr>
        <w:t xml:space="preserve"> </w:t>
      </w:r>
    </w:p>
    <w:tbl>
      <w:tblPr>
        <w:tblW w:w="11469" w:type="dxa"/>
        <w:jc w:val="left"/>
        <w:tblInd w:w="900" w:type="dxa"/>
        <w:tblLayout w:type="fixed"/>
        <w:tblCellMar>
          <w:top w:w="0" w:type="dxa"/>
          <w:left w:w="0" w:type="dxa"/>
          <w:bottom w:w="28" w:type="dxa"/>
          <w:right w:w="0" w:type="dxa"/>
        </w:tblCellMar>
      </w:tblPr>
      <w:tblGrid>
        <w:gridCol w:w="124"/>
        <w:gridCol w:w="3450"/>
        <w:gridCol w:w="109"/>
        <w:gridCol w:w="109"/>
        <w:gridCol w:w="1389"/>
        <w:gridCol w:w="109"/>
        <w:gridCol w:w="109"/>
        <w:gridCol w:w="1389"/>
        <w:gridCol w:w="109"/>
        <w:gridCol w:w="109"/>
        <w:gridCol w:w="2020"/>
        <w:gridCol w:w="109"/>
        <w:gridCol w:w="109"/>
        <w:gridCol w:w="2071"/>
        <w:gridCol w:w="154"/>
      </w:tblGrid>
      <w:tr>
        <w:trPr/>
        <w:tc>
          <w:tcPr>
            <w:tcW w:w="124" w:type="dxa"/>
            <w:tcBorders>
              <w:bottom w:val="single" w:sz="8" w:space="0" w:color="1F2668"/>
            </w:tcBorders>
            <w:vAlign w:val="center"/>
          </w:tcPr>
          <w:p>
            <w:pPr>
              <w:pStyle w:val="TableContents"/>
              <w:bidi w:val="0"/>
              <w:spacing w:before="0" w:after="283"/>
              <w:jc w:val="left"/>
              <w:rPr/>
            </w:pPr>
            <w:r>
              <w:rPr/>
              <w:t>​</w:t>
            </w:r>
          </w:p>
        </w:tc>
        <w:tc>
          <w:tcPr>
            <w:tcW w:w="3450" w:type="dxa"/>
            <w:tcBorders>
              <w:bottom w:val="single" w:sz="8" w:space="0" w:color="1F2668"/>
            </w:tcBorders>
            <w:tcMar>
              <w:bottom w:w="43"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89"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Stockholder Feedback </w:t>
              <w:br/>
              <w:t xml:space="preserve">(“What We Heard”)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89"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Actions </w:t>
              <w:br/>
              <w:t xml:space="preserve">(“What We Did”)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020" w:type="dxa"/>
            <w:tcBorders>
              <w:bottom w:val="single" w:sz="8" w:space="0" w:color="1F2668"/>
            </w:tcBorders>
            <w:tcMar>
              <w:bottom w:w="43" w:type="dxa"/>
            </w:tcMar>
            <w:vAlign w:val="center"/>
          </w:tcPr>
          <w:p>
            <w:pPr>
              <w:pStyle w:val="TableContents"/>
              <w:bidi w:val="0"/>
              <w:spacing w:before="0" w:after="283"/>
              <w:jc w:val="left"/>
              <w:rPr>
                <w:spacing w:val="2"/>
              </w:rPr>
            </w:pPr>
            <w:r>
              <w:rPr>
                <w:spacing w:val="2"/>
              </w:rPr>
              <w:t xml:space="preserve">Impact of Actions </w:t>
              <w:br/>
              <w:t xml:space="preserve">(“Why It’s Important”)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shd w:fill="E2F7CB" w:val="clear"/>
            <w:vAlign w:val="center"/>
          </w:tcPr>
          <w:p>
            <w:pPr>
              <w:pStyle w:val="TableContents"/>
              <w:bidi w:val="0"/>
              <w:spacing w:before="0" w:after="283"/>
              <w:jc w:val="left"/>
              <w:rPr/>
            </w:pPr>
            <w:r>
              <w:rPr/>
              <w:t>​</w:t>
            </w:r>
          </w:p>
        </w:tc>
        <w:tc>
          <w:tcPr>
            <w:tcW w:w="2071" w:type="dxa"/>
            <w:tcBorders>
              <w:bottom w:val="single" w:sz="8" w:space="0" w:color="1F2668"/>
            </w:tcBorders>
            <w:shd w:fill="E2F7CB" w:val="clear"/>
            <w:tcMar>
              <w:bottom w:w="43" w:type="dxa"/>
            </w:tcMar>
            <w:vAlign w:val="center"/>
          </w:tcPr>
          <w:p>
            <w:pPr>
              <w:pStyle w:val="TableContents"/>
              <w:bidi w:val="0"/>
              <w:spacing w:before="0" w:after="0"/>
              <w:jc w:val="left"/>
              <w:rPr>
                <w:spacing w:val="2"/>
              </w:rPr>
            </w:pPr>
            <w:r>
              <w:rPr>
                <w:spacing w:val="2"/>
              </w:rPr>
              <w:t xml:space="preserve">2023 / 2024 Features </w:t>
            </w:r>
          </w:p>
        </w:tc>
        <w:tc>
          <w:tcPr>
            <w:tcW w:w="154" w:type="dxa"/>
            <w:tcBorders>
              <w:bottom w:val="single" w:sz="8" w:space="0" w:color="1F2668"/>
            </w:tcBorders>
            <w:shd w:fill="E2F7CB"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50"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901700" cy="393700"/>
                      <wp:effectExtent l="0" t="0" r="0" b="0"/>
                      <wp:wrapNone/>
                      <wp:docPr id="674" name="Frame350"/>
                      <a:graphic xmlns:a="http://schemas.openxmlformats.org/drawingml/2006/main">
                        <a:graphicData uri="http://schemas.microsoft.com/office/word/2010/wordprocessingShape">
                          <wps:wsp>
                            <wps:cNvSpPr txBox="1"/>
                            <wps:spPr>
                              <a:xfrm>
                                <a:off x="0" y="0"/>
                                <a:ext cx="901700" cy="393700"/>
                              </a:xfrm>
                              <a:prstGeom prst="rect"/>
                              <a:solidFill>
                                <a:srgbClr val="FFFFFF"/>
                              </a:solidFill>
                            </wps:spPr>
                            <wps:txbx>
                              <w:txbxContent>
                                <w:p>
                                  <w:pPr>
                                    <w:pStyle w:val="TextBody"/>
                                    <w:bidi w:val="0"/>
                                    <w:spacing w:before="0" w:after="283"/>
                                    <w:jc w:val="left"/>
                                    <w:rPr>
                                      <w:color w:val="1F2668"/>
                                    </w:rPr>
                                  </w:pPr>
                                  <w:r>
                                    <w:rPr>
                                      <w:color w:val="1F2668"/>
                                      <w:spacing w:val="2"/>
                                    </w:rPr>
                                    <w:t>Fixed Pay</w:t>
                                  </w:r>
                                  <w:r>
                                    <w:rPr>
                                      <w:color w:val="1F2668"/>
                                    </w:rPr>
                                    <w:t xml:space="preserve"> </w:t>
                                  </w:r>
                                </w:p>
                              </w:txbxContent>
                            </wps:txbx>
                            <wps:bodyPr anchor="t" lIns="0" tIns="0" rIns="0" bIns="0">
                              <a:noAutofit/>
                            </wps:bodyPr>
                          </wps:wsp>
                        </a:graphicData>
                      </a:graphic>
                    </wp:anchor>
                  </w:drawing>
                </mc:Choice>
                <mc:Fallback>
                  <w:pict>
                    <v:rect style="position:absolute;rotation:-0;width:71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Fixed Pay</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before="0" w:after="283"/>
              <w:jc w:val="left"/>
              <w:rPr>
                <w:spacing w:val="-2"/>
              </w:rPr>
            </w:pPr>
            <w:r>
              <w:rPr>
                <w:spacing w:val="-2"/>
              </w:rPr>
              <w:t xml:space="preserve">2018: Base salary and deferred compensation provide overlapping fixed pay elements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Retroactively reduced CEO base salary</w:t>
            </w:r>
            <w:r>
              <w:rPr/>
              <w:t xml:space="preserve"> </w:t>
            </w:r>
            <w:r>
              <mc:AlternateContent>
                <mc:Choice Requires="wps">
                  <w:drawing>
                    <wp:anchor behindDoc="0" distT="0" distB="0" distL="0" distR="0" simplePos="0" locked="0" layoutInCell="1" allowOverlap="1" relativeHeight="663">
                      <wp:simplePos x="0" y="0"/>
                      <wp:positionH relativeFrom="column">
                        <wp:align>left</wp:align>
                      </wp:positionH>
                      <wp:positionV relativeFrom="line">
                        <wp:posOffset>635</wp:posOffset>
                      </wp:positionV>
                      <wp:extent cx="152400" cy="525780"/>
                      <wp:effectExtent l="0" t="0" r="0" b="0"/>
                      <wp:wrapSquare wrapText="right"/>
                      <wp:docPr id="675" name="Frame35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Eliminated deferred compensation </w:t>
            </w:r>
            <w:r>
              <mc:AlternateContent>
                <mc:Choice Requires="wps">
                  <w:drawing>
                    <wp:anchor behindDoc="0" distT="31750" distB="0" distL="0" distR="0" simplePos="0" locked="0" layoutInCell="1" allowOverlap="1" relativeHeight="664">
                      <wp:simplePos x="0" y="0"/>
                      <wp:positionH relativeFrom="column">
                        <wp:align>left</wp:align>
                      </wp:positionH>
                      <wp:positionV relativeFrom="line">
                        <wp:align>top</wp:align>
                      </wp:positionV>
                      <wp:extent cx="152400" cy="525780"/>
                      <wp:effectExtent l="0" t="0" r="0" b="0"/>
                      <wp:wrapSquare wrapText="right"/>
                      <wp:docPr id="676" name="Frame35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6" w:type="dxa"/>
            </w:tcMar>
            <w:vAlign w:val="center"/>
          </w:tcPr>
          <w:p>
            <w:pPr>
              <w:pStyle w:val="TableContents"/>
              <w:bidi w:val="0"/>
              <w:spacing w:lineRule="atLeast" w:line="180" w:before="0" w:after="0"/>
              <w:ind w:left="240" w:right="0" w:hanging="0"/>
              <w:jc w:val="left"/>
              <w:rPr/>
            </w:pPr>
            <w:r>
              <w:rPr>
                <w:spacing w:val="-2"/>
              </w:rPr>
              <w:t>Reduces fixed pay</w:t>
            </w:r>
            <w:r>
              <w:rPr/>
              <w:t xml:space="preserve"> </w:t>
            </w:r>
            <w:r>
              <mc:AlternateContent>
                <mc:Choice Requires="wps">
                  <w:drawing>
                    <wp:anchor behindDoc="0" distT="0" distB="0" distL="0" distR="0" simplePos="0" locked="0" layoutInCell="1" allowOverlap="1" relativeHeight="665">
                      <wp:simplePos x="0" y="0"/>
                      <wp:positionH relativeFrom="column">
                        <wp:align>left</wp:align>
                      </wp:positionH>
                      <wp:positionV relativeFrom="line">
                        <wp:posOffset>635</wp:posOffset>
                      </wp:positionV>
                      <wp:extent cx="152400" cy="525780"/>
                      <wp:effectExtent l="0" t="0" r="0" b="0"/>
                      <wp:wrapSquare wrapText="right"/>
                      <wp:docPr id="677" name="Frame35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Reduces threshold, target and maximum formulaic bonus</w:t>
            </w:r>
            <w:r>
              <w:rPr/>
              <w:t xml:space="preserve"> </w:t>
            </w:r>
            <w:r>
              <mc:AlternateContent>
                <mc:Choice Requires="wps">
                  <w:drawing>
                    <wp:anchor behindDoc="0" distT="31750" distB="0" distL="0" distR="0" simplePos="0" locked="0" layoutInCell="1" allowOverlap="1" relativeHeight="666">
                      <wp:simplePos x="0" y="0"/>
                      <wp:positionH relativeFrom="column">
                        <wp:align>left</wp:align>
                      </wp:positionH>
                      <wp:positionV relativeFrom="line">
                        <wp:align>top</wp:align>
                      </wp:positionV>
                      <wp:extent cx="152400" cy="525780"/>
                      <wp:effectExtent l="0" t="0" r="0" b="0"/>
                      <wp:wrapSquare wrapText="right"/>
                      <wp:docPr id="678" name="Frame35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12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Eliminates multiple fixed pay elements </w:t>
            </w:r>
            <w:r>
              <mc:AlternateContent>
                <mc:Choice Requires="wps">
                  <w:drawing>
                    <wp:anchor behindDoc="0" distT="31750" distB="0" distL="0" distR="0" simplePos="0" locked="0" layoutInCell="1" allowOverlap="1" relativeHeight="667">
                      <wp:simplePos x="0" y="0"/>
                      <wp:positionH relativeFrom="column">
                        <wp:align>left</wp:align>
                      </wp:positionH>
                      <wp:positionV relativeFrom="line">
                        <wp:align>top</wp:align>
                      </wp:positionV>
                      <wp:extent cx="152400" cy="525780"/>
                      <wp:effectExtent l="0" t="0" r="0" b="0"/>
                      <wp:wrapSquare wrapText="right"/>
                      <wp:docPr id="679" name="Frame35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6" w:type="dxa"/>
            </w:tcMar>
            <w:vAlign w:val="center"/>
          </w:tcPr>
          <w:p>
            <w:pPr>
              <w:pStyle w:val="TableContents"/>
              <w:bidi w:val="0"/>
              <w:spacing w:lineRule="atLeast" w:line="206" w:before="0" w:after="0"/>
              <w:ind w:left="240" w:right="0" w:hanging="0"/>
              <w:jc w:val="left"/>
              <w:rPr>
                <w:b/>
              </w:rPr>
            </w:pPr>
            <w:r>
              <w:rPr>
                <w:b/>
              </w:rPr>
              <w:t>CEO base salary unchanged since 2018 and is the only fixed pay element</w:t>
            </w:r>
            <w:r>
              <mc:AlternateContent>
                <mc:Choice Requires="wps">
                  <w:drawing>
                    <wp:anchor behindDoc="0" distT="0" distB="0" distL="0" distR="0" simplePos="0" locked="0" layoutInCell="1" allowOverlap="1" relativeHeight="668">
                      <wp:simplePos x="0" y="0"/>
                      <wp:positionH relativeFrom="column">
                        <wp:align>left</wp:align>
                      </wp:positionH>
                      <wp:positionV relativeFrom="line">
                        <wp:posOffset>635</wp:posOffset>
                      </wp:positionV>
                      <wp:extent cx="152400" cy="525780"/>
                      <wp:effectExtent l="0" t="0" r="0" b="0"/>
                      <wp:wrapSquare wrapText="right"/>
                      <wp:docPr id="680" name="Frame35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50"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1386840" cy="393700"/>
                      <wp:effectExtent l="0" t="0" r="0" b="0"/>
                      <wp:wrapNone/>
                      <wp:docPr id="681" name="Frame357"/>
                      <a:graphic xmlns:a="http://schemas.openxmlformats.org/drawingml/2006/main">
                        <a:graphicData uri="http://schemas.microsoft.com/office/word/2010/wordprocessingShape">
                          <wps:wsp>
                            <wps:cNvSpPr txBox="1"/>
                            <wps:spPr>
                              <a:xfrm>
                                <a:off x="0" y="0"/>
                                <a:ext cx="1386840" cy="393700"/>
                              </a:xfrm>
                              <a:prstGeom prst="rect"/>
                              <a:solidFill>
                                <a:srgbClr val="FFFFFF"/>
                              </a:solidFill>
                            </wps:spPr>
                            <wps:txbx>
                              <w:txbxContent>
                                <w:p>
                                  <w:pPr>
                                    <w:pStyle w:val="TextBody"/>
                                    <w:bidi w:val="0"/>
                                    <w:spacing w:before="0" w:after="283"/>
                                    <w:jc w:val="left"/>
                                    <w:rPr>
                                      <w:color w:val="1F2668"/>
                                    </w:rPr>
                                  </w:pPr>
                                  <w:r>
                                    <w:rPr>
                                      <w:color w:val="1F2668"/>
                                      <w:spacing w:val="2"/>
                                    </w:rPr>
                                    <w:t>Annual Incentives</w:t>
                                  </w:r>
                                  <w:r>
                                    <w:rPr>
                                      <w:color w:val="1F2668"/>
                                    </w:rPr>
                                    <w:t xml:space="preserve"> </w:t>
                                  </w:r>
                                </w:p>
                              </w:txbxContent>
                            </wps:txbx>
                            <wps:bodyPr anchor="t" lIns="0" tIns="0" rIns="0" bIns="0">
                              <a:noAutofit/>
                            </wps:bodyPr>
                          </wps:wsp>
                        </a:graphicData>
                      </a:graphic>
                    </wp:anchor>
                  </w:drawing>
                </mc:Choice>
                <mc:Fallback>
                  <w:pict>
                    <v:rect style="position:absolute;rotation:-0;width:109.2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Annual Incentives</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before="0" w:after="0"/>
              <w:jc w:val="left"/>
              <w:rPr/>
            </w:pPr>
            <w:r>
              <w:rPr>
                <w:spacing w:val="-2"/>
              </w:rPr>
              <w:t>2018: Annual incentive should focus on metrics within executives’ control</w:t>
            </w:r>
            <w:r>
              <w:rPr/>
              <w:t xml:space="preserve"> </w:t>
            </w:r>
          </w:p>
          <w:p>
            <w:pPr>
              <w:pStyle w:val="TableContents"/>
              <w:bidi w:val="0"/>
              <w:spacing w:before="50" w:after="283"/>
              <w:jc w:val="left"/>
              <w:rPr/>
            </w:pPr>
            <w:r>
              <w:rPr>
                <w:spacing w:val="-2"/>
              </w:rPr>
              <w:t>2018: Discretionary annual equity bonus process not clear</w:t>
            </w:r>
            <w:r>
              <w:rPr/>
              <w:t xml:space="preserve"> </w:t>
            </w:r>
          </w:p>
          <w:p>
            <w:pPr>
              <w:pStyle w:val="TableContents"/>
              <w:bidi w:val="0"/>
              <w:spacing w:before="50" w:after="283"/>
              <w:jc w:val="left"/>
              <w:rPr>
                <w:spacing w:val="-2"/>
              </w:rPr>
            </w:pPr>
            <w:r>
              <w:rPr>
                <w:spacing w:val="-2"/>
              </w:rPr>
              <w:t xml:space="preserve">2022: Reduce discretion in annual incentives for NEOs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Replaced TSR with operating metrics</w:t>
            </w:r>
            <w:r>
              <w:rPr/>
              <w:t xml:space="preserve"> </w:t>
            </w:r>
            <w:r>
              <mc:AlternateContent>
                <mc:Choice Requires="wps">
                  <w:drawing>
                    <wp:anchor behindDoc="0" distT="0" distB="0" distL="0" distR="0" simplePos="0" locked="0" layoutInCell="1" allowOverlap="1" relativeHeight="670">
                      <wp:simplePos x="0" y="0"/>
                      <wp:positionH relativeFrom="column">
                        <wp:align>left</wp:align>
                      </wp:positionH>
                      <wp:positionV relativeFrom="line">
                        <wp:posOffset>635</wp:posOffset>
                      </wp:positionV>
                      <wp:extent cx="152400" cy="525780"/>
                      <wp:effectExtent l="0" t="0" r="0" b="0"/>
                      <wp:wrapSquare wrapText="right"/>
                      <wp:docPr id="682" name="Frame35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b/>
              </w:rPr>
            </w:pPr>
            <w:r>
              <w:rPr>
                <w:b/>
              </w:rPr>
              <w:t>In 2023, implemented 60% performance-based annual incentive for CFO</w:t>
            </w:r>
            <w:r>
              <mc:AlternateContent>
                <mc:Choice Requires="wps">
                  <w:drawing>
                    <wp:anchor behindDoc="0" distT="31750" distB="0" distL="0" distR="0" simplePos="0" locked="0" layoutInCell="1" allowOverlap="1" relativeHeight="671">
                      <wp:simplePos x="0" y="0"/>
                      <wp:positionH relativeFrom="column">
                        <wp:align>left</wp:align>
                      </wp:positionH>
                      <wp:positionV relativeFrom="line">
                        <wp:align>top</wp:align>
                      </wp:positionV>
                      <wp:extent cx="152400" cy="525780"/>
                      <wp:effectExtent l="0" t="0" r="0" b="0"/>
                      <wp:wrapSquare wrapText="right"/>
                      <wp:docPr id="683" name="Frame35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Strengthens link to operational metrics</w:t>
            </w:r>
            <w:r>
              <w:rPr/>
              <w:t xml:space="preserve"> </w:t>
            </w:r>
            <w:r>
              <mc:AlternateContent>
                <mc:Choice Requires="wps">
                  <w:drawing>
                    <wp:anchor behindDoc="0" distT="0" distB="0" distL="0" distR="0" simplePos="0" locked="0" layoutInCell="1" allowOverlap="1" relativeHeight="672">
                      <wp:simplePos x="0" y="0"/>
                      <wp:positionH relativeFrom="column">
                        <wp:align>left</wp:align>
                      </wp:positionH>
                      <wp:positionV relativeFrom="line">
                        <wp:posOffset>635</wp:posOffset>
                      </wp:positionV>
                      <wp:extent cx="152400" cy="525780"/>
                      <wp:effectExtent l="0" t="0" r="0" b="0"/>
                      <wp:wrapSquare wrapText="right"/>
                      <wp:docPr id="684" name="Frame36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pPr>
            <w:r>
              <w:rPr>
                <w:spacing w:val="-2"/>
              </w:rPr>
              <w:t>Reduces discretion</w:t>
            </w:r>
            <w:r>
              <w:rPr/>
              <w:t xml:space="preserve"> </w:t>
            </w:r>
            <w:r>
              <mc:AlternateContent>
                <mc:Choice Requires="wps">
                  <w:drawing>
                    <wp:anchor behindDoc="0" distT="48260" distB="0" distL="0" distR="0" simplePos="0" locked="0" layoutInCell="1" allowOverlap="1" relativeHeight="673">
                      <wp:simplePos x="0" y="0"/>
                      <wp:positionH relativeFrom="column">
                        <wp:align>left</wp:align>
                      </wp:positionH>
                      <wp:positionV relativeFrom="line">
                        <wp:align>top</wp:align>
                      </wp:positionV>
                      <wp:extent cx="152400" cy="525780"/>
                      <wp:effectExtent l="0" t="0" r="0" b="0"/>
                      <wp:wrapSquare wrapText="right"/>
                      <wp:docPr id="685" name="Frame36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6" w:after="0"/>
              <w:ind w:left="240" w:right="0" w:hanging="0"/>
              <w:jc w:val="left"/>
              <w:rPr>
                <w:spacing w:val="-2"/>
              </w:rPr>
            </w:pPr>
            <w:r>
              <w:rPr>
                <w:spacing w:val="-2"/>
              </w:rPr>
              <w:t xml:space="preserve">Improves transparency </w:t>
            </w:r>
            <w:r>
              <mc:AlternateContent>
                <mc:Choice Requires="wps">
                  <w:drawing>
                    <wp:anchor behindDoc="0" distT="48260" distB="0" distL="0" distR="0" simplePos="0" locked="0" layoutInCell="1" allowOverlap="1" relativeHeight="674">
                      <wp:simplePos x="0" y="0"/>
                      <wp:positionH relativeFrom="column">
                        <wp:align>left</wp:align>
                      </wp:positionH>
                      <wp:positionV relativeFrom="line">
                        <wp:align>top</wp:align>
                      </wp:positionV>
                      <wp:extent cx="152400" cy="525780"/>
                      <wp:effectExtent l="0" t="0" r="0" b="0"/>
                      <wp:wrapSquare wrapText="right"/>
                      <wp:docPr id="686" name="Frame36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6" w:type="dxa"/>
            </w:tcMar>
            <w:vAlign w:val="center"/>
          </w:tcPr>
          <w:p>
            <w:pPr>
              <w:pStyle w:val="TableContents"/>
              <w:bidi w:val="0"/>
              <w:spacing w:lineRule="atLeast" w:line="206" w:before="0" w:after="0"/>
              <w:ind w:left="240" w:right="0" w:hanging="0"/>
              <w:jc w:val="left"/>
              <w:rPr>
                <w:b/>
              </w:rPr>
            </w:pPr>
            <w:r>
              <w:rPr>
                <w:b/>
              </w:rPr>
              <w:t>100% of CEO annual incentive has formulaic outcome; 60% of CFO annual incentive has formulaic outcome</w:t>
            </w:r>
            <w:r>
              <mc:AlternateContent>
                <mc:Choice Requires="wps">
                  <w:drawing>
                    <wp:anchor behindDoc="0" distT="0" distB="0" distL="0" distR="0" simplePos="0" locked="0" layoutInCell="1" allowOverlap="1" relativeHeight="675">
                      <wp:simplePos x="0" y="0"/>
                      <wp:positionH relativeFrom="column">
                        <wp:align>left</wp:align>
                      </wp:positionH>
                      <wp:positionV relativeFrom="line">
                        <wp:posOffset>635</wp:posOffset>
                      </wp:positionV>
                      <wp:extent cx="152400" cy="525780"/>
                      <wp:effectExtent l="0" t="0" r="0" b="0"/>
                      <wp:wrapSquare wrapText="right"/>
                      <wp:docPr id="687" name="Frame36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b/>
              </w:rPr>
            </w:pPr>
            <w:r>
              <w:rPr>
                <w:b/>
              </w:rPr>
              <w:t>Up to 100% of annual incentive may be in equity that remains subject to a three-year no-sell restriction</w:t>
            </w:r>
            <w:r>
              <mc:AlternateContent>
                <mc:Choice Requires="wps">
                  <w:drawing>
                    <wp:anchor behindDoc="0" distT="31750" distB="0" distL="0" distR="0" simplePos="0" locked="0" layoutInCell="1" allowOverlap="1" relativeHeight="676">
                      <wp:simplePos x="0" y="0"/>
                      <wp:positionH relativeFrom="column">
                        <wp:align>left</wp:align>
                      </wp:positionH>
                      <wp:positionV relativeFrom="line">
                        <wp:align>top</wp:align>
                      </wp:positionV>
                      <wp:extent cx="152400" cy="525780"/>
                      <wp:effectExtent l="0" t="0" r="0" b="0"/>
                      <wp:wrapSquare wrapText="right"/>
                      <wp:docPr id="688" name="Frame36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tcBorders>
              <w:bottom w:val="single" w:sz="6" w:space="0" w:color="1F2668"/>
            </w:tcBorders>
            <w:vAlign w:val="center"/>
          </w:tcPr>
          <w:p>
            <w:pPr>
              <w:pStyle w:val="TableContents"/>
              <w:bidi w:val="0"/>
              <w:spacing w:before="0" w:after="283"/>
              <w:jc w:val="left"/>
              <w:rPr/>
            </w:pPr>
            <w:r>
              <w:rPr/>
              <w:t>​</w:t>
            </w:r>
          </w:p>
        </w:tc>
        <w:tc>
          <w:tcPr>
            <w:tcW w:w="3450" w:type="dxa"/>
            <w:tcBorders>
              <w:bottom w:val="single" w:sz="6"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36140" cy="393700"/>
                      <wp:effectExtent l="0" t="0" r="0" b="0"/>
                      <wp:wrapNone/>
                      <wp:docPr id="689" name="Frame365"/>
                      <a:graphic xmlns:a="http://schemas.openxmlformats.org/drawingml/2006/main">
                        <a:graphicData uri="http://schemas.microsoft.com/office/word/2010/wordprocessingShape">
                          <wps:wsp>
                            <wps:cNvSpPr txBox="1"/>
                            <wps:spPr>
                              <a:xfrm>
                                <a:off x="0" y="0"/>
                                <a:ext cx="2136140" cy="393700"/>
                              </a:xfrm>
                              <a:prstGeom prst="rect"/>
                              <a:solidFill>
                                <a:srgbClr val="FFFFFF"/>
                              </a:solidFill>
                            </wps:spPr>
                            <wps:txbx>
                              <w:txbxContent>
                                <w:p>
                                  <w:pPr>
                                    <w:pStyle w:val="TextBody"/>
                                    <w:bidi w:val="0"/>
                                    <w:spacing w:before="0" w:after="283"/>
                                    <w:jc w:val="left"/>
                                    <w:rPr>
                                      <w:color w:val="1F2668"/>
                                    </w:rPr>
                                  </w:pPr>
                                  <w:r>
                                    <w:rPr>
                                      <w:color w:val="1F2668"/>
                                      <w:spacing w:val="2"/>
                                    </w:rPr>
                                    <w:t>Long-Term Incentives</w:t>
                                  </w:r>
                                  <w:r>
                                    <w:rPr>
                                      <w:color w:val="1F2668"/>
                                    </w:rPr>
                                    <w:t xml:space="preserve"> </w:t>
                                  </w:r>
                                </w:p>
                              </w:txbxContent>
                            </wps:txbx>
                            <wps:bodyPr anchor="t" lIns="0" tIns="0" rIns="0" bIns="0">
                              <a:noAutofit/>
                            </wps:bodyPr>
                          </wps:wsp>
                        </a:graphicData>
                      </a:graphic>
                    </wp:anchor>
                  </w:drawing>
                </mc:Choice>
                <mc:Fallback>
                  <w:pict>
                    <v:rect style="position:absolute;rotation:-0;width:168.2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Long-Term Incentives</w:t>
                            </w:r>
                            <w:r>
                              <w:rPr>
                                <w:color w:val="1F2668"/>
                              </w:rPr>
                              <w:t xml:space="preserve"> </w:t>
                            </w:r>
                          </w:p>
                        </w:txbxContent>
                      </v:textbox>
                      <w10:wrap type="none"/>
                    </v:rect>
                  </w:pict>
                </mc:Fallback>
              </mc:AlternateConten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before="0" w:after="0"/>
              <w:jc w:val="left"/>
              <w:rPr/>
            </w:pPr>
            <w:r>
              <w:rPr>
                <w:spacing w:val="-2"/>
              </w:rPr>
              <w:t>2018: Retesting feature allows for multiple vesting opportunities</w:t>
            </w:r>
            <w:r>
              <w:rPr/>
              <w:t xml:space="preserve"> </w:t>
            </w:r>
          </w:p>
          <w:p>
            <w:pPr>
              <w:pStyle w:val="TableContents"/>
              <w:bidi w:val="0"/>
              <w:spacing w:before="50" w:after="283"/>
              <w:jc w:val="left"/>
              <w:rPr/>
            </w:pPr>
            <w:r>
              <w:rPr>
                <w:spacing w:val="-2"/>
              </w:rPr>
              <w:t>2018: Contracts guarantee equity grants on multi-year basis</w:t>
            </w:r>
            <w:r>
              <w:rPr/>
              <w:t xml:space="preserve"> </w:t>
            </w:r>
          </w:p>
          <w:p>
            <w:pPr>
              <w:pStyle w:val="TableContents"/>
              <w:bidi w:val="0"/>
              <w:spacing w:before="50" w:after="283"/>
              <w:jc w:val="left"/>
              <w:rPr/>
            </w:pPr>
            <w:r>
              <w:rPr>
                <w:spacing w:val="-2"/>
              </w:rPr>
              <w:t>2018: Performance period should be longer than one year</w:t>
            </w:r>
            <w:r>
              <w:rPr/>
              <w:t xml:space="preserve"> </w:t>
            </w:r>
          </w:p>
          <w:p>
            <w:pPr>
              <w:pStyle w:val="TableContents"/>
              <w:bidi w:val="0"/>
              <w:spacing w:before="50" w:after="283"/>
              <w:jc w:val="left"/>
              <w:rPr>
                <w:spacing w:val="-2"/>
              </w:rPr>
            </w:pPr>
            <w:r>
              <w:rPr>
                <w:spacing w:val="-2"/>
              </w:rPr>
              <w:t xml:space="preserve">2022: Ensure long-term incentives payout in line with stockholder value creation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Eliminated retesting from all long-term incentives</w:t>
            </w:r>
            <w:r>
              <w:rPr/>
              <w:t xml:space="preserve"> </w:t>
            </w:r>
            <w:r>
              <mc:AlternateContent>
                <mc:Choice Requires="wps">
                  <w:drawing>
                    <wp:anchor behindDoc="0" distT="0" distB="0" distL="0" distR="0" simplePos="0" locked="0" layoutInCell="1" allowOverlap="1" relativeHeight="678">
                      <wp:simplePos x="0" y="0"/>
                      <wp:positionH relativeFrom="column">
                        <wp:align>left</wp:align>
                      </wp:positionH>
                      <wp:positionV relativeFrom="line">
                        <wp:posOffset>635</wp:posOffset>
                      </wp:positionV>
                      <wp:extent cx="152400" cy="525780"/>
                      <wp:effectExtent l="0" t="0" r="0" b="0"/>
                      <wp:wrapSquare wrapText="right"/>
                      <wp:docPr id="690" name="Frame36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Eliminated guaranteed equity grants</w:t>
            </w:r>
            <w:r>
              <w:rPr/>
              <w:t xml:space="preserve"> </w:t>
            </w:r>
            <w:r>
              <mc:AlternateContent>
                <mc:Choice Requires="wps">
                  <w:drawing>
                    <wp:anchor behindDoc="0" distT="31750" distB="0" distL="0" distR="0" simplePos="0" locked="0" layoutInCell="1" allowOverlap="1" relativeHeight="679">
                      <wp:simplePos x="0" y="0"/>
                      <wp:positionH relativeFrom="column">
                        <wp:align>left</wp:align>
                      </wp:positionH>
                      <wp:positionV relativeFrom="line">
                        <wp:align>top</wp:align>
                      </wp:positionV>
                      <wp:extent cx="152400" cy="525780"/>
                      <wp:effectExtent l="0" t="0" r="0" b="0"/>
                      <wp:wrapSquare wrapText="right"/>
                      <wp:docPr id="691" name="Frame36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LTIP: annual operating goals with 3-year absolute TSR modifier (50%), and 3-year relative TSR (50%)</w:t>
            </w:r>
            <w:r>
              <w:rPr/>
              <w:t xml:space="preserve"> </w:t>
            </w:r>
            <w:r>
              <mc:AlternateContent>
                <mc:Choice Requires="wps">
                  <w:drawing>
                    <wp:anchor behindDoc="0" distT="31750" distB="0" distL="0" distR="0" simplePos="0" locked="0" layoutInCell="1" allowOverlap="1" relativeHeight="680">
                      <wp:simplePos x="0" y="0"/>
                      <wp:positionH relativeFrom="column">
                        <wp:align>left</wp:align>
                      </wp:positionH>
                      <wp:positionV relativeFrom="line">
                        <wp:align>top</wp:align>
                      </wp:positionV>
                      <wp:extent cx="152400" cy="525780"/>
                      <wp:effectExtent l="0" t="0" r="0" b="0"/>
                      <wp:wrapSquare wrapText="right"/>
                      <wp:docPr id="692" name="Frame36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b/>
              </w:rPr>
            </w:pPr>
            <w:r>
              <w:rPr>
                <w:b/>
              </w:rPr>
              <w:t>In 2023, implemented a vesting cap for relative TSR-based equity</w:t>
            </w:r>
            <w:r>
              <mc:AlternateContent>
                <mc:Choice Requires="wps">
                  <w:drawing>
                    <wp:anchor behindDoc="0" distT="31750" distB="0" distL="0" distR="0" simplePos="0" locked="0" layoutInCell="1" allowOverlap="1" relativeHeight="681">
                      <wp:simplePos x="0" y="0"/>
                      <wp:positionH relativeFrom="column">
                        <wp:align>left</wp:align>
                      </wp:positionH>
                      <wp:positionV relativeFrom="line">
                        <wp:align>top</wp:align>
                      </wp:positionV>
                      <wp:extent cx="152400" cy="525780"/>
                      <wp:effectExtent l="0" t="0" r="0" b="0"/>
                      <wp:wrapSquare wrapText="right"/>
                      <wp:docPr id="693" name="Frame36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pPr>
            <w:r>
              <w:rPr>
                <w:spacing w:val="-2"/>
              </w:rPr>
              <w:t>Strengthens rigor of performance-based equity</w:t>
            </w:r>
            <w:r>
              <w:rPr/>
              <w:t xml:space="preserve"> </w:t>
            </w:r>
            <w:r>
              <mc:AlternateContent>
                <mc:Choice Requires="wps">
                  <w:drawing>
                    <wp:anchor behindDoc="0" distT="0" distB="0" distL="0" distR="0" simplePos="0" locked="0" layoutInCell="1" allowOverlap="1" relativeHeight="682">
                      <wp:simplePos x="0" y="0"/>
                      <wp:positionH relativeFrom="column">
                        <wp:align>left</wp:align>
                      </wp:positionH>
                      <wp:positionV relativeFrom="line">
                        <wp:posOffset>635</wp:posOffset>
                      </wp:positionV>
                      <wp:extent cx="152400" cy="525780"/>
                      <wp:effectExtent l="0" t="0" r="0" b="0"/>
                      <wp:wrapSquare wrapText="right"/>
                      <wp:docPr id="694" name="Frame37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Eliminates contractual guarantees</w:t>
            </w:r>
            <w:r>
              <w:rPr/>
              <w:t xml:space="preserve"> </w:t>
            </w:r>
            <w:r>
              <mc:AlternateContent>
                <mc:Choice Requires="wps">
                  <w:drawing>
                    <wp:anchor behindDoc="0" distT="31750" distB="0" distL="0" distR="0" simplePos="0" locked="0" layoutInCell="1" allowOverlap="1" relativeHeight="683">
                      <wp:simplePos x="0" y="0"/>
                      <wp:positionH relativeFrom="column">
                        <wp:align>left</wp:align>
                      </wp:positionH>
                      <wp:positionV relativeFrom="line">
                        <wp:align>top</wp:align>
                      </wp:positionV>
                      <wp:extent cx="152400" cy="525780"/>
                      <wp:effectExtent l="0" t="0" r="0" b="0"/>
                      <wp:wrapSquare wrapText="right"/>
                      <wp:docPr id="695" name="Frame37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Strengthens pay-for-performance link</w:t>
            </w:r>
            <w:r>
              <w:rPr/>
              <w:t xml:space="preserve"> </w:t>
            </w:r>
            <w:r>
              <mc:AlternateContent>
                <mc:Choice Requires="wps">
                  <w:drawing>
                    <wp:anchor behindDoc="0" distT="31750" distB="0" distL="0" distR="0" simplePos="0" locked="0" layoutInCell="1" allowOverlap="1" relativeHeight="684">
                      <wp:simplePos x="0" y="0"/>
                      <wp:positionH relativeFrom="column">
                        <wp:align>left</wp:align>
                      </wp:positionH>
                      <wp:positionV relativeFrom="line">
                        <wp:align>top</wp:align>
                      </wp:positionV>
                      <wp:extent cx="152400" cy="525780"/>
                      <wp:effectExtent l="0" t="0" r="0" b="0"/>
                      <wp:wrapSquare wrapText="right"/>
                      <wp:docPr id="696" name="Frame37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pPr>
            <w:r>
              <w:rPr>
                <w:spacing w:val="-2"/>
              </w:rPr>
              <w:t>Improves long-term alignment of executives’ interests</w:t>
            </w:r>
            <w:r>
              <w:rPr/>
              <w:t xml:space="preserve"> </w:t>
            </w:r>
            <w:r>
              <mc:AlternateContent>
                <mc:Choice Requires="wps">
                  <w:drawing>
                    <wp:anchor behindDoc="0" distT="31750" distB="0" distL="0" distR="0" simplePos="0" locked="0" layoutInCell="1" allowOverlap="1" relativeHeight="685">
                      <wp:simplePos x="0" y="0"/>
                      <wp:positionH relativeFrom="column">
                        <wp:align>left</wp:align>
                      </wp:positionH>
                      <wp:positionV relativeFrom="line">
                        <wp:align>top</wp:align>
                      </wp:positionV>
                      <wp:extent cx="152400" cy="525780"/>
                      <wp:effectExtent l="0" t="0" r="0" b="0"/>
                      <wp:wrapSquare wrapText="right"/>
                      <wp:docPr id="697" name="Frame37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6" w:before="50" w:after="0"/>
              <w:ind w:left="240" w:right="0" w:hanging="0"/>
              <w:jc w:val="left"/>
              <w:rPr>
                <w:spacing w:val="-2"/>
              </w:rPr>
            </w:pPr>
            <w:r>
              <w:rPr>
                <w:spacing w:val="-2"/>
              </w:rPr>
              <w:t xml:space="preserve">Limits payout at target level when 3-year absolute TSR is negative even if relative TSR outperforms peers </w:t>
            </w:r>
            <w:r>
              <mc:AlternateContent>
                <mc:Choice Requires="wps">
                  <w:drawing>
                    <wp:anchor behindDoc="0" distT="31750" distB="0" distL="0" distR="0" simplePos="0" locked="0" layoutInCell="1" allowOverlap="1" relativeHeight="686">
                      <wp:simplePos x="0" y="0"/>
                      <wp:positionH relativeFrom="column">
                        <wp:align>left</wp:align>
                      </wp:positionH>
                      <wp:positionV relativeFrom="line">
                        <wp:align>top</wp:align>
                      </wp:positionV>
                      <wp:extent cx="152400" cy="525780"/>
                      <wp:effectExtent l="0" t="0" r="0" b="0"/>
                      <wp:wrapSquare wrapText="right"/>
                      <wp:docPr id="698" name="Frame37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6" w:type="dxa"/>
            </w:tcMar>
            <w:vAlign w:val="center"/>
          </w:tcPr>
          <w:p>
            <w:pPr>
              <w:pStyle w:val="TableContents"/>
              <w:bidi w:val="0"/>
              <w:spacing w:lineRule="atLeast" w:line="206" w:before="0" w:after="0"/>
              <w:ind w:left="240" w:right="0" w:hanging="0"/>
              <w:jc w:val="left"/>
              <w:rPr>
                <w:b/>
              </w:rPr>
            </w:pPr>
            <w:r>
              <w:rPr>
                <w:b/>
              </w:rPr>
              <w:t>Greater than 60% of CEO’s target equity incentives are in the form of performance-based equity incentives</w:t>
            </w:r>
            <w:r>
              <mc:AlternateContent>
                <mc:Choice Requires="wps">
                  <w:drawing>
                    <wp:anchor behindDoc="0" distT="0" distB="0" distL="0" distR="0" simplePos="0" locked="0" layoutInCell="1" allowOverlap="1" relativeHeight="687">
                      <wp:simplePos x="0" y="0"/>
                      <wp:positionH relativeFrom="column">
                        <wp:align>left</wp:align>
                      </wp:positionH>
                      <wp:positionV relativeFrom="line">
                        <wp:posOffset>635</wp:posOffset>
                      </wp:positionV>
                      <wp:extent cx="152400" cy="525780"/>
                      <wp:effectExtent l="0" t="0" r="0" b="0"/>
                      <wp:wrapSquare wrapText="right"/>
                      <wp:docPr id="699" name="Frame37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vMerge w:val="restart"/>
            <w:tcBorders>
              <w:bottom w:val="single" w:sz="12" w:space="0" w:color="1F2668"/>
            </w:tcBorders>
            <w:vAlign w:val="center"/>
          </w:tcPr>
          <w:p>
            <w:pPr>
              <w:pStyle w:val="TableContents"/>
              <w:bidi w:val="0"/>
              <w:spacing w:before="0" w:after="283"/>
              <w:jc w:val="left"/>
              <w:rPr/>
            </w:pPr>
            <w:r>
              <w:rPr/>
              <w:t>​</w:t>
            </w:r>
          </w:p>
        </w:tc>
        <w:tc>
          <w:tcPr>
            <w:tcW w:w="3450" w:type="dxa"/>
            <w:vMerge w:val="restart"/>
            <w:tcBorders>
              <w:bottom w:val="single" w:sz="12" w:space="0" w:color="1F2668"/>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639570" cy="393700"/>
                      <wp:effectExtent l="0" t="0" r="0" b="0"/>
                      <wp:wrapNone/>
                      <wp:docPr id="700" name="Frame376"/>
                      <a:graphic xmlns:a="http://schemas.openxmlformats.org/drawingml/2006/main">
                        <a:graphicData uri="http://schemas.microsoft.com/office/word/2010/wordprocessingShape">
                          <wps:wsp>
                            <wps:cNvSpPr txBox="1"/>
                            <wps:spPr>
                              <a:xfrm>
                                <a:off x="0" y="0"/>
                                <a:ext cx="1639570" cy="393700"/>
                              </a:xfrm>
                              <a:prstGeom prst="rect"/>
                              <a:solidFill>
                                <a:srgbClr val="FFFFFF"/>
                              </a:solidFill>
                            </wps:spPr>
                            <wps:txbx>
                              <w:txbxContent>
                                <w:p>
                                  <w:pPr>
                                    <w:pStyle w:val="TextBody"/>
                                    <w:bidi w:val="0"/>
                                    <w:spacing w:before="0" w:after="283"/>
                                    <w:jc w:val="left"/>
                                    <w:rPr>
                                      <w:color w:val="1F2668"/>
                                    </w:rPr>
                                  </w:pPr>
                                  <w:r>
                                    <w:rPr>
                                      <w:color w:val="1F2668"/>
                                      <w:spacing w:val="2"/>
                                    </w:rPr>
                                    <w:t>Other</w:t>
                                  </w:r>
                                  <w:r>
                                    <w:rPr>
                                      <w:color w:val="1F2668"/>
                                    </w:rPr>
                                    <w:t xml:space="preserve"> </w:t>
                                  </w:r>
                                </w:p>
                              </w:txbxContent>
                            </wps:txbx>
                            <wps:bodyPr anchor="t" lIns="0" tIns="0" rIns="0" bIns="0">
                              <a:noAutofit/>
                            </wps:bodyPr>
                          </wps:wsp>
                        </a:graphicData>
                      </a:graphic>
                    </wp:anchor>
                  </w:drawing>
                </mc:Choice>
                <mc:Fallback>
                  <w:pict>
                    <v:rect style="position:absolute;rotation:-0;width:129.1pt;height: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color w:val="1F2668"/>
                              </w:rPr>
                            </w:pPr>
                            <w:r>
                              <w:rPr>
                                <w:color w:val="1F2668"/>
                                <w:spacing w:val="2"/>
                              </w:rPr>
                              <w:t>Other</w:t>
                            </w:r>
                            <w:r>
                              <w:rPr>
                                <w:color w:val="1F2668"/>
                              </w:rPr>
                              <w:t xml:space="preserve"> </w:t>
                            </w:r>
                          </w:p>
                        </w:txbxContent>
                      </v:textbox>
                      <w10:wrap type="none"/>
                    </v:rect>
                  </w:pict>
                </mc:Fallback>
              </mc:AlternateContent>
            </w:r>
          </w:p>
        </w:tc>
        <w:tc>
          <w:tcPr>
            <w:tcW w:w="109" w:type="dxa"/>
            <w:vMerge w:val="restart"/>
            <w:tcBorders>
              <w:bottom w:val="single" w:sz="12"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before="0" w:after="283"/>
              <w:jc w:val="left"/>
              <w:rPr>
                <w:spacing w:val="-2"/>
              </w:rPr>
            </w:pPr>
            <w:r>
              <w:rPr>
                <w:spacing w:val="-2"/>
              </w:rPr>
              <w:t xml:space="preserve">2018: Compensation </w:t>
              <w:br/>
              <w:t xml:space="preserve">program is complicated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lineRule="atLeast" w:line="206" w:before="0" w:after="0"/>
              <w:ind w:left="240" w:right="0" w:hanging="0"/>
              <w:jc w:val="left"/>
              <w:rPr>
                <w:spacing w:val="-2"/>
              </w:rPr>
            </w:pPr>
            <w:r>
              <w:rPr>
                <w:spacing w:val="-2"/>
              </w:rPr>
              <w:t xml:space="preserve">Reduced pay elements from 7 to 4 </w:t>
            </w:r>
            <w:r>
              <mc:AlternateContent>
                <mc:Choice Requires="wps">
                  <w:drawing>
                    <wp:anchor behindDoc="0" distT="0" distB="0" distL="0" distR="0" simplePos="0" locked="0" layoutInCell="1" allowOverlap="1" relativeHeight="689">
                      <wp:simplePos x="0" y="0"/>
                      <wp:positionH relativeFrom="column">
                        <wp:align>left</wp:align>
                      </wp:positionH>
                      <wp:positionV relativeFrom="line">
                        <wp:posOffset>635</wp:posOffset>
                      </wp:positionV>
                      <wp:extent cx="152400" cy="525780"/>
                      <wp:effectExtent l="0" t="0" r="0" b="0"/>
                      <wp:wrapSquare wrapText="right"/>
                      <wp:docPr id="701" name="Frame377"/>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lineRule="atLeast" w:line="206" w:before="0" w:after="0"/>
              <w:ind w:left="240" w:right="0" w:hanging="0"/>
              <w:jc w:val="left"/>
              <w:rPr>
                <w:spacing w:val="-2"/>
              </w:rPr>
            </w:pPr>
            <w:r>
              <w:rPr>
                <w:spacing w:val="-2"/>
              </w:rPr>
              <w:t xml:space="preserve">Improves transparency and pay for performance </w:t>
            </w:r>
            <w:r>
              <mc:AlternateContent>
                <mc:Choice Requires="wps">
                  <w:drawing>
                    <wp:anchor behindDoc="0" distT="0" distB="0" distL="0" distR="0" simplePos="0" locked="0" layoutInCell="1" allowOverlap="1" relativeHeight="690">
                      <wp:simplePos x="0" y="0"/>
                      <wp:positionH relativeFrom="column">
                        <wp:align>left</wp:align>
                      </wp:positionH>
                      <wp:positionV relativeFrom="line">
                        <wp:posOffset>635</wp:posOffset>
                      </wp:positionV>
                      <wp:extent cx="152400" cy="525780"/>
                      <wp:effectExtent l="0" t="0" r="0" b="0"/>
                      <wp:wrapSquare wrapText="right"/>
                      <wp:docPr id="702" name="Frame378"/>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071" w:type="dxa"/>
            <w:tcBorders/>
            <w:shd w:fill="E9F9D8" w:val="clear"/>
            <w:tcMar>
              <w:bottom w:w="0" w:type="dxa"/>
            </w:tcMar>
            <w:vAlign w:val="center"/>
          </w:tcPr>
          <w:p>
            <w:pPr>
              <w:pStyle w:val="TableContents"/>
              <w:bidi w:val="0"/>
              <w:spacing w:lineRule="atLeast" w:line="206" w:before="0" w:after="0"/>
              <w:ind w:left="240" w:right="0" w:hanging="0"/>
              <w:jc w:val="left"/>
              <w:rPr>
                <w:b/>
              </w:rPr>
            </w:pPr>
            <w:r>
              <w:rPr>
                <w:b/>
              </w:rPr>
              <w:t>Simple, transparent compensation structure</w:t>
            </w:r>
            <w:r>
              <mc:AlternateContent>
                <mc:Choice Requires="wps">
                  <w:drawing>
                    <wp:anchor behindDoc="0" distT="0" distB="0" distL="0" distR="0" simplePos="0" locked="0" layoutInCell="1" allowOverlap="1" relativeHeight="691">
                      <wp:simplePos x="0" y="0"/>
                      <wp:positionH relativeFrom="column">
                        <wp:align>left</wp:align>
                      </wp:positionH>
                      <wp:positionV relativeFrom="line">
                        <wp:posOffset>635</wp:posOffset>
                      </wp:positionV>
                      <wp:extent cx="152400" cy="525780"/>
                      <wp:effectExtent l="0" t="0" r="0" b="0"/>
                      <wp:wrapSquare wrapText="right"/>
                      <wp:docPr id="703" name="Frame379"/>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9F9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50"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before="0" w:after="283"/>
              <w:jc w:val="left"/>
              <w:rPr>
                <w:spacing w:val="-2"/>
              </w:rPr>
            </w:pPr>
            <w:r>
              <w:rPr>
                <w:spacing w:val="-2"/>
              </w:rPr>
              <w:t xml:space="preserve">2018: Director compensation is high relative to peers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lineRule="atLeast" w:line="206" w:before="0" w:after="0"/>
              <w:ind w:left="240" w:right="0" w:hanging="0"/>
              <w:jc w:val="left"/>
              <w:rPr>
                <w:spacing w:val="-2"/>
              </w:rPr>
            </w:pPr>
            <w:r>
              <w:rPr>
                <w:spacing w:val="-2"/>
              </w:rPr>
              <w:t xml:space="preserve">Reduced director compensation by $65,000 since 2019 </w:t>
            </w:r>
            <w:r>
              <mc:AlternateContent>
                <mc:Choice Requires="wps">
                  <w:drawing>
                    <wp:anchor behindDoc="0" distT="0" distB="0" distL="0" distR="0" simplePos="0" locked="0" layoutInCell="1" allowOverlap="1" relativeHeight="692">
                      <wp:simplePos x="0" y="0"/>
                      <wp:positionH relativeFrom="column">
                        <wp:align>left</wp:align>
                      </wp:positionH>
                      <wp:positionV relativeFrom="line">
                        <wp:posOffset>635</wp:posOffset>
                      </wp:positionV>
                      <wp:extent cx="152400" cy="525780"/>
                      <wp:effectExtent l="0" t="0" r="0" b="0"/>
                      <wp:wrapSquare wrapText="right"/>
                      <wp:docPr id="704" name="Frame380"/>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lineRule="atLeast" w:line="206" w:before="0" w:after="0"/>
              <w:ind w:left="240" w:right="0" w:hanging="0"/>
              <w:jc w:val="left"/>
              <w:rPr>
                <w:spacing w:val="-2"/>
              </w:rPr>
            </w:pPr>
            <w:r>
              <w:rPr>
                <w:spacing w:val="-2"/>
              </w:rPr>
              <w:t xml:space="preserve">Improves alignment of pay relative to peers </w:t>
            </w:r>
            <w:r>
              <mc:AlternateContent>
                <mc:Choice Requires="wps">
                  <w:drawing>
                    <wp:anchor behindDoc="0" distT="0" distB="0" distL="0" distR="0" simplePos="0" locked="0" layoutInCell="1" allowOverlap="1" relativeHeight="693">
                      <wp:simplePos x="0" y="0"/>
                      <wp:positionH relativeFrom="column">
                        <wp:align>left</wp:align>
                      </wp:positionH>
                      <wp:positionV relativeFrom="line">
                        <wp:posOffset>635</wp:posOffset>
                      </wp:positionV>
                      <wp:extent cx="152400" cy="525780"/>
                      <wp:effectExtent l="0" t="0" r="0" b="0"/>
                      <wp:wrapSquare wrapText="right"/>
                      <wp:docPr id="705" name="Frame381"/>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9F9D8" w:val="clear"/>
            <w:tcMar>
              <w:bottom w:w="0" w:type="dxa"/>
            </w:tcMar>
            <w:vAlign w:val="center"/>
          </w:tcPr>
          <w:p>
            <w:pPr>
              <w:pStyle w:val="TableContents"/>
              <w:bidi w:val="0"/>
              <w:spacing w:before="0" w:after="283"/>
              <w:jc w:val="left"/>
              <w:rPr/>
            </w:pPr>
            <w:r>
              <w:rPr/>
              <w:t>​</w:t>
            </w:r>
          </w:p>
        </w:tc>
        <w:tc>
          <w:tcPr>
            <w:tcW w:w="2071" w:type="dxa"/>
            <w:tcBorders/>
            <w:shd w:fill="E9F9D8" w:val="clear"/>
            <w:tcMar>
              <w:bottom w:w="0" w:type="dxa"/>
            </w:tcMar>
            <w:vAlign w:val="center"/>
          </w:tcPr>
          <w:p>
            <w:pPr>
              <w:pStyle w:val="TableContents"/>
              <w:bidi w:val="0"/>
              <w:spacing w:lineRule="atLeast" w:line="206" w:before="0" w:after="0"/>
              <w:ind w:left="240" w:right="0" w:hanging="0"/>
              <w:jc w:val="left"/>
              <w:rPr>
                <w:b/>
              </w:rPr>
            </w:pPr>
            <w:r>
              <w:rPr>
                <w:b/>
              </w:rPr>
              <w:t>Reduced director pay since 2019</w:t>
            </w:r>
            <w:r>
              <mc:AlternateContent>
                <mc:Choice Requires="wps">
                  <w:drawing>
                    <wp:anchor behindDoc="0" distT="0" distB="0" distL="0" distR="0" simplePos="0" locked="0" layoutInCell="1" allowOverlap="1" relativeHeight="694">
                      <wp:simplePos x="0" y="0"/>
                      <wp:positionH relativeFrom="column">
                        <wp:align>left</wp:align>
                      </wp:positionH>
                      <wp:positionV relativeFrom="line">
                        <wp:posOffset>635</wp:posOffset>
                      </wp:positionV>
                      <wp:extent cx="152400" cy="525780"/>
                      <wp:effectExtent l="0" t="0" r="0" b="0"/>
                      <wp:wrapSquare wrapText="right"/>
                      <wp:docPr id="706" name="Frame382"/>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shd w:fill="E9F9D8"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50"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lineRule="atLeast" w:line="206" w:before="0" w:after="0"/>
              <w:jc w:val="left"/>
              <w:rPr>
                <w:spacing w:val="-2"/>
              </w:rPr>
            </w:pPr>
            <w:r>
              <w:rPr>
                <w:spacing w:val="-2"/>
              </w:rPr>
              <w:t xml:space="preserve">2023: Reduce NEO perquisites cost </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389"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Eliminated auto- mobile benefits for NEOs </w:t>
            </w:r>
            <w:r>
              <mc:AlternateContent>
                <mc:Choice Requires="wps">
                  <w:drawing>
                    <wp:anchor behindDoc="0" distT="0" distB="0" distL="0" distR="0" simplePos="0" locked="0" layoutInCell="1" allowOverlap="1" relativeHeight="695">
                      <wp:simplePos x="0" y="0"/>
                      <wp:positionH relativeFrom="column">
                        <wp:align>left</wp:align>
                      </wp:positionH>
                      <wp:positionV relativeFrom="line">
                        <wp:posOffset>635</wp:posOffset>
                      </wp:positionV>
                      <wp:extent cx="152400" cy="525780"/>
                      <wp:effectExtent l="0" t="0" r="0" b="0"/>
                      <wp:wrapSquare wrapText="right"/>
                      <wp:docPr id="707" name="Frame383"/>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2020" w:type="dxa"/>
            <w:tcBorders>
              <w:bottom w:val="single" w:sz="6" w:space="0" w:color="1F2668"/>
            </w:tcBorders>
            <w:tcMar>
              <w:bottom w:w="36" w:type="dxa"/>
            </w:tcMar>
            <w:vAlign w:val="center"/>
          </w:tcPr>
          <w:p>
            <w:pPr>
              <w:pStyle w:val="TableContents"/>
              <w:bidi w:val="0"/>
              <w:spacing w:lineRule="atLeast" w:line="206" w:before="0" w:after="0"/>
              <w:ind w:left="240" w:right="0" w:hanging="0"/>
              <w:jc w:val="left"/>
              <w:rPr>
                <w:spacing w:val="-2"/>
              </w:rPr>
            </w:pPr>
            <w:r>
              <w:rPr>
                <w:spacing w:val="-2"/>
              </w:rPr>
              <w:t xml:space="preserve">Aligns perquisites with industry best practices </w:t>
            </w:r>
            <w:r>
              <mc:AlternateContent>
                <mc:Choice Requires="wps">
                  <w:drawing>
                    <wp:anchor behindDoc="0" distT="0" distB="0" distL="0" distR="0" simplePos="0" locked="0" layoutInCell="1" allowOverlap="1" relativeHeight="696">
                      <wp:simplePos x="0" y="0"/>
                      <wp:positionH relativeFrom="column">
                        <wp:align>left</wp:align>
                      </wp:positionH>
                      <wp:positionV relativeFrom="line">
                        <wp:posOffset>635</wp:posOffset>
                      </wp:positionV>
                      <wp:extent cx="152400" cy="525780"/>
                      <wp:effectExtent l="0" t="0" r="0" b="0"/>
                      <wp:wrapSquare wrapText="right"/>
                      <wp:docPr id="708" name="Frame38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1F2668"/>
            </w:tcBorders>
            <w:vAlign w:val="center"/>
          </w:tcPr>
          <w:p>
            <w:pPr>
              <w:pStyle w:val="TableContents"/>
              <w:bidi w:val="0"/>
              <w:spacing w:before="0" w:after="283"/>
              <w:jc w:val="left"/>
              <w:rPr/>
            </w:pPr>
            <w:r>
              <w:rPr/>
              <w:t>​</w:t>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71" w:type="dxa"/>
            <w:tcBorders>
              <w:bottom w:val="single" w:sz="6" w:space="0" w:color="1F2668"/>
            </w:tcBorders>
            <w:shd w:fill="E9F9D8" w:val="clear"/>
            <w:tcMar>
              <w:bottom w:w="36" w:type="dxa"/>
            </w:tcMar>
            <w:vAlign w:val="center"/>
          </w:tcPr>
          <w:p>
            <w:pPr>
              <w:pStyle w:val="TableContents"/>
              <w:bidi w:val="0"/>
              <w:spacing w:lineRule="atLeast" w:line="206" w:before="0" w:after="0"/>
              <w:ind w:left="240" w:right="0" w:hanging="0"/>
              <w:jc w:val="left"/>
              <w:rPr>
                <w:b/>
              </w:rPr>
            </w:pPr>
            <w:r>
              <w:rPr>
                <w:b/>
              </w:rPr>
              <w:t>No excessive benefits for NEOs</w:t>
            </w:r>
            <w:r>
              <mc:AlternateContent>
                <mc:Choice Requires="wps">
                  <w:drawing>
                    <wp:anchor behindDoc="0" distT="0" distB="0" distL="0" distR="0" simplePos="0" locked="0" layoutInCell="1" allowOverlap="1" relativeHeight="697">
                      <wp:simplePos x="0" y="0"/>
                      <wp:positionH relativeFrom="column">
                        <wp:align>left</wp:align>
                      </wp:positionH>
                      <wp:positionV relativeFrom="line">
                        <wp:posOffset>635</wp:posOffset>
                      </wp:positionV>
                      <wp:extent cx="152400" cy="525780"/>
                      <wp:effectExtent l="0" t="0" r="0" b="0"/>
                      <wp:wrapSquare wrapText="right"/>
                      <wp:docPr id="709" name="Frame38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1F2668"/>
            </w:tcBorders>
            <w:shd w:fill="E9F9D8" w:val="cle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vAlign w:val="center"/>
          </w:tcPr>
          <w:p>
            <w:pPr>
              <w:pStyle w:val="Normal"/>
              <w:bidi w:val="0"/>
              <w:jc w:val="left"/>
              <w:rPr/>
            </w:pPr>
            <w:r>
              <w:rPr/>
            </w:r>
          </w:p>
        </w:tc>
        <w:tc>
          <w:tcPr>
            <w:tcW w:w="3450" w:type="dxa"/>
            <w:vMerge w:val="continue"/>
            <w:tcBorders>
              <w:bottom w:val="single" w:sz="12" w:space="0" w:color="1F2668"/>
            </w:tcBorders>
            <w:vAlign w:val="center"/>
          </w:tcPr>
          <w:p>
            <w:pPr>
              <w:pStyle w:val="Normal"/>
              <w:bidi w:val="0"/>
              <w:jc w:val="left"/>
              <w:rPr/>
            </w:pPr>
            <w:r>
              <w:rPr/>
            </w:r>
          </w:p>
        </w:tc>
        <w:tc>
          <w:tcPr>
            <w:tcW w:w="109" w:type="dxa"/>
            <w:vMerge w:val="continue"/>
            <w:tcBorders>
              <w:bottom w:val="single" w:sz="12" w:space="0" w:color="1F2668"/>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7523" w:type="dxa"/>
            <w:gridSpan w:val="10"/>
            <w:tcBorders/>
            <w:tcMar>
              <w:bottom w:w="0" w:type="dxa"/>
            </w:tcMar>
            <w:vAlign w:val="center"/>
          </w:tcPr>
          <w:p>
            <w:pPr>
              <w:pStyle w:val="TableContents"/>
              <w:bidi w:val="0"/>
              <w:spacing w:lineRule="atLeast" w:line="206" w:before="0" w:after="0"/>
              <w:ind w:left="240" w:right="0" w:hanging="0"/>
              <w:jc w:val="left"/>
              <w:rPr/>
            </w:pPr>
            <w:r>
              <w:rPr/>
              <w:t>92.3% of Mr. Holliday’s Total Direct Compensation for 2023 was at risk and approximately 12.5% lower than the total compensation amount set forth in the Summary Compensation Table.</w:t>
            </w:r>
            <w:r>
              <mc:AlternateContent>
                <mc:Choice Requires="wps">
                  <w:drawing>
                    <wp:anchor behindDoc="0" distT="0" distB="0" distL="0" distR="0" simplePos="0" locked="0" layoutInCell="1" allowOverlap="1" relativeHeight="698">
                      <wp:simplePos x="0" y="0"/>
                      <wp:positionH relativeFrom="column">
                        <wp:align>left</wp:align>
                      </wp:positionH>
                      <wp:positionV relativeFrom="line">
                        <wp:posOffset>635</wp:posOffset>
                      </wp:positionV>
                      <wp:extent cx="152400" cy="525780"/>
                      <wp:effectExtent l="0" t="0" r="0" b="0"/>
                      <wp:wrapSquare wrapText="right"/>
                      <wp:docPr id="710" name="Frame386"/>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06"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6"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Our 2023 Executive Compensation Program</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Elements of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Since 2019, our executive compensation program has been updated in line with stockholder feedback to comprise only the following four pay elements:</w:t>
      </w:r>
      <w:r>
        <w:rPr>
          <w:rFonts w:ascii="Arial;Helvetica;sans-serif" w:hAnsi="Arial;Helvetica;sans-serif"/>
          <w:b w:val="false"/>
          <w:i w:val="false"/>
          <w:caps w:val="false"/>
          <w:smallCaps w:val="false"/>
          <w:color w:val="000000"/>
          <w:spacing w:val="4"/>
          <w:sz w:val="18"/>
        </w:rPr>
        <w:t xml:space="preserve"> </w:t>
      </w:r>
    </w:p>
    <w:tbl>
      <w:tblPr>
        <w:tblW w:w="14689" w:type="dxa"/>
        <w:jc w:val="left"/>
        <w:tblInd w:w="900" w:type="dxa"/>
        <w:tblLayout w:type="fixed"/>
        <w:tblCellMar>
          <w:top w:w="0" w:type="dxa"/>
          <w:left w:w="0" w:type="dxa"/>
          <w:bottom w:w="28" w:type="dxa"/>
          <w:right w:w="0" w:type="dxa"/>
        </w:tblCellMar>
      </w:tblPr>
      <w:tblGrid>
        <w:gridCol w:w="124"/>
        <w:gridCol w:w="8286"/>
        <w:gridCol w:w="109"/>
        <w:gridCol w:w="109"/>
        <w:gridCol w:w="1226"/>
        <w:gridCol w:w="109"/>
        <w:gridCol w:w="109"/>
        <w:gridCol w:w="2236"/>
        <w:gridCol w:w="109"/>
        <w:gridCol w:w="109"/>
        <w:gridCol w:w="2009"/>
        <w:gridCol w:w="154"/>
      </w:tblGrid>
      <w:tr>
        <w:trPr/>
        <w:tc>
          <w:tcPr>
            <w:tcW w:w="124" w:type="dxa"/>
            <w:tcBorders>
              <w:bottom w:val="single" w:sz="8" w:space="0" w:color="1F2668"/>
            </w:tcBorders>
            <w:vAlign w:val="center"/>
          </w:tcPr>
          <w:p>
            <w:pPr>
              <w:pStyle w:val="TableContents"/>
              <w:bidi w:val="0"/>
              <w:spacing w:before="0" w:after="283"/>
              <w:jc w:val="left"/>
              <w:rPr/>
            </w:pPr>
            <w:r>
              <w:rPr/>
              <w:t>​</w:t>
            </w:r>
          </w:p>
        </w:tc>
        <w:tc>
          <w:tcPr>
            <w:tcW w:w="8286" w:type="dxa"/>
            <w:tcBorders>
              <w:bottom w:val="single" w:sz="8" w:space="0" w:color="1F2668"/>
            </w:tcBorders>
            <w:tcMar>
              <w:bottom w:w="43" w:type="dxa"/>
            </w:tcM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226" w:type="dxa"/>
            <w:tcBorders>
              <w:bottom w:val="single" w:sz="8" w:space="0" w:color="1F2668"/>
            </w:tcBorders>
            <w:tcMar>
              <w:bottom w:w="43" w:type="dxa"/>
            </w:tcMar>
            <w:vAlign w:val="center"/>
          </w:tcPr>
          <w:p>
            <w:pPr>
              <w:pStyle w:val="TableContents"/>
              <w:bidi w:val="0"/>
              <w:spacing w:before="0" w:after="0"/>
              <w:ind w:left="120" w:right="0" w:hanging="0"/>
              <w:jc w:val="left"/>
              <w:rPr>
                <w:spacing w:val="2"/>
              </w:rPr>
            </w:pPr>
            <w:r>
              <w:rPr>
                <w:spacing w:val="2"/>
              </w:rPr>
              <w:t xml:space="preserve">Percentage </w:t>
              <w:br/>
              <w:t xml:space="preserve">(all NEOs)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236" w:type="dxa"/>
            <w:tcBorders>
              <w:bottom w:val="single" w:sz="8" w:space="0" w:color="1F2668"/>
            </w:tcBorders>
            <w:tcMar>
              <w:bottom w:w="43" w:type="dxa"/>
            </w:tcMar>
            <w:vAlign w:val="center"/>
          </w:tcPr>
          <w:p>
            <w:pPr>
              <w:pStyle w:val="TableContents"/>
              <w:bidi w:val="0"/>
              <w:spacing w:before="0" w:after="0"/>
              <w:jc w:val="left"/>
              <w:rPr>
                <w:spacing w:val="2"/>
              </w:rPr>
            </w:pPr>
            <w:r>
              <w:rPr>
                <w:spacing w:val="2"/>
              </w:rPr>
              <w:t xml:space="preserve">Pay Element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2009" w:type="dxa"/>
            <w:tcBorders>
              <w:bottom w:val="single" w:sz="8" w:space="0" w:color="1F2668"/>
            </w:tcBorders>
            <w:tcMar>
              <w:bottom w:w="43" w:type="dxa"/>
            </w:tcMar>
            <w:vAlign w:val="center"/>
          </w:tcPr>
          <w:p>
            <w:pPr>
              <w:pStyle w:val="TableContents"/>
              <w:bidi w:val="0"/>
              <w:spacing w:before="0" w:after="0"/>
              <w:jc w:val="left"/>
              <w:rPr>
                <w:spacing w:val="2"/>
              </w:rPr>
            </w:pPr>
            <w:r>
              <w:rPr>
                <w:spacing w:val="2"/>
              </w:rPr>
              <w:t xml:space="preserve">Purpose and Key Characteristics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vMerge w:val="restart"/>
            <w:tcBorders>
              <w:bottom w:val="single" w:sz="6" w:space="0" w:color="1F2668"/>
            </w:tcBorders>
            <w:shd w:fill="1F2668" w:val="clear"/>
            <w:vAlign w:val="center"/>
          </w:tcPr>
          <w:p>
            <w:pPr>
              <w:pStyle w:val="TableContents"/>
              <w:bidi w:val="0"/>
              <w:spacing w:before="0" w:after="283"/>
              <w:jc w:val="left"/>
              <w:rPr/>
            </w:pPr>
            <w:r>
              <w:rPr/>
              <w:t>​</w:t>
            </w:r>
          </w:p>
        </w:tc>
        <w:tc>
          <w:tcPr>
            <w:tcW w:w="8286" w:type="dxa"/>
            <w:vMerge w:val="restart"/>
            <w:tcBorders>
              <w:bottom w:val="single" w:sz="6" w:space="0" w:color="1F2668"/>
            </w:tcBorders>
            <w:shd w:fill="1F2668"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920750" cy="355600"/>
                      <wp:effectExtent l="0" t="0" r="0" b="0"/>
                      <wp:wrapNone/>
                      <wp:docPr id="711" name="Frame387"/>
                      <a:graphic xmlns:a="http://schemas.openxmlformats.org/drawingml/2006/main">
                        <a:graphicData uri="http://schemas.microsoft.com/office/word/2010/wordprocessingShape">
                          <wps:wsp>
                            <wps:cNvSpPr txBox="1"/>
                            <wps:spPr>
                              <a:xfrm>
                                <a:off x="0" y="0"/>
                                <a:ext cx="920750" cy="355600"/>
                              </a:xfrm>
                              <a:prstGeom prst="rect"/>
                              <a:solidFill>
                                <a:srgbClr val="FFFFFF"/>
                              </a:solidFill>
                            </wps:spPr>
                            <wps:txbx>
                              <w:txbxContent>
                                <w:p>
                                  <w:pPr>
                                    <w:pStyle w:val="TextBody"/>
                                    <w:bidi w:val="0"/>
                                    <w:spacing w:before="0" w:after="283"/>
                                    <w:jc w:val="left"/>
                                    <w:rPr>
                                      <w:b/>
                                      <w:color w:val="FFFFFF"/>
                                    </w:rPr>
                                  </w:pPr>
                                  <w:r>
                                    <w:rPr>
                                      <w:b/>
                                      <w:color w:val="FFFFFF"/>
                                    </w:rPr>
                                    <w:t xml:space="preserve">FIXED </w:t>
                                  </w:r>
                                </w:p>
                              </w:txbxContent>
                            </wps:txbx>
                            <wps:bodyPr anchor="t" lIns="0" tIns="0" rIns="0" bIns="0">
                              <a:noAutofit/>
                            </wps:bodyPr>
                          </wps:wsp>
                        </a:graphicData>
                      </a:graphic>
                    </wp:anchor>
                  </w:drawing>
                </mc:Choice>
                <mc:Fallback>
                  <w:pict>
                    <v:rect style="position:absolute;rotation:-0;width:72.5pt;height: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FFFFFF"/>
                              </w:rPr>
                            </w:pPr>
                            <w:r>
                              <w:rPr>
                                <w:b/>
                                <w:color w:val="FFFFFF"/>
                              </w:rPr>
                              <w:t xml:space="preserve">FIXED </w:t>
                            </w:r>
                          </w:p>
                        </w:txbxContent>
                      </v:textbox>
                      <w10:wrap type="none"/>
                    </v:rect>
                  </w:pict>
                </mc:Fallback>
              </mc:AlternateContent>
            </w:r>
          </w:p>
        </w:tc>
        <w:tc>
          <w:tcPr>
            <w:tcW w:w="109" w:type="dxa"/>
            <w:vMerge w:val="restart"/>
            <w:tcBorders>
              <w:bottom w:val="single" w:sz="6" w:space="0" w:color="1F2668"/>
            </w:tcBorders>
            <w:shd w:fill="1F2668" w:val="clear"/>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226" w:type="dxa"/>
            <w:vMerge w:val="restart"/>
            <w:tcBorders>
              <w:bottom w:val="single" w:sz="6" w:space="0" w:color="1F2668"/>
            </w:tcBorders>
            <w:vAlign w:val="center"/>
          </w:tcPr>
          <w:p>
            <w:pPr>
              <w:pStyle w:val="TableContents"/>
              <w:bidi w:val="0"/>
              <w:spacing w:before="0" w:after="0"/>
              <w:ind w:left="120" w:right="0" w:hanging="0"/>
              <w:jc w:val="center"/>
              <w:rPr/>
            </w:pPr>
            <w:r>
              <w:rPr/>
              <w:drawing>
                <wp:inline distT="0" distB="0" distL="0" distR="0">
                  <wp:extent cx="647700" cy="647700"/>
                  <wp:effectExtent l="0" t="0" r="0" b="0"/>
                  <wp:docPr id="71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247" descr=""/>
                          <pic:cNvPicPr>
                            <a:picLocks noChangeAspect="1" noChangeArrowheads="1"/>
                          </pic:cNvPicPr>
                        </pic:nvPicPr>
                        <pic:blipFill>
                          <a:blip r:embed="rId332"/>
                          <a:stretch>
                            <a:fillRect/>
                          </a:stretch>
                        </pic:blipFill>
                        <pic:spPr bwMode="auto">
                          <a:xfrm>
                            <a:off x="0" y="0"/>
                            <a:ext cx="647700" cy="647700"/>
                          </a:xfrm>
                          <a:prstGeom prst="rect">
                            <a:avLst/>
                          </a:prstGeom>
                        </pic:spPr>
                      </pic:pic>
                    </a:graphicData>
                  </a:graphic>
                </wp:inline>
              </w:drawing>
            </w:r>
            <w:r>
              <w:rPr/>
              <w:t xml:space="preserve"> </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236" w:type="dxa"/>
            <w:vMerge w:val="restart"/>
            <w:tcBorders>
              <w:bottom w:val="single" w:sz="6" w:space="0" w:color="1F2668"/>
            </w:tcBorders>
            <w:vAlign w:val="center"/>
          </w:tcPr>
          <w:p>
            <w:pPr>
              <w:pStyle w:val="TableContents"/>
              <w:bidi w:val="0"/>
              <w:spacing w:lineRule="atLeast" w:line="220" w:before="0" w:after="0"/>
              <w:jc w:val="left"/>
              <w:rPr>
                <w:b/>
                <w:color w:val="1F2668"/>
              </w:rPr>
            </w:pPr>
            <w:r>
              <w:rPr>
                <w:b/>
                <w:color w:val="1F2668"/>
              </w:rPr>
              <w:t>Annual Base Salary</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9" w:type="dxa"/>
            <w:tcBorders/>
            <w:tcMar>
              <w:bottom w:w="0" w:type="dxa"/>
            </w:tcMar>
            <w:vAlign w:val="center"/>
          </w:tcPr>
          <w:p>
            <w:pPr>
              <w:pStyle w:val="TableContents"/>
              <w:bidi w:val="0"/>
              <w:spacing w:lineRule="atLeast" w:line="220" w:before="0" w:after="0"/>
              <w:jc w:val="left"/>
              <w:rPr>
                <w:spacing w:val="-2"/>
              </w:rPr>
            </w:pPr>
            <w:r>
              <w:rPr>
                <w:spacing w:val="-2"/>
              </w:rPr>
              <w:t xml:space="preserve">Competitive annual base salaries encourage the retention and attraction of talented leadership, and reflect the scope of each executive officer’s duties and responsibilities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1F2668"/>
            </w:tcBorders>
            <w:shd w:fill="1F2668" w:val="clear"/>
            <w:vAlign w:val="center"/>
          </w:tcPr>
          <w:p>
            <w:pPr>
              <w:pStyle w:val="Normal"/>
              <w:bidi w:val="0"/>
              <w:jc w:val="left"/>
              <w:rPr/>
            </w:pPr>
            <w:r>
              <w:rPr/>
            </w:r>
          </w:p>
        </w:tc>
        <w:tc>
          <w:tcPr>
            <w:tcW w:w="8286" w:type="dxa"/>
            <w:vMerge w:val="continue"/>
            <w:tcBorders>
              <w:bottom w:val="single" w:sz="6" w:space="0" w:color="1F2668"/>
            </w:tcBorders>
            <w:shd w:fill="1F2668" w:val="clear"/>
            <w:vAlign w:val="center"/>
          </w:tcPr>
          <w:p>
            <w:pPr>
              <w:pStyle w:val="Normal"/>
              <w:bidi w:val="0"/>
              <w:jc w:val="left"/>
              <w:rPr/>
            </w:pPr>
            <w:r>
              <w:rPr/>
            </w:r>
          </w:p>
        </w:tc>
        <w:tc>
          <w:tcPr>
            <w:tcW w:w="109" w:type="dxa"/>
            <w:vMerge w:val="continue"/>
            <w:tcBorders>
              <w:bottom w:val="single" w:sz="6" w:space="0" w:color="1F2668"/>
            </w:tcBorders>
            <w:shd w:fill="1F2668"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226"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236"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shd w:fill="E9F9D8" w:val="clear"/>
            <w:vAlign w:val="center"/>
          </w:tcPr>
          <w:p>
            <w:pPr>
              <w:pStyle w:val="TableContents"/>
              <w:bidi w:val="0"/>
              <w:spacing w:before="0" w:after="283"/>
              <w:jc w:val="left"/>
              <w:rPr/>
            </w:pPr>
            <w:r>
              <w:rPr/>
              <w:t>​</w:t>
            </w:r>
          </w:p>
        </w:tc>
        <w:tc>
          <w:tcPr>
            <w:tcW w:w="2009" w:type="dxa"/>
            <w:tcBorders>
              <w:bottom w:val="single" w:sz="6" w:space="0" w:color="1F2668"/>
            </w:tcBorders>
            <w:shd w:fill="E9F9D8" w:val="clear"/>
            <w:vAlign w:val="center"/>
          </w:tcPr>
          <w:p>
            <w:pPr>
              <w:pStyle w:val="TableContents"/>
              <w:bidi w:val="0"/>
              <w:spacing w:before="0" w:after="283"/>
              <w:jc w:val="left"/>
              <w:rPr>
                <w:spacing w:val="-2"/>
              </w:rPr>
            </w:pPr>
            <w:r>
              <w:rPr>
                <w:spacing w:val="-2"/>
              </w:rPr>
              <w:t xml:space="preserve">Other than our CFO, we have not increased any of our NEO’s base salaries since 2019. In 2018, we reduced our CEO’s base salary by $100,000 to its current level </w:t>
            </w:r>
          </w:p>
        </w:tc>
        <w:tc>
          <w:tcPr>
            <w:tcW w:w="154" w:type="dxa"/>
            <w:tcBorders>
              <w:bottom w:val="single" w:sz="6" w:space="0" w:color="1F2668"/>
            </w:tcBorders>
            <w:vAlign w:val="center"/>
          </w:tcPr>
          <w:p>
            <w:pPr>
              <w:pStyle w:val="TableContents"/>
              <w:bidi w:val="0"/>
              <w:spacing w:before="0" w:after="283"/>
              <w:jc w:val="left"/>
              <w:rPr/>
            </w:pPr>
            <w:r>
              <w:rPr/>
              <w:t>​</w:t>
            </w:r>
          </w:p>
        </w:tc>
      </w:tr>
      <w:tr>
        <w:trPr/>
        <w:tc>
          <w:tcPr>
            <w:tcW w:w="124" w:type="dxa"/>
            <w:vMerge w:val="restart"/>
            <w:tcBorders>
              <w:bottom w:val="single" w:sz="12" w:space="0" w:color="1F2668"/>
            </w:tcBorders>
            <w:shd w:fill="83AD40" w:val="clear"/>
            <w:vAlign w:val="center"/>
          </w:tcPr>
          <w:p>
            <w:pPr>
              <w:pStyle w:val="TableContents"/>
              <w:bidi w:val="0"/>
              <w:spacing w:before="0" w:after="283"/>
              <w:jc w:val="left"/>
              <w:rPr/>
            </w:pPr>
            <w:r>
              <w:rPr/>
              <w:t>​</w:t>
            </w:r>
          </w:p>
        </w:tc>
        <w:tc>
          <w:tcPr>
            <w:tcW w:w="8286" w:type="dxa"/>
            <w:vMerge w:val="restart"/>
            <w:tcBorders>
              <w:bottom w:val="single" w:sz="12" w:space="0" w:color="1F2668"/>
            </w:tcBorders>
            <w:shd w:fill="83AD40" w:val="cle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5207000" cy="355600"/>
                      <wp:effectExtent l="0" t="0" r="0" b="0"/>
                      <wp:wrapNone/>
                      <wp:docPr id="713" name="Frame388"/>
                      <a:graphic xmlns:a="http://schemas.openxmlformats.org/drawingml/2006/main">
                        <a:graphicData uri="http://schemas.microsoft.com/office/word/2010/wordprocessingShape">
                          <wps:wsp>
                            <wps:cNvSpPr txBox="1"/>
                            <wps:spPr>
                              <a:xfrm>
                                <a:off x="0" y="0"/>
                                <a:ext cx="5207000" cy="355600"/>
                              </a:xfrm>
                              <a:prstGeom prst="rect"/>
                              <a:solidFill>
                                <a:srgbClr val="FFFFFF"/>
                              </a:solidFill>
                            </wps:spPr>
                            <wps:txbx>
                              <w:txbxContent>
                                <w:p>
                                  <w:pPr>
                                    <w:pStyle w:val="TextBody"/>
                                    <w:bidi w:val="0"/>
                                    <w:spacing w:before="0" w:after="283"/>
                                    <w:jc w:val="left"/>
                                    <w:rPr>
                                      <w:b/>
                                      <w:color w:val="FFFFFF"/>
                                    </w:rPr>
                                  </w:pPr>
                                  <w:r>
                                    <w:rPr>
                                      <w:b/>
                                      <w:color w:val="FFFFFF"/>
                                    </w:rPr>
                                    <w:t xml:space="preserve">AT-RISK </w:t>
                                  </w:r>
                                </w:p>
                              </w:txbxContent>
                            </wps:txbx>
                            <wps:bodyPr anchor="t" lIns="0" tIns="0" rIns="0" bIns="0">
                              <a:noAutofit/>
                            </wps:bodyPr>
                          </wps:wsp>
                        </a:graphicData>
                      </a:graphic>
                    </wp:anchor>
                  </w:drawing>
                </mc:Choice>
                <mc:Fallback>
                  <w:pict>
                    <v:rect style="position:absolute;rotation:-0;width:410pt;height: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b/>
                                <w:color w:val="FFFFFF"/>
                              </w:rPr>
                            </w:pPr>
                            <w:r>
                              <w:rPr>
                                <w:b/>
                                <w:color w:val="FFFFFF"/>
                              </w:rPr>
                              <w:t xml:space="preserve">AT-RISK </w:t>
                            </w:r>
                          </w:p>
                        </w:txbxContent>
                      </v:textbox>
                      <w10:wrap type="none"/>
                    </v:rect>
                  </w:pict>
                </mc:Fallback>
              </mc:AlternateContent>
            </w:r>
          </w:p>
        </w:tc>
        <w:tc>
          <w:tcPr>
            <w:tcW w:w="109" w:type="dxa"/>
            <w:vMerge w:val="restart"/>
            <w:tcBorders>
              <w:bottom w:val="single" w:sz="12" w:space="0" w:color="1F2668"/>
            </w:tcBorders>
            <w:shd w:fill="83AD40" w:val="clear"/>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226" w:type="dxa"/>
            <w:vMerge w:val="restart"/>
            <w:tcBorders>
              <w:bottom w:val="single" w:sz="6" w:space="0" w:color="1F2668"/>
            </w:tcBorders>
            <w:vAlign w:val="center"/>
          </w:tcPr>
          <w:p>
            <w:pPr>
              <w:pStyle w:val="TableContents"/>
              <w:bidi w:val="0"/>
              <w:spacing w:before="0" w:after="0"/>
              <w:ind w:left="120" w:right="0" w:hanging="0"/>
              <w:jc w:val="center"/>
              <w:rPr/>
            </w:pPr>
            <w:r>
              <w:rPr/>
              <w:drawing>
                <wp:inline distT="0" distB="0" distL="0" distR="0">
                  <wp:extent cx="657225" cy="657225"/>
                  <wp:effectExtent l="0" t="0" r="0" b="0"/>
                  <wp:docPr id="71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248" descr=""/>
                          <pic:cNvPicPr>
                            <a:picLocks noChangeAspect="1" noChangeArrowheads="1"/>
                          </pic:cNvPicPr>
                        </pic:nvPicPr>
                        <pic:blipFill>
                          <a:blip r:embed="rId333"/>
                          <a:stretch>
                            <a:fillRect/>
                          </a:stretch>
                        </pic:blipFill>
                        <pic:spPr bwMode="auto">
                          <a:xfrm>
                            <a:off x="0" y="0"/>
                            <a:ext cx="657225" cy="657225"/>
                          </a:xfrm>
                          <a:prstGeom prst="rect">
                            <a:avLst/>
                          </a:prstGeom>
                        </pic:spPr>
                      </pic:pic>
                    </a:graphicData>
                  </a:graphic>
                </wp:inline>
              </w:drawing>
            </w:r>
            <w:r>
              <w:rPr/>
              <w:t xml:space="preserve"> </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236" w:type="dxa"/>
            <w:vMerge w:val="restart"/>
            <w:tcBorders>
              <w:bottom w:val="single" w:sz="6" w:space="0" w:color="1F2668"/>
            </w:tcBorders>
            <w:vAlign w:val="center"/>
          </w:tcPr>
          <w:p>
            <w:pPr>
              <w:pStyle w:val="TableContents"/>
              <w:bidi w:val="0"/>
              <w:spacing w:lineRule="atLeast" w:line="220" w:before="0" w:after="0"/>
              <w:jc w:val="left"/>
              <w:rPr>
                <w:b/>
                <w:color w:val="1F2668"/>
              </w:rPr>
            </w:pPr>
            <w:r>
              <w:rPr>
                <w:b/>
                <w:color w:val="1F2668"/>
              </w:rPr>
              <w:t>Annual Bonus</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9" w:type="dxa"/>
            <w:tcBorders/>
            <w:tcMar>
              <w:bottom w:w="0" w:type="dxa"/>
            </w:tcMar>
            <w:vAlign w:val="center"/>
          </w:tcPr>
          <w:p>
            <w:pPr>
              <w:pStyle w:val="TableContents"/>
              <w:bidi w:val="0"/>
              <w:spacing w:lineRule="atLeast" w:line="220" w:before="0" w:after="0"/>
              <w:jc w:val="left"/>
              <w:rPr/>
            </w:pPr>
            <w:r>
              <w:rPr>
                <w:spacing w:val="-2"/>
              </w:rPr>
              <w:t>Annual bonuses incentivize our named executive officers based on the achievement of annual financial and strategic goals</w:t>
            </w:r>
            <w:r>
              <w:rPr/>
              <w:t xml:space="preserve"> </w:t>
            </w:r>
          </w:p>
          <w:p>
            <w:pPr>
              <w:pStyle w:val="TableContents"/>
              <w:bidi w:val="0"/>
              <w:spacing w:lineRule="atLeast" w:line="220" w:before="60" w:after="283"/>
              <w:jc w:val="left"/>
              <w:rPr/>
            </w:pPr>
            <w:r>
              <w:rPr>
                <w:spacing w:val="-2"/>
              </w:rPr>
              <w:t>Our executives may receive all or a portion of annual bonuses in the form of fully vested equity that is subject to a three-year no-sell provision</w:t>
            </w:r>
            <w:r>
              <w:rPr/>
              <w:t xml:space="preserve"> </w:t>
            </w:r>
          </w:p>
          <w:p>
            <w:pPr>
              <w:pStyle w:val="TableContents"/>
              <w:bidi w:val="0"/>
              <w:spacing w:lineRule="atLeast" w:line="220" w:before="60" w:after="283"/>
              <w:jc w:val="left"/>
              <w:rPr/>
            </w:pPr>
            <w:r>
              <w:rPr>
                <w:spacing w:val="-2"/>
              </w:rPr>
              <w:t>Our CEO’s annual bonus is 100% formulaic and performance-based</w:t>
            </w:r>
            <w:r>
              <w:rPr/>
              <w:t xml:space="preserve"> </w:t>
            </w:r>
          </w:p>
          <w:p>
            <w:pPr>
              <w:pStyle w:val="TableContents"/>
              <w:bidi w:val="0"/>
              <w:spacing w:lineRule="atLeast" w:line="220" w:before="60" w:after="283"/>
              <w:jc w:val="left"/>
              <w:rPr>
                <w:spacing w:val="-2"/>
              </w:rPr>
            </w:pPr>
            <w:r>
              <w:rPr>
                <w:spacing w:val="-2"/>
              </w:rPr>
              <w:t xml:space="preserve">Our General Counsel’s annual bonus, while discretionary, was based on the same performance criteria that were used for our formulaic annual bonus program, as well as specific company goals and objectives for 2023 that were presented at our annual investor conference in December 2022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82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226"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236"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vAlign w:val="center"/>
          </w:tcPr>
          <w:p>
            <w:pPr>
              <w:pStyle w:val="TableContents"/>
              <w:bidi w:val="0"/>
              <w:spacing w:before="0" w:after="283"/>
              <w:jc w:val="left"/>
              <w:rPr/>
            </w:pPr>
            <w:r>
              <w:rPr/>
              <w:t>​</w:t>
            </w:r>
          </w:p>
        </w:tc>
        <w:tc>
          <w:tcPr>
            <w:tcW w:w="2009" w:type="dxa"/>
            <w:tcBorders>
              <w:bottom w:val="single" w:sz="6" w:space="0" w:color="1F2668"/>
            </w:tcBorders>
            <w:shd w:fill="E9F9D8" w:val="clear"/>
            <w:vAlign w:val="center"/>
          </w:tcPr>
          <w:p>
            <w:pPr>
              <w:pStyle w:val="TableContents"/>
              <w:bidi w:val="0"/>
              <w:spacing w:before="0" w:after="0"/>
              <w:ind w:left="120" w:right="120" w:hanging="0"/>
              <w:jc w:val="left"/>
              <w:rPr/>
            </w:pPr>
            <w:r>
              <w:rPr>
                <w:spacing w:val="-2"/>
              </w:rPr>
              <w:t>Starting in 2023, our CFO’s annual bonus is 60% formulaic and performance-based using the same criteria as our CEO, with the remaining 40% limited based on the calculation of the formulaic component</w:t>
            </w:r>
            <w:r>
              <w:rPr/>
              <w:t xml:space="preserve"> </w:t>
            </w:r>
          </w:p>
          <w:p>
            <w:pPr>
              <w:pStyle w:val="TableContents"/>
              <w:bidi w:val="0"/>
              <w:spacing w:before="60" w:after="283"/>
              <w:ind w:left="120" w:right="120" w:hanging="0"/>
              <w:jc w:val="left"/>
              <w:rPr>
                <w:spacing w:val="-2"/>
              </w:rPr>
            </w:pPr>
            <w:r>
              <w:rPr>
                <w:spacing w:val="-2"/>
              </w:rPr>
              <w:t xml:space="preserve">Our General Counsel is expected to begin participating in a formulaic bonus program in connection with the extension of his next employment agreement </w:t>
            </w:r>
          </w:p>
        </w:tc>
        <w:tc>
          <w:tcPr>
            <w:tcW w:w="154"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82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226" w:type="dxa"/>
            <w:vMerge w:val="restart"/>
            <w:tcBorders>
              <w:bottom w:val="single" w:sz="6" w:space="0" w:color="1F2668"/>
            </w:tcBorders>
            <w:vAlign w:val="center"/>
          </w:tcPr>
          <w:p>
            <w:pPr>
              <w:pStyle w:val="TableContents"/>
              <w:bidi w:val="0"/>
              <w:spacing w:before="0" w:after="0"/>
              <w:ind w:left="120" w:right="120" w:hanging="0"/>
              <w:jc w:val="center"/>
              <w:rPr/>
            </w:pPr>
            <w:r>
              <w:rPr/>
              <w:drawing>
                <wp:inline distT="0" distB="0" distL="0" distR="0">
                  <wp:extent cx="647700" cy="647700"/>
                  <wp:effectExtent l="0" t="0" r="0" b="0"/>
                  <wp:docPr id="71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249" descr=""/>
                          <pic:cNvPicPr>
                            <a:picLocks noChangeAspect="1" noChangeArrowheads="1"/>
                          </pic:cNvPicPr>
                        </pic:nvPicPr>
                        <pic:blipFill>
                          <a:blip r:embed="rId334"/>
                          <a:stretch>
                            <a:fillRect/>
                          </a:stretch>
                        </pic:blipFill>
                        <pic:spPr bwMode="auto">
                          <a:xfrm>
                            <a:off x="0" y="0"/>
                            <a:ext cx="647700" cy="647700"/>
                          </a:xfrm>
                          <a:prstGeom prst="rect">
                            <a:avLst/>
                          </a:prstGeom>
                        </pic:spPr>
                      </pic:pic>
                    </a:graphicData>
                  </a:graphic>
                </wp:inline>
              </w:drawing>
            </w:r>
            <w:r>
              <w:rPr/>
              <w:t xml:space="preserve"> </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2236" w:type="dxa"/>
            <w:vMerge w:val="restart"/>
            <w:tcBorders>
              <w:bottom w:val="single" w:sz="6" w:space="0" w:color="1F2668"/>
            </w:tcBorders>
            <w:tcMar>
              <w:bottom w:w="102" w:type="dxa"/>
            </w:tcMar>
            <w:vAlign w:val="center"/>
          </w:tcPr>
          <w:p>
            <w:pPr>
              <w:pStyle w:val="TableContents"/>
              <w:bidi w:val="0"/>
              <w:spacing w:lineRule="atLeast" w:line="220" w:before="0" w:after="0"/>
              <w:ind w:left="0" w:right="120" w:hanging="0"/>
              <w:jc w:val="left"/>
              <w:rPr>
                <w:b/>
                <w:color w:val="1F2668"/>
              </w:rPr>
            </w:pPr>
            <w:r>
              <w:rPr>
                <w:b/>
                <w:color w:val="1F2668"/>
              </w:rPr>
              <w:t>Performance-Based Equity Awards</w:t>
            </w:r>
          </w:p>
        </w:tc>
        <w:tc>
          <w:tcPr>
            <w:tcW w:w="109" w:type="dxa"/>
            <w:vMerge w:val="restart"/>
            <w:tcBorders>
              <w:bottom w:val="single" w:sz="6" w:space="0" w:color="1F2668"/>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9" w:type="dxa"/>
            <w:tcBorders/>
            <w:tcMar>
              <w:bottom w:w="0" w:type="dxa"/>
            </w:tcMar>
            <w:vAlign w:val="center"/>
          </w:tcPr>
          <w:p>
            <w:pPr>
              <w:pStyle w:val="TableContents"/>
              <w:bidi w:val="0"/>
              <w:spacing w:lineRule="atLeast" w:line="220" w:before="0" w:after="0"/>
              <w:ind w:left="0" w:right="120" w:hanging="0"/>
              <w:jc w:val="left"/>
              <w:rPr/>
            </w:pPr>
            <w:r>
              <w:rPr>
                <w:spacing w:val="-2"/>
              </w:rPr>
              <w:t>Performance-based equity awards provide long-term incentives based on Company performance with the value derived directly linked to stockholder value creation</w:t>
            </w:r>
            <w:r>
              <w:rPr/>
              <w:t xml:space="preserve"> </w:t>
            </w:r>
          </w:p>
          <w:p>
            <w:pPr>
              <w:pStyle w:val="TableContents"/>
              <w:bidi w:val="0"/>
              <w:spacing w:lineRule="atLeast" w:line="220" w:before="60" w:after="283"/>
              <w:ind w:left="0" w:right="120" w:hanging="0"/>
              <w:jc w:val="left"/>
              <w:rPr>
                <w:spacing w:val="-2"/>
              </w:rPr>
            </w:pPr>
            <w:r>
              <w:rPr>
                <w:spacing w:val="-2"/>
              </w:rPr>
              <w:t xml:space="preserve">50% of the awards are currently based on performance against annual operating goals subject to a three-year absolute TSR performance modifier </w:t>
            </w:r>
          </w:p>
          <w:p>
            <w:pPr>
              <w:pStyle w:val="TableContents"/>
              <w:bidi w:val="0"/>
              <w:spacing w:lineRule="atLeast" w:line="220" w:before="60" w:after="283"/>
              <w:ind w:left="0" w:right="120" w:hanging="0"/>
              <w:jc w:val="left"/>
              <w:rPr>
                <w:spacing w:val="-2"/>
              </w:rPr>
            </w:pPr>
            <w:r>
              <w:rPr>
                <w:spacing w:val="-2"/>
              </w:rPr>
              <w:t xml:space="preserve">50% of the awards are based on three-year relative TSR performance, subject to a vesting cap when three-year absolute TSR is negative even if relative TSR outperforms peers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82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226"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2236" w:type="dxa"/>
            <w:vMerge w:val="continue"/>
            <w:tcBorders>
              <w:bottom w:val="single" w:sz="6" w:space="0" w:color="1F2668"/>
            </w:tcBorders>
            <w:tcMar>
              <w:bottom w:w="102" w:type="dxa"/>
            </w:tcMar>
            <w:vAlign w:val="center"/>
          </w:tcPr>
          <w:p>
            <w:pPr>
              <w:pStyle w:val="Normal"/>
              <w:bidi w:val="0"/>
              <w:jc w:val="left"/>
              <w:rPr/>
            </w:pPr>
            <w:r>
              <w:rPr/>
            </w:r>
          </w:p>
        </w:tc>
        <w:tc>
          <w:tcPr>
            <w:tcW w:w="109" w:type="dxa"/>
            <w:vMerge w:val="continue"/>
            <w:tcBorders>
              <w:bottom w:val="single" w:sz="6" w:space="0" w:color="1F2668"/>
            </w:tcBorders>
            <w:vAlign w:val="center"/>
          </w:tcPr>
          <w:p>
            <w:pPr>
              <w:pStyle w:val="Normal"/>
              <w:bidi w:val="0"/>
              <w:jc w:val="left"/>
              <w:rPr/>
            </w:pPr>
            <w:r>
              <w:rPr/>
            </w:r>
          </w:p>
        </w:tc>
        <w:tc>
          <w:tcPr>
            <w:tcW w:w="109" w:type="dxa"/>
            <w:tcBorders>
              <w:bottom w:val="single" w:sz="6" w:space="0" w:color="1F2668"/>
            </w:tcBorders>
            <w:vAlign w:val="center"/>
          </w:tcPr>
          <w:p>
            <w:pPr>
              <w:pStyle w:val="TableContents"/>
              <w:bidi w:val="0"/>
              <w:spacing w:before="0" w:after="283"/>
              <w:jc w:val="left"/>
              <w:rPr/>
            </w:pPr>
            <w:r>
              <w:rPr/>
              <w:t>​</w:t>
            </w:r>
          </w:p>
        </w:tc>
        <w:tc>
          <w:tcPr>
            <w:tcW w:w="2009" w:type="dxa"/>
            <w:tcBorders>
              <w:bottom w:val="single" w:sz="6" w:space="0" w:color="1F2668"/>
            </w:tcBorders>
            <w:shd w:fill="E9F9D8" w:val="clear"/>
            <w:tcMar>
              <w:bottom w:w="102" w:type="dxa"/>
            </w:tcMar>
            <w:vAlign w:val="center"/>
          </w:tcPr>
          <w:p>
            <w:pPr>
              <w:pStyle w:val="TableContents"/>
              <w:bidi w:val="0"/>
              <w:spacing w:before="0" w:after="0"/>
              <w:ind w:left="120" w:right="120" w:hanging="0"/>
              <w:jc w:val="left"/>
              <w:rPr/>
            </w:pPr>
            <w:r>
              <w:rPr>
                <w:spacing w:val="-2"/>
              </w:rPr>
              <w:t>Greater than 60% of CEO’s target equity incentives are in the form of performance-based equity incentives</w:t>
            </w:r>
            <w:r>
              <w:rPr/>
              <w:t xml:space="preserve"> </w:t>
            </w:r>
          </w:p>
        </w:tc>
        <w:tc>
          <w:tcPr>
            <w:tcW w:w="154" w:type="dxa"/>
            <w:tcBorders>
              <w:bottom w:val="single" w:sz="6" w:space="0" w:color="1F2668"/>
            </w:tcBorders>
            <w:vAlign w:val="center"/>
          </w:tcPr>
          <w:p>
            <w:pPr>
              <w:pStyle w:val="TableContents"/>
              <w:bidi w:val="0"/>
              <w:spacing w:before="0" w:after="283"/>
              <w:jc w:val="left"/>
              <w:rPr/>
            </w:pPr>
            <w:r>
              <w:rPr/>
              <w:t>​</w:t>
            </w:r>
          </w:p>
        </w:tc>
      </w:tr>
      <w:tr>
        <w:trPr/>
        <w:tc>
          <w:tcPr>
            <w:tcW w:w="124" w:type="dxa"/>
            <w:vMerge w:val="continue"/>
            <w:tcBorders>
              <w:bottom w:val="single" w:sz="12" w:space="0" w:color="1F2668"/>
            </w:tcBorders>
            <w:shd w:fill="83AD40" w:val="clear"/>
            <w:vAlign w:val="center"/>
          </w:tcPr>
          <w:p>
            <w:pPr>
              <w:pStyle w:val="Normal"/>
              <w:bidi w:val="0"/>
              <w:jc w:val="left"/>
              <w:rPr/>
            </w:pPr>
            <w:r>
              <w:rPr/>
            </w:r>
          </w:p>
        </w:tc>
        <w:tc>
          <w:tcPr>
            <w:tcW w:w="8286" w:type="dxa"/>
            <w:vMerge w:val="continue"/>
            <w:tcBorders>
              <w:bottom w:val="single" w:sz="12" w:space="0" w:color="1F2668"/>
            </w:tcBorders>
            <w:shd w:fill="83AD40" w:val="clear"/>
            <w:vAlign w:val="center"/>
          </w:tcPr>
          <w:p>
            <w:pPr>
              <w:pStyle w:val="Normal"/>
              <w:bidi w:val="0"/>
              <w:jc w:val="left"/>
              <w:rPr/>
            </w:pPr>
            <w:r>
              <w:rPr/>
            </w:r>
          </w:p>
        </w:tc>
        <w:tc>
          <w:tcPr>
            <w:tcW w:w="109" w:type="dxa"/>
            <w:vMerge w:val="continue"/>
            <w:tcBorders>
              <w:bottom w:val="single" w:sz="12" w:space="0" w:color="1F2668"/>
            </w:tcBorders>
            <w:shd w:fill="83AD40" w:val="cle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26" w:type="dxa"/>
            <w:tcBorders/>
            <w:tcMar>
              <w:top w:w="28" w:type="dxa"/>
              <w:left w:w="28" w:type="dxa"/>
              <w:right w:w="28" w:type="dxa"/>
            </w:tcMar>
            <w:vAlign w:val="center"/>
          </w:tcPr>
          <w:p>
            <w:pPr>
              <w:pStyle w:val="TableContents"/>
              <w:bidi w:val="0"/>
              <w:spacing w:before="0" w:after="0"/>
              <w:ind w:left="120" w:right="120" w:hanging="0"/>
              <w:jc w:val="center"/>
              <w:rPr/>
            </w:pPr>
            <w:r>
              <w:rPr/>
              <w:drawing>
                <wp:inline distT="0" distB="0" distL="0" distR="0">
                  <wp:extent cx="647700" cy="647700"/>
                  <wp:effectExtent l="0" t="0" r="0" b="0"/>
                  <wp:docPr id="71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250" descr=""/>
                          <pic:cNvPicPr>
                            <a:picLocks noChangeAspect="1" noChangeArrowheads="1"/>
                          </pic:cNvPicPr>
                        </pic:nvPicPr>
                        <pic:blipFill>
                          <a:blip r:embed="rId335"/>
                          <a:stretch>
                            <a:fillRect/>
                          </a:stretch>
                        </pic:blipFill>
                        <pic:spPr bwMode="auto">
                          <a:xfrm>
                            <a:off x="0" y="0"/>
                            <a:ext cx="647700" cy="6477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6" w:type="dxa"/>
            <w:tcBorders/>
            <w:tcMar>
              <w:bottom w:w="0" w:type="dxa"/>
            </w:tcMar>
            <w:vAlign w:val="center"/>
          </w:tcPr>
          <w:p>
            <w:pPr>
              <w:pStyle w:val="TableContents"/>
              <w:bidi w:val="0"/>
              <w:spacing w:lineRule="atLeast" w:line="220" w:before="0" w:after="0"/>
              <w:ind w:left="0" w:right="120" w:hanging="0"/>
              <w:jc w:val="left"/>
              <w:rPr>
                <w:b/>
                <w:color w:val="1F2668"/>
              </w:rPr>
            </w:pPr>
            <w:r>
              <w:rPr>
                <w:b/>
                <w:color w:val="1F2668"/>
              </w:rPr>
              <w:t>Time-Based Equity Awards</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9" w:type="dxa"/>
            <w:tcBorders/>
            <w:tcMar>
              <w:bottom w:w="0" w:type="dxa"/>
            </w:tcMar>
            <w:vAlign w:val="center"/>
          </w:tcPr>
          <w:p>
            <w:pPr>
              <w:pStyle w:val="TableContents"/>
              <w:bidi w:val="0"/>
              <w:spacing w:lineRule="atLeast" w:line="220" w:before="0" w:after="0"/>
              <w:ind w:left="0" w:right="120" w:hanging="0"/>
              <w:jc w:val="left"/>
              <w:rPr/>
            </w:pPr>
            <w:r>
              <w:rPr>
                <w:spacing w:val="-2"/>
              </w:rPr>
              <w:t>Time-based equity awards that are granted annually based on an assessment of each executive’s performance during the most recent fiscal year and other factors provide a retention tool and ensure the alignment of the interests of our executives with those of long-term stockholders</w:t>
            </w:r>
            <w:r>
              <w:rPr/>
              <w:t xml:space="preserve"> </w:t>
            </w:r>
          </w:p>
          <w:p>
            <w:pPr>
              <w:pStyle w:val="TableContents"/>
              <w:bidi w:val="0"/>
              <w:spacing w:lineRule="atLeast" w:line="220" w:before="60" w:after="283"/>
              <w:ind w:left="0" w:right="120" w:hanging="0"/>
              <w:jc w:val="left"/>
              <w:rPr/>
            </w:pPr>
            <w:r>
              <w:rPr>
                <w:spacing w:val="-2"/>
              </w:rPr>
              <w:t>The value of equity awards is based on the market value of our common stock</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9"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This simplified, performance-focused structure is the result of a multi-year stockholder engagement effort. These elements of compensation are built into the employment agreements with our CEO, former President, CFO and General Counsel, which were in effect during 2023. The Committee believes that multi-year employment agreements that provide for relatively consistent levels of target at-risk, primarily equity-based, compensation strike a valuable balance between giving our senior management team certainty and visibility into annual compensation while also significantly incentivizing and rewarding superior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Variable and at-risk pay is the cornerstone of our pay-for-performance philosophy and allows the Committee to reward superior performance, while the substantial long-term equity incentive portions of our compensation programs serve to align the interests of our named executive officers with those of our long-term stockholders.</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Summary of 2023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makes compensation decisions intended to recognize our executives for their contributions to our financial and operating performance, ensure retention and motivation of key leaders in a highly competitive environment and align the economic interests of our management team with our stockholders. In each case, the Committee allocates the various elements of compensation described above based on our pay-for-performance compensation philosophy and by reference to the terms of the employment agreements we have entered into with each of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TOTAL DIRECT COMPENSATION FOR 2023</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present the “Total Direct Compensation” for each of our named executive officers (other than our former President), which reflects the actual amounts awarded by the Committee for a given year. We believe this presentation provides investors with the most accurate understanding of the compensation decisions made by the Committee for 2023. We do not include our former President in this discussion, because portions of his 2023 compensation were dictated by the terms of his expiring employment agreement, which was not renewed as described below.</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The methodology used to make compensation decisions and the amounts of compensation awarded for 2023 were generally consistent with the methodology and amounts used for 2022. Due to the timing of time-based equity award grants and bonus determinations, certain amounts reported in the Summary Compensation Table for 2023 do not match the compensation actually approved by the Committee.</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040" w:type="dxa"/>
        <w:jc w:val="left"/>
        <w:tblInd w:w="900" w:type="dxa"/>
        <w:tblLayout w:type="fixed"/>
        <w:tblCellMar>
          <w:top w:w="0" w:type="dxa"/>
          <w:left w:w="0" w:type="dxa"/>
          <w:bottom w:w="0" w:type="dxa"/>
          <w:right w:w="0" w:type="dxa"/>
        </w:tblCellMar>
      </w:tblPr>
      <w:tblGrid>
        <w:gridCol w:w="112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186"/>
        <w:gridCol w:w="109"/>
        <w:gridCol w:w="154"/>
      </w:tblGrid>
      <w:tr>
        <w:trPr/>
        <w:tc>
          <w:tcPr>
            <w:tcW w:w="1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42" w:type="dxa"/>
            <w:gridSpan w:val="28"/>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2023 Direct Compensation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Base Salary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Annual Bonus</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Performance- </w:t>
              <w:br/>
              <w:t xml:space="preserve">Based Equity </w:t>
              <w:br/>
              <w:t>Awards</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Time-Based </w:t>
              <w:br/>
              <w:t xml:space="preserve">Equity </w:t>
              <w:br/>
              <w:t>Awards</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Total</w:t>
            </w:r>
            <w:r>
              <w:rPr>
                <w:spacing w:val="1"/>
                <w:sz w:val="10"/>
              </w:rPr>
              <w:t>(3)</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2,908,333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7,500,000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16,194,797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1,700,000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555,556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4,268,756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580,000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900,000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555,556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1,300,000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3,348,756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Determined 100% formulaically for Mr. Holliday, on a partially formulaic (60%) and partially discretionary (40%) basis for Mr. DiLiberto and on a discretionary basis for Mr. Levine.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01">
                <wp:simplePos x="0" y="0"/>
                <wp:positionH relativeFrom="column">
                  <wp:align>left</wp:align>
                </wp:positionH>
                <wp:positionV relativeFrom="line">
                  <wp:align>top</wp:align>
                </wp:positionV>
                <wp:extent cx="254000" cy="254000"/>
                <wp:effectExtent l="0" t="0" r="0" b="0"/>
                <wp:wrapSquare wrapText="right"/>
                <wp:docPr id="717" name="Frame38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target values of equity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02">
                <wp:simplePos x="0" y="0"/>
                <wp:positionH relativeFrom="column">
                  <wp:align>left</wp:align>
                </wp:positionH>
                <wp:positionV relativeFrom="line">
                  <wp:align>top</wp:align>
                </wp:positionV>
                <wp:extent cx="254000" cy="254000"/>
                <wp:effectExtent l="0" t="0" r="0" b="0"/>
                <wp:wrapSquare wrapText="right"/>
                <wp:docPr id="718" name="Frame39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Includes the following compensation categorized as “Other Compensation” as reflected in the Summary Compensation Table: Mr. Holliday—$36,464; Mr. DiLiberto—$13,200; and Mr. Levine—$13,200, respectively. </w:t>
      </w:r>
      <w:r>
        <mc:AlternateContent>
          <mc:Choice Requires="wps">
            <w:drawing>
              <wp:anchor behindDoc="0" distT="50800" distB="0" distL="0" distR="0" simplePos="0" locked="0" layoutInCell="1" allowOverlap="1" relativeHeight="703">
                <wp:simplePos x="0" y="0"/>
                <wp:positionH relativeFrom="column">
                  <wp:align>left</wp:align>
                </wp:positionH>
                <wp:positionV relativeFrom="line">
                  <wp:align>top</wp:align>
                </wp:positionV>
                <wp:extent cx="254000" cy="254000"/>
                <wp:effectExtent l="0" t="0" r="0" b="0"/>
                <wp:wrapSquare wrapText="right"/>
                <wp:docPr id="719" name="Frame39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Using our CEO’s 2023 compensation, the table below illustrates the differences between Total Direct Compensation and the Summary Compensation Table that appears later in this proxy statement. In addition, this table compares our CEO’s 2022 Total Direct Compensation to his 2023 Total Direct Compensation.</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Total Direct Compensation approved by the Committee for Mr. Holliday for 2023 was approximately </w:t>
            </w:r>
            <w:r>
              <w:rPr>
                <w:b/>
              </w:rPr>
              <w:t>12.5% lower</w:t>
            </w:r>
            <w:r>
              <w:rPr>
                <w:spacing w:val="-2"/>
              </w:rPr>
              <w:t xml:space="preserve"> than the total compensation amount set forth in the Summary Compensation Table. In addition, </w:t>
            </w:r>
            <w:r>
              <w:rPr>
                <w:b/>
              </w:rPr>
              <w:t>despite our sector leading performance for 2023, our CEO’s Total Direct Compensation remained substantially consistent relative to 2022 compensation</w:t>
            </w:r>
            <w:r>
              <w:rPr>
                <w:spacing w:val="-2"/>
              </w:rPr>
              <w:t>, with the modest 5% year-over-year increase driven entirely by amounts earned under our formulaic annual bonus program.</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40" w:type="dxa"/>
          <w:right w:w="0" w:type="dxa"/>
        </w:tblCellMar>
      </w:tblPr>
      <w:tblGrid>
        <w:gridCol w:w="3063"/>
        <w:gridCol w:w="109"/>
        <w:gridCol w:w="109"/>
        <w:gridCol w:w="114"/>
        <w:gridCol w:w="238"/>
        <w:gridCol w:w="1289"/>
        <w:gridCol w:w="114"/>
        <w:gridCol w:w="109"/>
        <w:gridCol w:w="109"/>
        <w:gridCol w:w="114"/>
        <w:gridCol w:w="238"/>
        <w:gridCol w:w="1289"/>
        <w:gridCol w:w="114"/>
        <w:gridCol w:w="109"/>
        <w:gridCol w:w="109"/>
        <w:gridCol w:w="125"/>
        <w:gridCol w:w="259"/>
        <w:gridCol w:w="1406"/>
        <w:gridCol w:w="125"/>
        <w:gridCol w:w="163"/>
      </w:tblGrid>
      <w:tr>
        <w:trPr/>
        <w:tc>
          <w:tcPr>
            <w:tcW w:w="9142" w:type="dxa"/>
            <w:gridSpan w:val="19"/>
            <w:tcBorders>
              <w:bottom w:val="single" w:sz="2" w:space="0" w:color="1F2668"/>
            </w:tcBorders>
            <w:vAlign w:val="center"/>
          </w:tcPr>
          <w:p>
            <w:pPr>
              <w:pStyle w:val="TableContents"/>
              <w:bidi w:val="0"/>
              <w:spacing w:before="0" w:after="0"/>
              <w:jc w:val="center"/>
              <w:rPr>
                <w:spacing w:val="2"/>
              </w:rPr>
            </w:pPr>
            <w:r>
              <w:rPr>
                <w:spacing w:val="2"/>
              </w:rPr>
              <w:t xml:space="preserve">2022/2023 CEO Direct Compensation vs. 2023 Summary Compensation Table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1F2668"/>
            </w:tcBorders>
            <w:tcMar>
              <w:bottom w:w="33" w:type="dxa"/>
            </w:tcMar>
            <w:vAlign w:val="center"/>
          </w:tcPr>
          <w:p>
            <w:pPr>
              <w:pStyle w:val="TableContents"/>
              <w:bidi w:val="0"/>
              <w:spacing w:before="0" w:after="0"/>
              <w:jc w:val="left"/>
              <w:rPr>
                <w:spacing w:val="2"/>
              </w:rPr>
            </w:pPr>
            <w:r>
              <w:rPr>
                <w:spacing w:val="2"/>
              </w:rPr>
              <w:t xml:space="preserve">Element of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5" w:type="dxa"/>
            <w:gridSpan w:val="4"/>
            <w:tcBorders>
              <w:bottom w:val="single" w:sz="2" w:space="0" w:color="1F2668"/>
            </w:tcBorders>
            <w:tcMar>
              <w:bottom w:w="33" w:type="dxa"/>
            </w:tcMar>
            <w:vAlign w:val="center"/>
          </w:tcPr>
          <w:p>
            <w:pPr>
              <w:pStyle w:val="TableContents"/>
              <w:bidi w:val="0"/>
              <w:spacing w:before="0" w:after="0"/>
              <w:jc w:val="right"/>
              <w:rPr/>
            </w:pPr>
            <w:r>
              <w:rPr>
                <w:spacing w:val="2"/>
              </w:rPr>
              <w:t xml:space="preserve">2022 Total Direct </w:t>
              <w:br/>
              <w:t>Compensation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5" w:type="dxa"/>
            <w:gridSpan w:val="4"/>
            <w:tcBorders>
              <w:bottom w:val="single" w:sz="2" w:space="0" w:color="1F2668"/>
            </w:tcBorders>
            <w:tcMar>
              <w:bottom w:w="33" w:type="dxa"/>
            </w:tcMar>
            <w:vAlign w:val="center"/>
          </w:tcPr>
          <w:p>
            <w:pPr>
              <w:pStyle w:val="TableContents"/>
              <w:bidi w:val="0"/>
              <w:spacing w:before="0" w:after="0"/>
              <w:jc w:val="right"/>
              <w:rPr/>
            </w:pPr>
            <w:r>
              <w:rPr>
                <w:spacing w:val="2"/>
              </w:rPr>
              <w:t xml:space="preserve">2023 Total Direct </w:t>
              <w:br/>
              <w:t>Compensation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5" w:type="dxa"/>
            <w:gridSpan w:val="4"/>
            <w:tcBorders>
              <w:bottom w:val="single" w:sz="2" w:space="0" w:color="1F2668"/>
            </w:tcBorders>
            <w:tcMar>
              <w:bottom w:w="33" w:type="dxa"/>
            </w:tcMar>
            <w:vAlign w:val="center"/>
          </w:tcPr>
          <w:p>
            <w:pPr>
              <w:pStyle w:val="TableContents"/>
              <w:bidi w:val="0"/>
              <w:spacing w:before="0" w:after="0"/>
              <w:jc w:val="right"/>
              <w:rPr/>
            </w:pPr>
            <w:r>
              <w:rPr>
                <w:spacing w:val="2"/>
              </w:rPr>
              <w:t xml:space="preserve">2023 Summary </w:t>
              <w:br/>
              <w:t>Compensation Table</w:t>
            </w:r>
            <w:r>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4B5088"/>
            </w:tcBorders>
            <w:vAlign w:val="center"/>
          </w:tcPr>
          <w:p>
            <w:pPr>
              <w:pStyle w:val="TableContents"/>
              <w:bidi w:val="0"/>
              <w:spacing w:before="0" w:after="0"/>
              <w:jc w:val="left"/>
              <w:rPr>
                <w:b/>
                <w:color w:val="1F2668"/>
              </w:rPr>
            </w:pPr>
            <w:r>
              <w:rPr>
                <w:b/>
                <w:color w:val="1F2668"/>
              </w:rPr>
              <w:t>Base Salary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1,250,000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1,250,000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59" w:type="dxa"/>
            <w:tcBorders>
              <w:bottom w:val="single" w:sz="2" w:space="0" w:color="4B5088"/>
            </w:tcBorders>
            <w:vAlign w:val="center"/>
          </w:tcPr>
          <w:p>
            <w:pPr>
              <w:pStyle w:val="TableContents"/>
              <w:bidi w:val="0"/>
              <w:spacing w:before="0" w:after="283"/>
              <w:jc w:val="right"/>
              <w:rPr/>
            </w:pPr>
            <w:r>
              <w:rPr/>
              <w:t>$</w:t>
            </w:r>
          </w:p>
        </w:tc>
        <w:tc>
          <w:tcPr>
            <w:tcW w:w="1406" w:type="dxa"/>
            <w:tcBorders>
              <w:bottom w:val="single" w:sz="2" w:space="0" w:color="4B5088"/>
            </w:tcBorders>
            <w:vAlign w:val="center"/>
          </w:tcPr>
          <w:p>
            <w:pPr>
              <w:pStyle w:val="TableContents"/>
              <w:bidi w:val="0"/>
              <w:spacing w:before="0" w:after="283"/>
              <w:jc w:val="right"/>
              <w:rPr/>
            </w:pPr>
            <w:r>
              <w:rPr/>
              <w:t>1,250,000</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4B5088"/>
            </w:tcBorders>
            <w:vAlign w:val="center"/>
          </w:tcPr>
          <w:p>
            <w:pPr>
              <w:pStyle w:val="TableContents"/>
              <w:bidi w:val="0"/>
              <w:spacing w:before="0" w:after="0"/>
              <w:jc w:val="left"/>
              <w:rPr>
                <w:b/>
                <w:color w:val="1F2668"/>
              </w:rPr>
            </w:pPr>
            <w:r>
              <w:rPr>
                <w:b/>
                <w:color w:val="1F2668"/>
              </w:rPr>
              <w:t>Annual Bonus</w:t>
            </w:r>
            <w:r>
              <w:rPr>
                <w:b/>
                <w:color w:val="1F2668"/>
                <w:sz w:val="11"/>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2,102,187</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2,908,333</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59" w:type="dxa"/>
            <w:tcBorders>
              <w:bottom w:val="single" w:sz="2" w:space="0" w:color="4B5088"/>
            </w:tcBorders>
            <w:vAlign w:val="center"/>
          </w:tcPr>
          <w:p>
            <w:pPr>
              <w:pStyle w:val="TableContents"/>
              <w:bidi w:val="0"/>
              <w:spacing w:before="0" w:after="283"/>
              <w:jc w:val="right"/>
              <w:rPr/>
            </w:pPr>
            <w:r>
              <w:rPr/>
              <w:t>$</w:t>
            </w:r>
          </w:p>
        </w:tc>
        <w:tc>
          <w:tcPr>
            <w:tcW w:w="1406" w:type="dxa"/>
            <w:tcBorders>
              <w:bottom w:val="single" w:sz="2" w:space="0" w:color="4B5088"/>
            </w:tcBorders>
            <w:vAlign w:val="center"/>
          </w:tcPr>
          <w:p>
            <w:pPr>
              <w:pStyle w:val="TableContents"/>
              <w:bidi w:val="0"/>
              <w:spacing w:before="0" w:after="283"/>
              <w:jc w:val="right"/>
              <w:rPr/>
            </w:pPr>
            <w:r>
              <w:rPr/>
              <w:t>2,747,106</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4B5088"/>
            </w:tcBorders>
            <w:vAlign w:val="center"/>
          </w:tcPr>
          <w:p>
            <w:pPr>
              <w:pStyle w:val="TableContents"/>
              <w:bidi w:val="0"/>
              <w:spacing w:before="0" w:after="0"/>
              <w:jc w:val="left"/>
              <w:rPr>
                <w:b/>
                <w:color w:val="1F2668"/>
              </w:rPr>
            </w:pPr>
            <w:r>
              <w:rPr>
                <w:b/>
                <w:color w:val="1F2668"/>
              </w:rPr>
              <w:t>Annual Performance-Based Award</w:t>
            </w:r>
            <w:r>
              <w:rPr>
                <w:b/>
                <w:color w:val="1F2668"/>
                <w:sz w:val="11"/>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7,500,000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7,500,000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59" w:type="dxa"/>
            <w:tcBorders>
              <w:bottom w:val="single" w:sz="2" w:space="0" w:color="4B5088"/>
            </w:tcBorders>
            <w:vAlign w:val="center"/>
          </w:tcPr>
          <w:p>
            <w:pPr>
              <w:pStyle w:val="TableContents"/>
              <w:bidi w:val="0"/>
              <w:spacing w:before="0" w:after="283"/>
              <w:jc w:val="right"/>
              <w:rPr/>
            </w:pPr>
            <w:r>
              <w:rPr/>
              <w:t>$</w:t>
            </w:r>
          </w:p>
        </w:tc>
        <w:tc>
          <w:tcPr>
            <w:tcW w:w="1406" w:type="dxa"/>
            <w:tcBorders>
              <w:bottom w:val="single" w:sz="2" w:space="0" w:color="4B5088"/>
            </w:tcBorders>
            <w:vAlign w:val="center"/>
          </w:tcPr>
          <w:p>
            <w:pPr>
              <w:pStyle w:val="TableContents"/>
              <w:bidi w:val="0"/>
              <w:spacing w:before="0" w:after="283"/>
              <w:jc w:val="right"/>
              <w:rPr/>
            </w:pPr>
            <w:r>
              <w:rPr/>
              <w:t>9,920,005</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4B5088"/>
            </w:tcBorders>
            <w:vAlign w:val="center"/>
          </w:tcPr>
          <w:p>
            <w:pPr>
              <w:pStyle w:val="TableContents"/>
              <w:bidi w:val="0"/>
              <w:spacing w:before="0" w:after="0"/>
              <w:jc w:val="left"/>
              <w:rPr>
                <w:b/>
                <w:color w:val="1F2668"/>
              </w:rPr>
            </w:pPr>
            <w:r>
              <w:rPr>
                <w:b/>
                <w:color w:val="1F2668"/>
              </w:rPr>
              <w:t>Annual Time-Based Award</w:t>
            </w:r>
            <w:r>
              <w:rPr>
                <w:b/>
                <w:color w:val="1F2668"/>
                <w:sz w:val="11"/>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4,500,000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4,500,000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59" w:type="dxa"/>
            <w:tcBorders>
              <w:bottom w:val="single" w:sz="2" w:space="0" w:color="4B5088"/>
            </w:tcBorders>
            <w:vAlign w:val="center"/>
          </w:tcPr>
          <w:p>
            <w:pPr>
              <w:pStyle w:val="TableContents"/>
              <w:bidi w:val="0"/>
              <w:spacing w:before="0" w:after="283"/>
              <w:jc w:val="right"/>
              <w:rPr/>
            </w:pPr>
            <w:r>
              <w:rPr/>
              <w:t>$</w:t>
            </w:r>
          </w:p>
        </w:tc>
        <w:tc>
          <w:tcPr>
            <w:tcW w:w="1406" w:type="dxa"/>
            <w:tcBorders>
              <w:bottom w:val="single" w:sz="2" w:space="0" w:color="4B5088"/>
            </w:tcBorders>
            <w:vAlign w:val="center"/>
          </w:tcPr>
          <w:p>
            <w:pPr>
              <w:pStyle w:val="TableContents"/>
              <w:bidi w:val="0"/>
              <w:spacing w:before="0" w:after="283"/>
              <w:jc w:val="right"/>
              <w:rPr/>
            </w:pPr>
            <w:r>
              <w:rPr/>
              <w:t>4,554,596</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4B5088"/>
            </w:tcBorders>
            <w:vAlign w:val="center"/>
          </w:tcPr>
          <w:p>
            <w:pPr>
              <w:pStyle w:val="TableContents"/>
              <w:bidi w:val="0"/>
              <w:spacing w:before="0" w:after="0"/>
              <w:jc w:val="left"/>
              <w:rPr>
                <w:b/>
                <w:color w:val="1F2668"/>
              </w:rPr>
            </w:pPr>
            <w:r>
              <w:rPr>
                <w:b/>
                <w:color w:val="1F2668"/>
              </w:rPr>
              <w:t>Other Compensation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75,060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vAlign w:val="center"/>
          </w:tcPr>
          <w:p>
            <w:pPr>
              <w:pStyle w:val="TableContents"/>
              <w:bidi w:val="0"/>
              <w:spacing w:before="0" w:after="283"/>
              <w:jc w:val="right"/>
              <w:rPr/>
            </w:pPr>
            <w:r>
              <w:rPr/>
              <w:t>$</w:t>
            </w:r>
          </w:p>
        </w:tc>
        <w:tc>
          <w:tcPr>
            <w:tcW w:w="1289" w:type="dxa"/>
            <w:tcBorders>
              <w:bottom w:val="single" w:sz="2" w:space="0" w:color="4B5088"/>
            </w:tcBorders>
            <w:vAlign w:val="center"/>
          </w:tcPr>
          <w:p>
            <w:pPr>
              <w:pStyle w:val="TableContents"/>
              <w:bidi w:val="0"/>
              <w:spacing w:before="0" w:after="283"/>
              <w:jc w:val="right"/>
              <w:rPr/>
            </w:pPr>
            <w:r>
              <w:rPr/>
              <w:t>36,464</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59" w:type="dxa"/>
            <w:tcBorders>
              <w:bottom w:val="single" w:sz="2" w:space="0" w:color="4B5088"/>
            </w:tcBorders>
            <w:vAlign w:val="center"/>
          </w:tcPr>
          <w:p>
            <w:pPr>
              <w:pStyle w:val="TableContents"/>
              <w:bidi w:val="0"/>
              <w:spacing w:before="0" w:after="283"/>
              <w:jc w:val="right"/>
              <w:rPr/>
            </w:pPr>
            <w:r>
              <w:rPr/>
              <w:t>$</w:t>
            </w:r>
          </w:p>
        </w:tc>
        <w:tc>
          <w:tcPr>
            <w:tcW w:w="1406" w:type="dxa"/>
            <w:tcBorders>
              <w:bottom w:val="single" w:sz="2" w:space="0" w:color="4B5088"/>
            </w:tcBorders>
            <w:vAlign w:val="center"/>
          </w:tcPr>
          <w:p>
            <w:pPr>
              <w:pStyle w:val="TableContents"/>
              <w:bidi w:val="0"/>
              <w:spacing w:before="0" w:after="283"/>
              <w:jc w:val="right"/>
              <w:rPr/>
            </w:pPr>
            <w:r>
              <w:rPr/>
              <w:t>36,464</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63" w:type="dxa"/>
            <w:tcBorders>
              <w:bottom w:val="single" w:sz="2" w:space="0" w:color="1F2668"/>
            </w:tcBorders>
            <w:vAlign w:val="center"/>
          </w:tcPr>
          <w:p>
            <w:pPr>
              <w:pStyle w:val="TableContents"/>
              <w:bidi w:val="0"/>
              <w:spacing w:before="0" w:after="0"/>
              <w:jc w:val="left"/>
              <w:rPr>
                <w:b/>
                <w:color w:val="1F2668"/>
              </w:rPr>
            </w:pPr>
            <w:r>
              <w:rPr>
                <w:b/>
                <w:color w:val="1F2668"/>
              </w:rPr>
              <w:t>Total</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8" w:type="dxa"/>
            <w:tcBorders>
              <w:bottom w:val="single" w:sz="2" w:space="0" w:color="1F2668"/>
            </w:tcBorders>
            <w:vAlign w:val="center"/>
          </w:tcPr>
          <w:p>
            <w:pPr>
              <w:pStyle w:val="TableContents"/>
              <w:bidi w:val="0"/>
              <w:spacing w:before="0" w:after="283"/>
              <w:jc w:val="right"/>
              <w:rPr/>
            </w:pPr>
            <w:r>
              <w:rPr/>
              <w:t>$</w:t>
            </w:r>
          </w:p>
        </w:tc>
        <w:tc>
          <w:tcPr>
            <w:tcW w:w="1289" w:type="dxa"/>
            <w:tcBorders>
              <w:bottom w:val="single" w:sz="2" w:space="0" w:color="1F2668"/>
            </w:tcBorders>
            <w:vAlign w:val="center"/>
          </w:tcPr>
          <w:p>
            <w:pPr>
              <w:pStyle w:val="TableContents"/>
              <w:bidi w:val="0"/>
              <w:spacing w:before="0" w:after="283"/>
              <w:jc w:val="right"/>
              <w:rPr/>
            </w:pPr>
            <w:r>
              <w:rPr>
                <w:b/>
              </w:rPr>
              <w:t>15,427,247</w:t>
            </w:r>
            <w:r>
              <w:rPr/>
              <w:t xml:space="preserve"> </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8" w:type="dxa"/>
            <w:tcBorders>
              <w:bottom w:val="single" w:sz="2" w:space="0" w:color="1F2668"/>
            </w:tcBorders>
            <w:vAlign w:val="center"/>
          </w:tcPr>
          <w:p>
            <w:pPr>
              <w:pStyle w:val="TableContents"/>
              <w:bidi w:val="0"/>
              <w:spacing w:before="0" w:after="283"/>
              <w:jc w:val="right"/>
              <w:rPr/>
            </w:pPr>
            <w:r>
              <w:rPr/>
              <w:t>$</w:t>
            </w:r>
          </w:p>
        </w:tc>
        <w:tc>
          <w:tcPr>
            <w:tcW w:w="1289" w:type="dxa"/>
            <w:tcBorders>
              <w:bottom w:val="single" w:sz="2" w:space="0" w:color="1F2668"/>
            </w:tcBorders>
            <w:vAlign w:val="center"/>
          </w:tcPr>
          <w:p>
            <w:pPr>
              <w:pStyle w:val="TableContents"/>
              <w:bidi w:val="0"/>
              <w:spacing w:before="0" w:after="283"/>
              <w:jc w:val="right"/>
              <w:rPr/>
            </w:pPr>
            <w:r>
              <w:rPr>
                <w:b/>
              </w:rPr>
              <w:t>16,194,797</w:t>
            </w:r>
            <w:r>
              <w:rPr/>
              <w:t xml:space="preserve"> </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1F2668"/>
            </w:tcBorders>
            <w:tcMar>
              <w:bottom w:w="28" w:type="dxa"/>
            </w:tcMar>
            <w:vAlign w:val="center"/>
          </w:tcPr>
          <w:p>
            <w:pPr>
              <w:pStyle w:val="TableContents"/>
              <w:bidi w:val="0"/>
              <w:spacing w:before="0" w:after="283"/>
              <w:jc w:val="left"/>
              <w:rPr/>
            </w:pPr>
            <w:r>
              <w:rPr/>
              <w:t>​</w:t>
            </w:r>
          </w:p>
        </w:tc>
        <w:tc>
          <w:tcPr>
            <w:tcW w:w="259" w:type="dxa"/>
            <w:tcBorders>
              <w:bottom w:val="single" w:sz="2" w:space="0" w:color="1F2668"/>
            </w:tcBorders>
            <w:vAlign w:val="center"/>
          </w:tcPr>
          <w:p>
            <w:pPr>
              <w:pStyle w:val="TableContents"/>
              <w:bidi w:val="0"/>
              <w:spacing w:before="0" w:after="283"/>
              <w:jc w:val="right"/>
              <w:rPr/>
            </w:pPr>
            <w:r>
              <w:rPr/>
              <w:t>$</w:t>
            </w:r>
          </w:p>
        </w:tc>
        <w:tc>
          <w:tcPr>
            <w:tcW w:w="1406" w:type="dxa"/>
            <w:tcBorders>
              <w:bottom w:val="single" w:sz="2" w:space="0" w:color="1F2668"/>
            </w:tcBorders>
            <w:vAlign w:val="center"/>
          </w:tcPr>
          <w:p>
            <w:pPr>
              <w:pStyle w:val="TableContents"/>
              <w:bidi w:val="0"/>
              <w:spacing w:before="0" w:after="283"/>
              <w:jc w:val="right"/>
              <w:rPr/>
            </w:pPr>
            <w:r>
              <w:rPr>
                <w:b/>
              </w:rPr>
              <w:t>18,508,171</w:t>
            </w:r>
            <w:r>
              <w:rPr/>
              <w:t xml:space="preserve"> </w:t>
            </w:r>
          </w:p>
        </w:tc>
        <w:tc>
          <w:tcPr>
            <w:tcW w:w="125" w:type="dxa"/>
            <w:tcBorders>
              <w:bottom w:val="single" w:sz="2" w:space="0" w:color="1F2668"/>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“Total Direct Compensation” columns represent the bonus amount earned in a formulaic manner. Because Mr. Holliday’s 2023 annual bonus was paid 50% in cash and 50% in equity, the “Summary Compensation Table” column reflects the actual value of the cash portion of the bonus and, for the remaining 50% granted in equity, the grant date value of LTIP units granted in December 2023. The “Summary Compensation Table” column also includes the value of LTIP units granted in January 2023 as a true-up for 2022 based on actual 2022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04">
                <wp:simplePos x="0" y="0"/>
                <wp:positionH relativeFrom="column">
                  <wp:align>left</wp:align>
                </wp:positionH>
                <wp:positionV relativeFrom="line">
                  <wp:align>top</wp:align>
                </wp:positionV>
                <wp:extent cx="254000" cy="254000"/>
                <wp:effectExtent l="0" t="0" r="0" b="0"/>
                <wp:wrapSquare wrapText="right"/>
                <wp:docPr id="720" name="Frame39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“Total Direct Compensation” columns reflect the target notional value awarded consistent with Mr. Holliday’s employment agreement. The “Summary Compensation Table” column reflects the grant date value of the award.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705">
                <wp:simplePos x="0" y="0"/>
                <wp:positionH relativeFrom="column">
                  <wp:align>left</wp:align>
                </wp:positionH>
                <wp:positionV relativeFrom="line">
                  <wp:align>top</wp:align>
                </wp:positionV>
                <wp:extent cx="254000" cy="254000"/>
                <wp:effectExtent l="0" t="0" r="0" b="0"/>
                <wp:wrapSquare wrapText="right"/>
                <wp:docPr id="721" name="Frame39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ANNUAL BASE SALARY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To better align with competitive market rates, we increased the base salary of our CFO to $600,000 in 2023, from $575,000 in 2022, in connection with entering into a new employment agreement in March 2023. We otherwise made no changes to the base salaries of our named executive officers for 2023 and the amounts for 2023 reflected the minimum amounts set forth in each executive’s employment agreement.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We have not increased the base salaries of any of our NEOs since 2019, with the exception of our CFO. In 2018, we reduced our CEO’s base salary by $100,000 to its current level.</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20" w:before="242" w:after="283"/>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ANNUAL BONUS ELIGIBILITY</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z w:val="18"/>
        </w:rPr>
        <w:t>Formulaic Annual Bonus—CEO and CFO.</w:t>
      </w:r>
      <w:r>
        <w:rPr>
          <w:rFonts w:ascii="Arial;Helvetica;sans-serif" w:hAnsi="Arial;Helvetica;sans-serif"/>
          <w:b w:val="false"/>
          <w:i w:val="false"/>
          <w:caps w:val="false"/>
          <w:smallCaps w:val="false"/>
          <w:color w:val="000000"/>
          <w:spacing w:val="-2"/>
          <w:sz w:val="18"/>
        </w:rPr>
        <w:t xml:space="preserve"> Our annual bonus program is 100% formulaic for our CEO and 60% formulaic for our CFO. The percentages of base salary that can be earned under the program are set forth in each executive’s employment agreement. For 2023, each of our CEO and CFO were eligible to earn the following percentages of their respective base salary (with linear interpolation used to determine the percentage earned for performance that falls between threshold, target and/or maximum):</w:t>
      </w:r>
      <w:r>
        <w:rPr>
          <w:rFonts w:ascii="Arial;Helvetica;sans-serif" w:hAnsi="Arial;Helvetica;sans-serif"/>
          <w:b w:val="false"/>
          <w:i w:val="false"/>
          <w:caps w:val="false"/>
          <w:smallCaps w:val="false"/>
          <w:color w:val="000000"/>
          <w:spacing w:val="4"/>
          <w:sz w:val="18"/>
        </w:rPr>
        <w:t xml:space="preserve"> </w:t>
      </w:r>
    </w:p>
    <w:tbl>
      <w:tblPr>
        <w:tblW w:w="6427" w:type="dxa"/>
        <w:jc w:val="left"/>
        <w:tblInd w:w="900" w:type="dxa"/>
        <w:tblLayout w:type="fixed"/>
        <w:tblCellMar>
          <w:top w:w="0" w:type="dxa"/>
          <w:left w:w="0" w:type="dxa"/>
          <w:bottom w:w="70" w:type="dxa"/>
          <w:right w:w="0" w:type="dxa"/>
        </w:tblCellMar>
      </w:tblPr>
      <w:tblGrid>
        <w:gridCol w:w="2341"/>
        <w:gridCol w:w="109"/>
        <w:gridCol w:w="109"/>
        <w:gridCol w:w="184"/>
        <w:gridCol w:w="184"/>
        <w:gridCol w:w="586"/>
        <w:gridCol w:w="185"/>
        <w:gridCol w:w="109"/>
        <w:gridCol w:w="109"/>
        <w:gridCol w:w="109"/>
        <w:gridCol w:w="109"/>
        <w:gridCol w:w="661"/>
        <w:gridCol w:w="109"/>
        <w:gridCol w:w="109"/>
        <w:gridCol w:w="109"/>
        <w:gridCol w:w="155"/>
        <w:gridCol w:w="155"/>
        <w:gridCol w:w="685"/>
        <w:gridCol w:w="156"/>
        <w:gridCol w:w="154"/>
      </w:tblGrid>
      <w:tr>
        <w:trPr/>
        <w:tc>
          <w:tcPr>
            <w:tcW w:w="2341"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9" w:type="dxa"/>
            <w:gridSpan w:val="4"/>
            <w:tcBorders>
              <w:bottom w:val="single" w:sz="2" w:space="0" w:color="1F2668"/>
            </w:tcBorders>
            <w:vAlign w:val="center"/>
          </w:tcPr>
          <w:p>
            <w:pPr>
              <w:pStyle w:val="TableContents"/>
              <w:bidi w:val="0"/>
              <w:spacing w:before="0" w:after="0"/>
              <w:jc w:val="right"/>
              <w:rPr/>
            </w:pPr>
            <w:r>
              <w:rPr>
                <w:spacing w:val="2"/>
              </w:rPr>
              <w:t>Threshold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8" w:type="dxa"/>
            <w:gridSpan w:val="4"/>
            <w:tcBorders>
              <w:bottom w:val="single" w:sz="2" w:space="0" w:color="1F2668"/>
            </w:tcBorders>
            <w:vAlign w:val="center"/>
          </w:tcPr>
          <w:p>
            <w:pPr>
              <w:pStyle w:val="TableContents"/>
              <w:bidi w:val="0"/>
              <w:spacing w:before="0" w:after="0"/>
              <w:jc w:val="right"/>
              <w:rPr/>
            </w:pPr>
            <w:r>
              <w:rPr>
                <w:spacing w:val="2"/>
              </w:rPr>
              <w:t>Target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1" w:type="dxa"/>
            <w:gridSpan w:val="4"/>
            <w:tcBorders>
              <w:bottom w:val="single" w:sz="2" w:space="0" w:color="1F2668"/>
            </w:tcBorders>
            <w:vAlign w:val="center"/>
          </w:tcPr>
          <w:p>
            <w:pPr>
              <w:pStyle w:val="TableContents"/>
              <w:bidi w:val="0"/>
              <w:spacing w:before="0" w:after="0"/>
              <w:jc w:val="right"/>
              <w:rPr/>
            </w:pPr>
            <w:r>
              <w:rPr>
                <w:spacing w:val="2"/>
              </w:rPr>
              <w:t>Maximum</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vAlign w:val="center"/>
          </w:tcPr>
          <w:p>
            <w:pPr>
              <w:pStyle w:val="TableContents"/>
              <w:bidi w:val="0"/>
              <w:spacing w:before="0" w:after="0"/>
              <w:jc w:val="left"/>
              <w:rPr>
                <w:b/>
              </w:rPr>
            </w:pPr>
            <w:r>
              <w:rPr>
                <w:b/>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4B5088"/>
            </w:tcBorders>
            <w:tcMar>
              <w:bottom w:w="28" w:type="dxa"/>
            </w:tcMar>
            <w:vAlign w:val="center"/>
          </w:tcPr>
          <w:p>
            <w:pPr>
              <w:pStyle w:val="TableContents"/>
              <w:bidi w:val="0"/>
              <w:spacing w:before="0" w:after="283"/>
              <w:jc w:val="left"/>
              <w:rPr/>
            </w:pPr>
            <w:r>
              <w:rPr/>
              <w:t>​</w:t>
            </w:r>
          </w:p>
        </w:tc>
        <w:tc>
          <w:tcPr>
            <w:tcW w:w="184" w:type="dxa"/>
            <w:tcBorders>
              <w:bottom w:val="single" w:sz="2" w:space="0" w:color="4B5088"/>
            </w:tcBorders>
            <w:vAlign w:val="center"/>
          </w:tcPr>
          <w:p>
            <w:pPr>
              <w:pStyle w:val="TableContents"/>
              <w:bidi w:val="0"/>
              <w:spacing w:before="0" w:after="283"/>
              <w:jc w:val="right"/>
              <w:rPr/>
            </w:pPr>
            <w:r>
              <w:rPr/>
              <w:t>​</w:t>
            </w:r>
          </w:p>
        </w:tc>
        <w:tc>
          <w:tcPr>
            <w:tcW w:w="586" w:type="dxa"/>
            <w:tcBorders>
              <w:bottom w:val="single" w:sz="2" w:space="0" w:color="4B5088"/>
            </w:tcBorders>
            <w:vAlign w:val="center"/>
          </w:tcPr>
          <w:p>
            <w:pPr>
              <w:pStyle w:val="TableContents"/>
              <w:bidi w:val="0"/>
              <w:spacing w:before="0" w:after="283"/>
              <w:jc w:val="right"/>
              <w:rPr/>
            </w:pPr>
            <w:r>
              <w:rPr/>
              <w:t>50%</w:t>
            </w:r>
          </w:p>
        </w:tc>
        <w:tc>
          <w:tcPr>
            <w:tcW w:w="18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right"/>
              <w:rPr/>
            </w:pPr>
            <w:r>
              <w:rPr/>
              <w:t>​</w:t>
            </w:r>
          </w:p>
        </w:tc>
        <w:tc>
          <w:tcPr>
            <w:tcW w:w="661" w:type="dxa"/>
            <w:tcBorders>
              <w:bottom w:val="single" w:sz="2" w:space="0" w:color="4B5088"/>
            </w:tcBorders>
            <w:vAlign w:val="center"/>
          </w:tcPr>
          <w:p>
            <w:pPr>
              <w:pStyle w:val="TableContents"/>
              <w:bidi w:val="0"/>
              <w:spacing w:before="0" w:after="283"/>
              <w:jc w:val="right"/>
              <w:rPr/>
            </w:pPr>
            <w:r>
              <w:rPr/>
              <w:t>200%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vAlign w:val="center"/>
          </w:tcPr>
          <w:p>
            <w:pPr>
              <w:pStyle w:val="TableContents"/>
              <w:bidi w:val="0"/>
              <w:spacing w:before="0" w:after="283"/>
              <w:jc w:val="right"/>
              <w:rPr/>
            </w:pPr>
            <w:r>
              <w:rPr/>
              <w:t>​</w:t>
            </w:r>
          </w:p>
        </w:tc>
        <w:tc>
          <w:tcPr>
            <w:tcW w:w="685" w:type="dxa"/>
            <w:tcBorders>
              <w:bottom w:val="single" w:sz="2" w:space="0" w:color="4B5088"/>
            </w:tcBorders>
            <w:vAlign w:val="center"/>
          </w:tcPr>
          <w:p>
            <w:pPr>
              <w:pStyle w:val="TableContents"/>
              <w:bidi w:val="0"/>
              <w:spacing w:before="0" w:after="283"/>
              <w:jc w:val="right"/>
              <w:rPr/>
            </w:pPr>
            <w:r>
              <w:rPr/>
              <w:t>300%</w:t>
            </w:r>
          </w:p>
        </w:tc>
        <w:tc>
          <w:tcPr>
            <w:tcW w:w="156"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vAlign w:val="center"/>
          </w:tcPr>
          <w:p>
            <w:pPr>
              <w:pStyle w:val="TableContents"/>
              <w:bidi w:val="0"/>
              <w:spacing w:before="0" w:after="0"/>
              <w:jc w:val="left"/>
              <w:rPr>
                <w:b/>
              </w:rPr>
            </w:pPr>
            <w:r>
              <w:rPr>
                <w:b/>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1F2668"/>
            </w:tcBorders>
            <w:tcMar>
              <w:bottom w:w="28" w:type="dxa"/>
            </w:tcMar>
            <w:vAlign w:val="center"/>
          </w:tcPr>
          <w:p>
            <w:pPr>
              <w:pStyle w:val="TableContents"/>
              <w:bidi w:val="0"/>
              <w:spacing w:before="0" w:after="283"/>
              <w:jc w:val="left"/>
              <w:rPr/>
            </w:pPr>
            <w:r>
              <w:rPr/>
              <w:t>​</w:t>
            </w:r>
          </w:p>
        </w:tc>
        <w:tc>
          <w:tcPr>
            <w:tcW w:w="184" w:type="dxa"/>
            <w:tcBorders>
              <w:bottom w:val="single" w:sz="2" w:space="0" w:color="1F2668"/>
            </w:tcBorders>
            <w:vAlign w:val="center"/>
          </w:tcPr>
          <w:p>
            <w:pPr>
              <w:pStyle w:val="TableContents"/>
              <w:bidi w:val="0"/>
              <w:spacing w:before="0" w:after="283"/>
              <w:jc w:val="right"/>
              <w:rPr/>
            </w:pPr>
            <w:r>
              <w:rPr/>
              <w:t>​</w:t>
            </w:r>
          </w:p>
        </w:tc>
        <w:tc>
          <w:tcPr>
            <w:tcW w:w="586" w:type="dxa"/>
            <w:tcBorders>
              <w:bottom w:val="single" w:sz="2" w:space="0" w:color="1F2668"/>
            </w:tcBorders>
            <w:vAlign w:val="center"/>
          </w:tcPr>
          <w:p>
            <w:pPr>
              <w:pStyle w:val="TableContents"/>
              <w:bidi w:val="0"/>
              <w:spacing w:before="0" w:after="283"/>
              <w:jc w:val="right"/>
              <w:rPr/>
            </w:pPr>
            <w:r>
              <w:rPr/>
              <w:t>50%</w:t>
            </w:r>
          </w:p>
        </w:tc>
        <w:tc>
          <w:tcPr>
            <w:tcW w:w="185"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right"/>
              <w:rPr/>
            </w:pPr>
            <w:r>
              <w:rPr/>
              <w:t>​</w:t>
            </w:r>
          </w:p>
        </w:tc>
        <w:tc>
          <w:tcPr>
            <w:tcW w:w="661" w:type="dxa"/>
            <w:tcBorders>
              <w:bottom w:val="single" w:sz="2" w:space="0" w:color="1F2668"/>
            </w:tcBorders>
            <w:vAlign w:val="center"/>
          </w:tcPr>
          <w:p>
            <w:pPr>
              <w:pStyle w:val="TableContents"/>
              <w:bidi w:val="0"/>
              <w:spacing w:before="0" w:after="283"/>
              <w:jc w:val="right"/>
              <w:rPr/>
            </w:pPr>
            <w:r>
              <w:rPr/>
              <w:t>175%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1F2668"/>
            </w:tcBorders>
            <w:tcMar>
              <w:bottom w:w="28" w:type="dxa"/>
            </w:tcMar>
            <w:vAlign w:val="center"/>
          </w:tcPr>
          <w:p>
            <w:pPr>
              <w:pStyle w:val="TableContents"/>
              <w:bidi w:val="0"/>
              <w:spacing w:before="0" w:after="283"/>
              <w:jc w:val="left"/>
              <w:rPr/>
            </w:pPr>
            <w:r>
              <w:rPr/>
              <w:t>​</w:t>
            </w:r>
          </w:p>
        </w:tc>
        <w:tc>
          <w:tcPr>
            <w:tcW w:w="155" w:type="dxa"/>
            <w:tcBorders>
              <w:bottom w:val="single" w:sz="2" w:space="0" w:color="1F2668"/>
            </w:tcBorders>
            <w:vAlign w:val="center"/>
          </w:tcPr>
          <w:p>
            <w:pPr>
              <w:pStyle w:val="TableContents"/>
              <w:bidi w:val="0"/>
              <w:spacing w:before="0" w:after="283"/>
              <w:jc w:val="right"/>
              <w:rPr/>
            </w:pPr>
            <w:r>
              <w:rPr/>
              <w:t>​</w:t>
            </w:r>
          </w:p>
        </w:tc>
        <w:tc>
          <w:tcPr>
            <w:tcW w:w="685" w:type="dxa"/>
            <w:tcBorders>
              <w:bottom w:val="single" w:sz="2" w:space="0" w:color="1F2668"/>
            </w:tcBorders>
            <w:vAlign w:val="center"/>
          </w:tcPr>
          <w:p>
            <w:pPr>
              <w:pStyle w:val="TableContents"/>
              <w:bidi w:val="0"/>
              <w:spacing w:before="0" w:after="283"/>
              <w:jc w:val="right"/>
              <w:rPr/>
            </w:pPr>
            <w:r>
              <w:rPr/>
              <w:t>250%</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Based on our performance relative to the </w:t>
            </w:r>
            <w:r>
              <w:rPr>
                <w:b/>
              </w:rPr>
              <w:t>objective bonus criteria</w:t>
            </w:r>
            <w:r>
              <w:rPr>
                <w:spacing w:val="-2"/>
              </w:rPr>
              <w:t xml:space="preserve"> established in January 2023, Mr. Holliday earned approximately </w:t>
            </w:r>
            <w:r>
              <w:rPr>
                <w:b/>
              </w:rPr>
              <w:t>116%</w:t>
            </w:r>
            <w:r>
              <w:rPr>
                <w:spacing w:val="-2"/>
              </w:rPr>
              <w:t xml:space="preserve"> of his 2023 target bonus and Mr. DiLiberto earned approximately </w:t>
            </w:r>
            <w:r>
              <w:rPr>
                <w:b/>
              </w:rPr>
              <w:t>111%</w:t>
            </w:r>
            <w:r>
              <w:rPr>
                <w:spacing w:val="-2"/>
              </w:rPr>
              <w:t xml:space="preserve"> of the formulaic component of his 2023 target bonus.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40" w:before="242"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specific performance criteria for our formulaic annual bonus program are determined in January of each year by the Committee and are set forth below under “2023 Performance Summary.”</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49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z w:val="18"/>
        </w:rPr>
        <w:t>Discretionary Annual Bonus—CFO and General Counsel.</w:t>
      </w:r>
      <w:r>
        <w:rPr>
          <w:rFonts w:ascii="Arial;Helvetica;sans-serif" w:hAnsi="Arial;Helvetica;sans-serif"/>
          <w:b w:val="false"/>
          <w:i w:val="false"/>
          <w:caps w:val="false"/>
          <w:smallCaps w:val="false"/>
          <w:color w:val="000000"/>
          <w:spacing w:val="-2"/>
          <w:sz w:val="18"/>
        </w:rPr>
        <w:t xml:space="preserve"> For 2023, the employment agreement in effect with our CFO provides for a discretionary annual bonus equal to 40% of his total bonus opportunity. After calculating the formulaic component described above, such formulaic amount is then divided by 0.6, less the amount of the as-calculated formulaic component, to establish a non-formulaic bonus opportunity. Our CFO may then earn between 0% and 100% of the non-formulaic component as determined in the discretion of the Committee. For 2023, the Committee awarded $533,000 as the discretionary bonus, which is less than the maximum value ($778,000) of that component. The employment agreement with our General Counsel does not currently provide for formulaic percentages of base salary that can be earned and is 100% discretionary.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2023, our CFO and General Counsel received the discretionary portions of their respective bonuses based on the same performance criteria that were used for our CEO and CFO’s formulaic annual bonus program, as well as specific company goals and objectives for 2023 that were presented at our annual investor conference in December 2022 and summarized earlier in this proxy statement.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relevant performance, criteria, goals, and objectives included financial goals, achievement of leasing and occupancy targets, investing activities such as strategic acquisitions and dispositions and share repurchases, execution of our debt and preferred equity platform, asset and corporate level leverage, joint venture and development milestones and furtherance of our other corporate goals and initiatives, many of which are key drivers of stockholder value. Despite a challenging operating environment, we successfully executed many aspects of our strategic vision against the backdrop of a New York City commercial real estate market and office REIT sector that saw many peers struggle. Our investment thesis was validated in 2023 as we saw our stock price perform on both an absolute basis, where we delivered </w:t>
      </w:r>
      <w:r>
        <w:rPr>
          <w:rFonts w:ascii="Arial;Helvetica;sans-serif" w:hAnsi="Arial;Helvetica;sans-serif"/>
          <w:b/>
          <w:i w:val="false"/>
          <w:caps w:val="false"/>
          <w:smallCaps w:val="false"/>
          <w:color w:val="000000"/>
          <w:sz w:val="18"/>
        </w:rPr>
        <w:t>a total return of over 48%</w:t>
      </w:r>
      <w:r>
        <w:rPr>
          <w:rFonts w:ascii="Arial;Helvetica;sans-serif" w:hAnsi="Arial;Helvetica;sans-serif"/>
          <w:b w:val="false"/>
          <w:i w:val="false"/>
          <w:caps w:val="false"/>
          <w:smallCaps w:val="false"/>
          <w:color w:val="000000"/>
          <w:spacing w:val="-2"/>
          <w:sz w:val="18"/>
        </w:rPr>
        <w:t xml:space="preserve">, and a relative basis, where we outperformed the Dow Jones U.S. Real Estate Office Index by </w:t>
      </w:r>
      <w:r>
        <w:rPr>
          <w:rFonts w:ascii="Arial;Helvetica;sans-serif" w:hAnsi="Arial;Helvetica;sans-serif"/>
          <w:b/>
          <w:i w:val="false"/>
          <w:caps w:val="false"/>
          <w:smallCaps w:val="false"/>
          <w:color w:val="000000"/>
          <w:sz w:val="18"/>
        </w:rPr>
        <w:t>nearly 5,000 basis points</w:t>
      </w:r>
      <w:r>
        <w:rPr>
          <w:rFonts w:ascii="Arial;Helvetica;sans-serif" w:hAnsi="Arial;Helvetica;sans-serif"/>
          <w:b w:val="false"/>
          <w:i w:val="false"/>
          <w:caps w:val="false"/>
          <w:smallCaps w:val="false"/>
          <w:color w:val="000000"/>
          <w:spacing w:val="-2"/>
          <w:sz w:val="18"/>
        </w:rPr>
        <w:t xml:space="preserve">. In addition, we significantly exceeded our anticipated 2023 same store NOI growth, achieving growth of </w:t>
      </w:r>
      <w:r>
        <w:rPr>
          <w:rFonts w:ascii="Arial;Helvetica;sans-serif" w:hAnsi="Arial;Helvetica;sans-serif"/>
          <w:b/>
          <w:i w:val="false"/>
          <w:caps w:val="false"/>
          <w:smallCaps w:val="false"/>
          <w:color w:val="000000"/>
          <w:sz w:val="18"/>
        </w:rPr>
        <w:t>5.8%</w:t>
      </w:r>
      <w:r>
        <w:rPr>
          <w:rFonts w:ascii="Arial;Helvetica;sans-serif" w:hAnsi="Arial;Helvetica;sans-serif"/>
          <w:b w:val="false"/>
          <w:i w:val="false"/>
          <w:caps w:val="false"/>
          <w:smallCaps w:val="false"/>
          <w:color w:val="000000"/>
          <w:spacing w:val="-2"/>
          <w:sz w:val="18"/>
        </w:rPr>
        <w:t>, almost double our stated goal of 3.0%. However, the Committee also considered our longer-term performance and, in particular, our negative multi-year stock price performance over the last three years.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In addition to our financial and operational successes, we also achieved many of the other business goals we set out to achieve for 2023, including achieving </w:t>
      </w:r>
      <w:r>
        <w:rPr>
          <w:rFonts w:ascii="Arial;Helvetica;sans-serif" w:hAnsi="Arial;Helvetica;sans-serif"/>
          <w:b/>
          <w:i w:val="false"/>
          <w:caps w:val="false"/>
          <w:smallCaps w:val="false"/>
          <w:color w:val="000000"/>
          <w:sz w:val="18"/>
        </w:rPr>
        <w:t>key milestones</w:t>
      </w:r>
      <w:r>
        <w:rPr>
          <w:rFonts w:ascii="Arial;Helvetica;sans-serif" w:hAnsi="Arial;Helvetica;sans-serif"/>
          <w:b w:val="false"/>
          <w:i w:val="false"/>
          <w:caps w:val="false"/>
          <w:smallCaps w:val="false"/>
          <w:color w:val="000000"/>
          <w:spacing w:val="-2"/>
          <w:sz w:val="18"/>
        </w:rPr>
        <w:t xml:space="preserve"> relating to our One Madison, 760 Madison and 15 Beekman projects and signing approximately 1.8M square feet of Manhattan office leases. When determining discretionary bonus amounts, the Committee also took into account a number of other strategic initiatives. In particular, the Committee noted that senior management </w:t>
      </w:r>
      <w:r>
        <w:rPr>
          <w:rFonts w:ascii="Arial;Helvetica;sans-serif" w:hAnsi="Arial;Helvetica;sans-serif"/>
          <w:b/>
          <w:i w:val="false"/>
          <w:caps w:val="false"/>
          <w:smallCaps w:val="false"/>
          <w:color w:val="000000"/>
          <w:sz w:val="18"/>
        </w:rPr>
        <w:t>remained agile and prioritized short-term and long-term stockholder return</w:t>
      </w:r>
      <w:r>
        <w:rPr>
          <w:rFonts w:ascii="Arial;Helvetica;sans-serif" w:hAnsi="Arial;Helvetica;sans-serif"/>
          <w:b w:val="false"/>
          <w:i w:val="false"/>
          <w:caps w:val="false"/>
          <w:smallCaps w:val="false"/>
          <w:color w:val="000000"/>
          <w:spacing w:val="-2"/>
          <w:sz w:val="18"/>
        </w:rPr>
        <w:t xml:space="preserve"> ahead of certain goals, such as share repurchases and achieving targeted liquidity and debt reduction, that became less attractive as conditions evolved over the course of the year. These steps were taken </w:t>
      </w:r>
      <w:r>
        <w:rPr>
          <w:rFonts w:ascii="Arial;Helvetica;sans-serif" w:hAnsi="Arial;Helvetica;sans-serif"/>
          <w:b/>
          <w:i w:val="false"/>
          <w:caps w:val="false"/>
          <w:smallCaps w:val="false"/>
          <w:color w:val="000000"/>
          <w:sz w:val="18"/>
        </w:rPr>
        <w:t>even where pursuing such other goals might have increased the payout of earned performance-based awards and annual bonuses</w:t>
      </w:r>
      <w:r>
        <w:rPr>
          <w:rFonts w:ascii="Arial;Helvetica;sans-serif" w:hAnsi="Arial;Helvetica;sans-serif"/>
          <w:b w:val="false"/>
          <w:i w:val="false"/>
          <w:caps w:val="false"/>
          <w:smallCaps w:val="false"/>
          <w:color w:val="000000"/>
          <w:spacing w:val="-2"/>
          <w:sz w:val="18"/>
        </w:rPr>
        <w: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Committee recognized the significant contributions of our CFO and General Counsel to the organizational successes that we achieved during the year, and, in particular, the impact of elevated inflation and interest rates on our balance sheet and operating environment. Nevertheless, the Committee chose to award a discretionary bonus to our CFO of only approximately </w:t>
            </w:r>
            <w:r>
              <w:rPr>
                <w:b/>
              </w:rPr>
              <w:t>69%</w:t>
            </w:r>
            <w:r>
              <w:rPr>
                <w:spacing w:val="-2"/>
              </w:rPr>
              <w:t xml:space="preserve"> of his total non-formulaic maximum opportunity, and to our General Counsel that was slightly lower than the bonus he received for 2022.</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60" w:before="24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Aggregate Annual Bonus Amounts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table below summarizes the aggregate bonus amounts received by our named executive officers for 2023 on a formulaic, discretionary and aggregate basis. Mr. Holliday elected to receive 50% of his bonus in the form of LTIP units and Messrs. DiLiberto and Levine received 100% of their bonuses in the form of LTIP units based upon the discretion of the Committee. </w:t>
      </w:r>
      <w:r>
        <w:rPr>
          <w:rFonts w:ascii="Arial;Helvetica;sans-serif" w:hAnsi="Arial;Helvetica;sans-serif"/>
          <w:b/>
          <w:i w:val="false"/>
          <w:caps w:val="false"/>
          <w:smallCaps w:val="false"/>
          <w:color w:val="000000"/>
          <w:sz w:val="18"/>
        </w:rPr>
        <w:t>In lieu of an annual bonus for 2023, Mr. Mathias received payments pursuant to his employment agreement in connection with the non-renewal of such agreement.</w:t>
      </w:r>
      <w:r>
        <w:rPr>
          <w:rFonts w:ascii="Arial;Helvetica;sans-serif" w:hAnsi="Arial;Helvetica;sans-serif"/>
          <w:b w:val="false"/>
          <w:i w:val="false"/>
          <w:caps w:val="false"/>
          <w:smallCaps w:val="false"/>
          <w:color w:val="000000"/>
          <w:spacing w:val="4"/>
          <w:sz w:val="18"/>
        </w:rPr>
        <w:t xml:space="preserve"> </w:t>
      </w:r>
    </w:p>
    <w:tbl>
      <w:tblPr>
        <w:tblW w:w="7631" w:type="dxa"/>
        <w:jc w:val="left"/>
        <w:tblInd w:w="900" w:type="dxa"/>
        <w:tblLayout w:type="fixed"/>
        <w:tblCellMar>
          <w:top w:w="0" w:type="dxa"/>
          <w:left w:w="0" w:type="dxa"/>
          <w:bottom w:w="70" w:type="dxa"/>
          <w:right w:w="0" w:type="dxa"/>
        </w:tblCellMar>
      </w:tblPr>
      <w:tblGrid>
        <w:gridCol w:w="2341"/>
        <w:gridCol w:w="109"/>
        <w:gridCol w:w="109"/>
        <w:gridCol w:w="109"/>
        <w:gridCol w:w="226"/>
        <w:gridCol w:w="1066"/>
        <w:gridCol w:w="109"/>
        <w:gridCol w:w="109"/>
        <w:gridCol w:w="109"/>
        <w:gridCol w:w="119"/>
        <w:gridCol w:w="248"/>
        <w:gridCol w:w="974"/>
        <w:gridCol w:w="121"/>
        <w:gridCol w:w="109"/>
        <w:gridCol w:w="109"/>
        <w:gridCol w:w="109"/>
        <w:gridCol w:w="226"/>
        <w:gridCol w:w="1066"/>
        <w:gridCol w:w="109"/>
        <w:gridCol w:w="154"/>
      </w:tblGrid>
      <w:tr>
        <w:trPr/>
        <w:tc>
          <w:tcPr>
            <w:tcW w:w="2341"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Formulaic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2" w:type="dxa"/>
            <w:gridSpan w:val="4"/>
            <w:tcBorders>
              <w:bottom w:val="single" w:sz="2" w:space="0" w:color="1F2668"/>
            </w:tcBorders>
            <w:vAlign w:val="center"/>
          </w:tcPr>
          <w:p>
            <w:pPr>
              <w:pStyle w:val="TableContents"/>
              <w:bidi w:val="0"/>
              <w:spacing w:before="0" w:after="0"/>
              <w:jc w:val="right"/>
              <w:rPr/>
            </w:pPr>
            <w:r>
              <w:rPr>
                <w:spacing w:val="2"/>
              </w:rPr>
              <w:t>Discretionary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Total Bonus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vAlign w:val="center"/>
          </w:tcPr>
          <w:p>
            <w:pPr>
              <w:pStyle w:val="TableContents"/>
              <w:bidi w:val="0"/>
              <w:spacing w:before="0" w:after="0"/>
              <w:jc w:val="left"/>
              <w:rPr>
                <w:b/>
              </w:rPr>
            </w:pPr>
            <w:r>
              <w:rPr>
                <w:b/>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2,908,333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248" w:type="dxa"/>
            <w:tcBorders>
              <w:bottom w:val="single" w:sz="2" w:space="0" w:color="4B5088"/>
            </w:tcBorders>
            <w:vAlign w:val="center"/>
          </w:tcPr>
          <w:p>
            <w:pPr>
              <w:pStyle w:val="TableContents"/>
              <w:bidi w:val="0"/>
              <w:spacing w:before="0" w:after="283"/>
              <w:jc w:val="right"/>
              <w:rPr/>
            </w:pPr>
            <w:r>
              <w:rPr/>
              <w:t>​</w:t>
            </w:r>
          </w:p>
        </w:tc>
        <w:tc>
          <w:tcPr>
            <w:tcW w:w="974" w:type="dxa"/>
            <w:tcBorders>
              <w:bottom w:val="single" w:sz="2" w:space="0" w:color="4B5088"/>
            </w:tcBorders>
            <w:vAlign w:val="center"/>
          </w:tcPr>
          <w:p>
            <w:pPr>
              <w:pStyle w:val="TableContents"/>
              <w:bidi w:val="0"/>
              <w:spacing w:before="0" w:after="283"/>
              <w:jc w:val="right"/>
              <w:rPr/>
            </w:pPr>
            <w:r>
              <w:rPr/>
              <w:t>—</w:t>
            </w:r>
          </w:p>
        </w:tc>
        <w:tc>
          <w:tcPr>
            <w:tcW w:w="12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2,908,333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vAlign w:val="center"/>
          </w:tcPr>
          <w:p>
            <w:pPr>
              <w:pStyle w:val="TableContents"/>
              <w:bidi w:val="0"/>
              <w:spacing w:before="0" w:after="0"/>
              <w:jc w:val="left"/>
              <w:rPr>
                <w:b/>
              </w:rPr>
            </w:pPr>
            <w:r>
              <w:rPr>
                <w:b/>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1,167,000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4B5088"/>
            </w:tcBorders>
            <w:tcMar>
              <w:bottom w:w="28" w:type="dxa"/>
            </w:tcMar>
            <w:vAlign w:val="center"/>
          </w:tcPr>
          <w:p>
            <w:pPr>
              <w:pStyle w:val="TableContents"/>
              <w:bidi w:val="0"/>
              <w:spacing w:before="0" w:after="283"/>
              <w:jc w:val="left"/>
              <w:rPr/>
            </w:pPr>
            <w:r>
              <w:rPr/>
              <w:t>​</w:t>
            </w:r>
          </w:p>
        </w:tc>
        <w:tc>
          <w:tcPr>
            <w:tcW w:w="248" w:type="dxa"/>
            <w:tcBorders>
              <w:bottom w:val="single" w:sz="2" w:space="0" w:color="4B5088"/>
            </w:tcBorders>
            <w:vAlign w:val="center"/>
          </w:tcPr>
          <w:p>
            <w:pPr>
              <w:pStyle w:val="TableContents"/>
              <w:bidi w:val="0"/>
              <w:spacing w:before="0" w:after="283"/>
              <w:jc w:val="right"/>
              <w:rPr/>
            </w:pPr>
            <w:r>
              <w:rPr/>
              <w:t>$</w:t>
            </w:r>
          </w:p>
        </w:tc>
        <w:tc>
          <w:tcPr>
            <w:tcW w:w="974" w:type="dxa"/>
            <w:tcBorders>
              <w:bottom w:val="single" w:sz="2" w:space="0" w:color="4B5088"/>
            </w:tcBorders>
            <w:vAlign w:val="center"/>
          </w:tcPr>
          <w:p>
            <w:pPr>
              <w:pStyle w:val="TableContents"/>
              <w:bidi w:val="0"/>
              <w:spacing w:before="0" w:after="283"/>
              <w:jc w:val="right"/>
              <w:rPr/>
            </w:pPr>
            <w:r>
              <w:rPr/>
              <w:t>533,000</w:t>
            </w:r>
          </w:p>
        </w:tc>
        <w:tc>
          <w:tcPr>
            <w:tcW w:w="12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vAlign w:val="center"/>
          </w:tcPr>
          <w:p>
            <w:pPr>
              <w:pStyle w:val="TableContents"/>
              <w:bidi w:val="0"/>
              <w:spacing w:before="0" w:after="283"/>
              <w:jc w:val="right"/>
              <w:rPr/>
            </w:pPr>
            <w:r>
              <w:rPr/>
              <w:t>$</w:t>
            </w:r>
          </w:p>
        </w:tc>
        <w:tc>
          <w:tcPr>
            <w:tcW w:w="1066" w:type="dxa"/>
            <w:tcBorders>
              <w:bottom w:val="single" w:sz="2" w:space="0" w:color="4B5088"/>
            </w:tcBorders>
            <w:vAlign w:val="center"/>
          </w:tcPr>
          <w:p>
            <w:pPr>
              <w:pStyle w:val="TableContents"/>
              <w:bidi w:val="0"/>
              <w:spacing w:before="0" w:after="283"/>
              <w:jc w:val="right"/>
              <w:rPr/>
            </w:pPr>
            <w:r>
              <w:rPr/>
              <w:t>1,700,000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vAlign w:val="center"/>
          </w:tcPr>
          <w:p>
            <w:pPr>
              <w:pStyle w:val="TableContents"/>
              <w:bidi w:val="0"/>
              <w:spacing w:before="0" w:after="0"/>
              <w:jc w:val="left"/>
              <w:rPr>
                <w:b/>
              </w:rPr>
            </w:pPr>
            <w:r>
              <w:rPr>
                <w:b/>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1066" w:type="dxa"/>
            <w:tcBorders>
              <w:bottom w:val="single" w:sz="2" w:space="0" w:color="1F2668"/>
            </w:tcBorders>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1F2668"/>
            </w:tcBorders>
            <w:tcMar>
              <w:bottom w:w="28" w:type="dxa"/>
            </w:tcMar>
            <w:vAlign w:val="center"/>
          </w:tcPr>
          <w:p>
            <w:pPr>
              <w:pStyle w:val="TableContents"/>
              <w:bidi w:val="0"/>
              <w:spacing w:before="0" w:after="283"/>
              <w:jc w:val="left"/>
              <w:rPr/>
            </w:pPr>
            <w:r>
              <w:rPr/>
              <w:t>​</w:t>
            </w:r>
          </w:p>
        </w:tc>
        <w:tc>
          <w:tcPr>
            <w:tcW w:w="248" w:type="dxa"/>
            <w:tcBorders>
              <w:bottom w:val="single" w:sz="2" w:space="0" w:color="1F2668"/>
            </w:tcBorders>
            <w:vAlign w:val="center"/>
          </w:tcPr>
          <w:p>
            <w:pPr>
              <w:pStyle w:val="TableContents"/>
              <w:bidi w:val="0"/>
              <w:spacing w:before="0" w:after="283"/>
              <w:jc w:val="right"/>
              <w:rPr/>
            </w:pPr>
            <w:r>
              <w:rPr/>
              <w:t>$</w:t>
            </w:r>
          </w:p>
        </w:tc>
        <w:tc>
          <w:tcPr>
            <w:tcW w:w="974" w:type="dxa"/>
            <w:tcBorders>
              <w:bottom w:val="single" w:sz="2" w:space="0" w:color="1F2668"/>
            </w:tcBorders>
            <w:vAlign w:val="center"/>
          </w:tcPr>
          <w:p>
            <w:pPr>
              <w:pStyle w:val="TableContents"/>
              <w:bidi w:val="0"/>
              <w:spacing w:before="0" w:after="283"/>
              <w:jc w:val="right"/>
              <w:rPr/>
            </w:pPr>
            <w:r>
              <w:rPr/>
              <w:t>900,000</w:t>
            </w:r>
          </w:p>
        </w:tc>
        <w:tc>
          <w:tcPr>
            <w:tcW w:w="121"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vAlign w:val="center"/>
          </w:tcPr>
          <w:p>
            <w:pPr>
              <w:pStyle w:val="TableContents"/>
              <w:bidi w:val="0"/>
              <w:spacing w:before="0" w:after="283"/>
              <w:jc w:val="right"/>
              <w:rPr/>
            </w:pPr>
            <w:r>
              <w:rPr/>
              <w:t>$</w:t>
            </w:r>
          </w:p>
        </w:tc>
        <w:tc>
          <w:tcPr>
            <w:tcW w:w="1066" w:type="dxa"/>
            <w:tcBorders>
              <w:bottom w:val="single" w:sz="2" w:space="0" w:color="1F2668"/>
            </w:tcBorders>
            <w:vAlign w:val="center"/>
          </w:tcPr>
          <w:p>
            <w:pPr>
              <w:pStyle w:val="TableContents"/>
              <w:bidi w:val="0"/>
              <w:spacing w:before="0" w:after="283"/>
              <w:jc w:val="right"/>
              <w:rPr/>
            </w:pPr>
            <w:r>
              <w:rPr/>
              <w:t>900,000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ANNUAL EQUITY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We grant our named executive officers performance-based LTIP units and time-based LTIP units annually in connection with their employment agreements and, in some cases, at the discretion of the Committee. For 2023, our annual long-term incentive equity award program consisted of grants of performance-based equity awards with multi-year performance criteria and time-based equity awards that vest based on continued service. We grant performance-based awards </w:t>
      </w:r>
      <w:r>
        <w:rPr>
          <w:rFonts w:ascii="Arial;Helvetica;sans-serif" w:hAnsi="Arial;Helvetica;sans-serif"/>
          <w:b/>
          <w:i w:val="false"/>
          <w:caps w:val="false"/>
          <w:smallCaps w:val="false"/>
          <w:color w:val="000000"/>
          <w:sz w:val="18"/>
        </w:rPr>
        <w:t>prospectively</w:t>
      </w:r>
      <w:r>
        <w:rPr>
          <w:rFonts w:ascii="Arial;Helvetica;sans-serif" w:hAnsi="Arial;Helvetica;sans-serif"/>
          <w:b w:val="false"/>
          <w:i w:val="false"/>
          <w:caps w:val="false"/>
          <w:smallCaps w:val="false"/>
          <w:color w:val="000000"/>
          <w:spacing w:val="-2"/>
          <w:sz w:val="18"/>
        </w:rPr>
        <w:t xml:space="preserve"> for each compensation year when we establish performance goals to incentivize our executives to deliver accretive value to stockholders. We grant time-based awards </w:t>
      </w:r>
      <w:r>
        <w:rPr>
          <w:rFonts w:ascii="Arial;Helvetica;sans-serif" w:hAnsi="Arial;Helvetica;sans-serif"/>
          <w:b/>
          <w:i w:val="false"/>
          <w:caps w:val="false"/>
          <w:smallCaps w:val="false"/>
          <w:color w:val="000000"/>
          <w:sz w:val="18"/>
        </w:rPr>
        <w:t>retrospectively</w:t>
      </w:r>
      <w:r>
        <w:rPr>
          <w:rFonts w:ascii="Arial;Helvetica;sans-serif" w:hAnsi="Arial;Helvetica;sans-serif"/>
          <w:b w:val="false"/>
          <w:i w:val="false"/>
          <w:caps w:val="false"/>
          <w:smallCaps w:val="false"/>
          <w:color w:val="000000"/>
          <w:spacing w:val="-2"/>
          <w:sz w:val="18"/>
        </w:rPr>
        <w:t xml:space="preserve"> based on each executive’s contributions to our achievements during the prior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i w:val="false"/>
          <w:caps w:val="false"/>
          <w:smallCaps w:val="false"/>
          <w:color w:val="83AD40"/>
          <w:sz w:val="18"/>
        </w:rPr>
        <w:t>Target Amounts.</w:t>
      </w:r>
      <w:r>
        <w:rPr>
          <w:rFonts w:ascii="Arial;Helvetica;sans-serif" w:hAnsi="Arial;Helvetica;sans-serif"/>
          <w:b w:val="false"/>
          <w:i w:val="false"/>
          <w:caps w:val="false"/>
          <w:smallCaps w:val="false"/>
          <w:color w:val="000000"/>
          <w:spacing w:val="-2"/>
          <w:sz w:val="18"/>
        </w:rPr>
        <w:t xml:space="preserve"> The target amounts of performance-based equity awards and time-based equity awards for our named executive officers are set forth below:</w:t>
      </w:r>
      <w:r>
        <w:rPr>
          <w:rFonts w:ascii="Arial;Helvetica;sans-serif" w:hAnsi="Arial;Helvetica;sans-serif"/>
          <w:b w:val="false"/>
          <w:i w:val="false"/>
          <w:caps w:val="false"/>
          <w:smallCaps w:val="false"/>
          <w:color w:val="000000"/>
          <w:spacing w:val="4"/>
          <w:sz w:val="18"/>
        </w:rPr>
        <w:t xml:space="preserve"> </w:t>
      </w:r>
    </w:p>
    <w:tbl>
      <w:tblPr>
        <w:tblW w:w="8345" w:type="dxa"/>
        <w:jc w:val="left"/>
        <w:tblInd w:w="900" w:type="dxa"/>
        <w:tblLayout w:type="fixed"/>
        <w:tblCellMar>
          <w:top w:w="0" w:type="dxa"/>
          <w:left w:w="0" w:type="dxa"/>
          <w:bottom w:w="0" w:type="dxa"/>
          <w:right w:w="0" w:type="dxa"/>
        </w:tblCellMar>
      </w:tblPr>
      <w:tblGrid>
        <w:gridCol w:w="2341"/>
        <w:gridCol w:w="109"/>
        <w:gridCol w:w="109"/>
        <w:gridCol w:w="148"/>
        <w:gridCol w:w="307"/>
        <w:gridCol w:w="1452"/>
        <w:gridCol w:w="149"/>
        <w:gridCol w:w="109"/>
        <w:gridCol w:w="109"/>
        <w:gridCol w:w="109"/>
        <w:gridCol w:w="226"/>
        <w:gridCol w:w="1066"/>
        <w:gridCol w:w="109"/>
        <w:gridCol w:w="109"/>
        <w:gridCol w:w="109"/>
        <w:gridCol w:w="109"/>
        <w:gridCol w:w="226"/>
        <w:gridCol w:w="1186"/>
        <w:gridCol w:w="109"/>
        <w:gridCol w:w="154"/>
      </w:tblGrid>
      <w:tr>
        <w:trPr/>
        <w:tc>
          <w:tcPr>
            <w:tcW w:w="23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32" w:type="dxa"/>
            <w:gridSpan w:val="16"/>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Target Equity Award Amounts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6"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Performance-Based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Time-Based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Total</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307" w:type="dxa"/>
            <w:tcBorders>
              <w:bottom w:val="single" w:sz="2" w:space="0" w:color="4B5088"/>
            </w:tcBorders>
            <w:tcMar>
              <w:bottom w:w="70" w:type="dxa"/>
            </w:tcMar>
            <w:vAlign w:val="center"/>
          </w:tcPr>
          <w:p>
            <w:pPr>
              <w:pStyle w:val="TableContents"/>
              <w:bidi w:val="0"/>
              <w:spacing w:before="0" w:after="283"/>
              <w:jc w:val="right"/>
              <w:rPr/>
            </w:pPr>
            <w:r>
              <w:rPr/>
              <w:t>$</w:t>
            </w:r>
          </w:p>
        </w:tc>
        <w:tc>
          <w:tcPr>
            <w:tcW w:w="1452" w:type="dxa"/>
            <w:tcBorders>
              <w:bottom w:val="single" w:sz="2" w:space="0" w:color="4B5088"/>
            </w:tcBorders>
            <w:tcMar>
              <w:bottom w:w="70" w:type="dxa"/>
            </w:tcMar>
            <w:vAlign w:val="center"/>
          </w:tcPr>
          <w:p>
            <w:pPr>
              <w:pStyle w:val="TableContents"/>
              <w:bidi w:val="0"/>
              <w:spacing w:before="0" w:after="283"/>
              <w:jc w:val="right"/>
              <w:rPr/>
            </w:pPr>
            <w:r>
              <w:rPr/>
              <w:t>7,500,000</w:t>
            </w:r>
          </w:p>
        </w:tc>
        <w:tc>
          <w:tcPr>
            <w:tcW w:w="14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307" w:type="dxa"/>
            <w:tcBorders>
              <w:bottom w:val="single" w:sz="2" w:space="0" w:color="4B5088"/>
            </w:tcBorders>
            <w:tcMar>
              <w:bottom w:w="70" w:type="dxa"/>
            </w:tcMar>
            <w:vAlign w:val="center"/>
          </w:tcPr>
          <w:p>
            <w:pPr>
              <w:pStyle w:val="TableContents"/>
              <w:bidi w:val="0"/>
              <w:spacing w:before="0" w:after="283"/>
              <w:jc w:val="right"/>
              <w:rPr/>
            </w:pPr>
            <w:r>
              <w:rPr/>
              <w:t>$</w:t>
            </w:r>
          </w:p>
        </w:tc>
        <w:tc>
          <w:tcPr>
            <w:tcW w:w="1452" w:type="dxa"/>
            <w:tcBorders>
              <w:bottom w:val="single" w:sz="2" w:space="0" w:color="4B5088"/>
            </w:tcBorders>
            <w:tcMar>
              <w:bottom w:w="70" w:type="dxa"/>
            </w:tcMar>
            <w:vAlign w:val="center"/>
          </w:tcPr>
          <w:p>
            <w:pPr>
              <w:pStyle w:val="TableContents"/>
              <w:bidi w:val="0"/>
              <w:spacing w:before="0" w:after="283"/>
              <w:jc w:val="right"/>
              <w:rPr/>
            </w:pPr>
            <w:r>
              <w:rPr/>
              <w:t>6,000,000</w:t>
            </w:r>
          </w:p>
        </w:tc>
        <w:tc>
          <w:tcPr>
            <w:tcW w:w="14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4B5088"/>
            </w:tcBorders>
            <w:tcMar>
              <w:bottom w:w="28" w:type="dxa"/>
            </w:tcMar>
            <w:vAlign w:val="center"/>
          </w:tcPr>
          <w:p>
            <w:pPr>
              <w:pStyle w:val="TableContents"/>
              <w:bidi w:val="0"/>
              <w:spacing w:before="0" w:after="283"/>
              <w:jc w:val="left"/>
              <w:rPr/>
            </w:pPr>
            <w:r>
              <w:rPr/>
              <w:t>​</w:t>
            </w:r>
          </w:p>
        </w:tc>
        <w:tc>
          <w:tcPr>
            <w:tcW w:w="307" w:type="dxa"/>
            <w:tcBorders>
              <w:bottom w:val="single" w:sz="2" w:space="0" w:color="4B5088"/>
            </w:tcBorders>
            <w:tcMar>
              <w:bottom w:w="70" w:type="dxa"/>
            </w:tcMar>
            <w:vAlign w:val="center"/>
          </w:tcPr>
          <w:p>
            <w:pPr>
              <w:pStyle w:val="TableContents"/>
              <w:bidi w:val="0"/>
              <w:spacing w:before="0" w:after="283"/>
              <w:jc w:val="right"/>
              <w:rPr/>
            </w:pPr>
            <w:r>
              <w:rPr/>
              <w:t>$</w:t>
            </w:r>
          </w:p>
        </w:tc>
        <w:tc>
          <w:tcPr>
            <w:tcW w:w="1452" w:type="dxa"/>
            <w:tcBorders>
              <w:bottom w:val="single" w:sz="2" w:space="0" w:color="4B5088"/>
            </w:tcBorders>
            <w:tcMar>
              <w:bottom w:w="70" w:type="dxa"/>
            </w:tcMar>
            <w:vAlign w:val="center"/>
          </w:tcPr>
          <w:p>
            <w:pPr>
              <w:pStyle w:val="TableContents"/>
              <w:bidi w:val="0"/>
              <w:spacing w:before="0" w:after="283"/>
              <w:jc w:val="right"/>
              <w:rPr/>
            </w:pPr>
            <w:r>
              <w:rPr/>
              <w:t>555,556</w:t>
            </w:r>
          </w:p>
        </w:tc>
        <w:tc>
          <w:tcPr>
            <w:tcW w:w="14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1,955,556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1F2668"/>
            </w:tcBorders>
            <w:tcMar>
              <w:bottom w:w="28" w:type="dxa"/>
            </w:tcMar>
            <w:vAlign w:val="center"/>
          </w:tcPr>
          <w:p>
            <w:pPr>
              <w:pStyle w:val="TableContents"/>
              <w:bidi w:val="0"/>
              <w:spacing w:before="0" w:after="283"/>
              <w:jc w:val="left"/>
              <w:rPr/>
            </w:pPr>
            <w:r>
              <w:rPr/>
              <w:t>​</w:t>
            </w:r>
          </w:p>
        </w:tc>
        <w:tc>
          <w:tcPr>
            <w:tcW w:w="307" w:type="dxa"/>
            <w:tcBorders>
              <w:bottom w:val="single" w:sz="2" w:space="0" w:color="1F2668"/>
            </w:tcBorders>
            <w:tcMar>
              <w:bottom w:w="70" w:type="dxa"/>
            </w:tcMar>
            <w:vAlign w:val="center"/>
          </w:tcPr>
          <w:p>
            <w:pPr>
              <w:pStyle w:val="TableContents"/>
              <w:bidi w:val="0"/>
              <w:spacing w:before="0" w:after="283"/>
              <w:jc w:val="right"/>
              <w:rPr/>
            </w:pPr>
            <w:r>
              <w:rPr/>
              <w:t>$</w:t>
            </w:r>
          </w:p>
        </w:tc>
        <w:tc>
          <w:tcPr>
            <w:tcW w:w="1452" w:type="dxa"/>
            <w:tcBorders>
              <w:bottom w:val="single" w:sz="2" w:space="0" w:color="1F2668"/>
            </w:tcBorders>
            <w:tcMar>
              <w:bottom w:w="70" w:type="dxa"/>
            </w:tcMar>
            <w:vAlign w:val="center"/>
          </w:tcPr>
          <w:p>
            <w:pPr>
              <w:pStyle w:val="TableContents"/>
              <w:bidi w:val="0"/>
              <w:spacing w:before="0" w:after="283"/>
              <w:jc w:val="right"/>
              <w:rPr/>
            </w:pPr>
            <w:r>
              <w:rPr/>
              <w:t>555,556</w:t>
            </w:r>
          </w:p>
        </w:tc>
        <w:tc>
          <w:tcPr>
            <w:tcW w:w="14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1,300,000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1,855,556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Earned performance-based LTIP units granted based on the target amounts set forth above will vest 100% for Messrs. Holliday and Mathias on December 31, 2025. The time-based LTIP units granted to Messrs. Holliday, DiLiberto and Levine, respectively, pursuant to each executive’s employment agreement are subject to vesting over three years, two years and one year, with each award vesting ratably, if applicable, on January 1</w:t>
      </w:r>
      <w:r>
        <w:rPr>
          <w:rFonts w:ascii="Arial;Helvetica;sans-serif" w:hAnsi="Arial;Helvetica;sans-serif"/>
          <w:b w:val="false"/>
          <w:i w:val="false"/>
          <w:caps w:val="false"/>
          <w:smallCaps w:val="false"/>
          <w:color w:val="000000"/>
          <w:spacing w:val="-1"/>
          <w:sz w:val="14"/>
        </w:rPr>
        <w:t>st</w:t>
      </w:r>
      <w:r>
        <w:rPr>
          <w:rFonts w:ascii="Arial;Helvetica;sans-serif" w:hAnsi="Arial;Helvetica;sans-serif"/>
          <w:b w:val="false"/>
          <w:i w:val="false"/>
          <w:caps w:val="false"/>
          <w:smallCaps w:val="false"/>
          <w:color w:val="000000"/>
          <w:spacing w:val="-2"/>
          <w:sz w:val="18"/>
        </w:rPr>
        <w:t xml:space="preserve"> of each year following the grant date, subject to continued employment. The shorter vesting periods for the time-based LTIP units grants to Messrs. DiLiberto and Levine align with the expiration of their respective employment agreements. </w:t>
      </w:r>
      <w:r>
        <w:rPr>
          <w:rFonts w:ascii="Arial;Helvetica;sans-serif" w:hAnsi="Arial;Helvetica;sans-serif"/>
          <w:b/>
          <w:i w:val="false"/>
          <w:caps w:val="false"/>
          <w:smallCaps w:val="false"/>
          <w:color w:val="000000"/>
          <w:sz w:val="18"/>
        </w:rPr>
        <w:t>Because the term of his employment concluded prior to January 2024 when the annual grants would have been made under his employment agreement, Mr. Mathias did not receive an annual time-based equity award for 2023.</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For 2023, with the exception of the target annual time-based award for our former President, we granted equity awards in line with the target amounts set forth above. The Committee considered management’s overall performance in the context of our longer-term stock performance. In light of our disappointing multi-year stock price performance over the last three years, </w:t>
            </w:r>
            <w:r>
              <w:rPr>
                <w:b/>
              </w:rPr>
              <w:t>the Committee elected not to grant awards above target, notwithstanding our extraordinary, office sector-leading TSR in 2023</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40" w:before="240" w:after="283"/>
        <w:ind w:left="90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employment agreements with Messrs. DiLiberto and Levine in effect for 2023 did not provide for target annual performance-based equity grants, but both participate, at the Committee’s discretion, in our annual long-term performance-based equity program. Earned performance-based LTIP units granted for 2023 will vest 50% on each of December 31, 2025 and December 31, 2026, for Messrs. DiLiberto and Levine.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For detailed 2023 pay outcomes for each of our named executive officers, excluding our former President, see the NEO scorecards below</w:t>
      </w:r>
      <w:r>
        <w:rPr>
          <w:rFonts w:ascii="Arial;Helvetica;sans-serif" w:hAnsi="Arial;Helvetica;sans-serif"/>
          <w:b w:val="false"/>
          <w:i w:val="false"/>
          <w:caps w:val="false"/>
          <w:smallCaps w:val="false"/>
          <w:color w:val="000000"/>
          <w:spacing w:val="-2"/>
          <w:sz w:val="18"/>
        </w:rPr>
        <w:t>.</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How We Establish Performance Goals—Formulaic Annual Bonus and Equity Awards</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28" w:type="dxa"/>
          <w:right w:w="0" w:type="dxa"/>
        </w:tblCellMar>
      </w:tblPr>
      <w:tblGrid>
        <w:gridCol w:w="124"/>
        <w:gridCol w:w="2547"/>
        <w:gridCol w:w="109"/>
        <w:gridCol w:w="109"/>
        <w:gridCol w:w="626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47" w:type="dxa"/>
            <w:tcBorders>
              <w:bottom w:val="single" w:sz="2" w:space="0" w:color="4B5088"/>
            </w:tcBorders>
            <w:tcMar>
              <w:bottom w:w="92" w:type="dxa"/>
            </w:tcMar>
            <w:vAlign w:val="center"/>
          </w:tcPr>
          <w:p>
            <w:pPr>
              <w:pStyle w:val="TableContents"/>
              <w:bidi w:val="0"/>
              <w:spacing w:before="0" w:after="0"/>
              <w:ind w:left="100" w:right="0" w:hanging="0"/>
              <w:jc w:val="left"/>
              <w:rPr>
                <w:b/>
              </w:rPr>
            </w:pPr>
            <w:r>
              <w:rPr>
                <w:b/>
              </w:rPr>
              <w:t>Emphasis on At-Risk Pay Elements</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61" w:type="dxa"/>
            <w:tcBorders>
              <w:bottom w:val="single" w:sz="2" w:space="0" w:color="4B5088"/>
            </w:tcBorders>
            <w:tcMar>
              <w:bottom w:w="92" w:type="dxa"/>
            </w:tcMar>
            <w:vAlign w:val="center"/>
          </w:tcPr>
          <w:p>
            <w:pPr>
              <w:pStyle w:val="TableContents"/>
              <w:bidi w:val="0"/>
              <w:spacing w:before="0" w:after="0"/>
              <w:ind w:left="100" w:right="0" w:hanging="0"/>
              <w:jc w:val="left"/>
              <w:rPr>
                <w:color w:val="000000"/>
              </w:rPr>
            </w:pPr>
            <w:r>
              <w:rPr>
                <w:color w:val="000000"/>
                <w:spacing w:val="-2"/>
              </w:rPr>
              <w:t>In line with stockholder feedback, we have continued our commitment to rigorous performance-based incentives. For 2023:</w:t>
            </w:r>
            <w:r>
              <w:rPr>
                <w:color w:val="000000"/>
              </w:rPr>
              <w:t xml:space="preserve"> </w:t>
            </w:r>
          </w:p>
          <w:p>
            <w:pPr>
              <w:pStyle w:val="TableContents"/>
              <w:bidi w:val="0"/>
              <w:spacing w:lineRule="atLeast" w:line="180" w:before="280" w:after="0"/>
              <w:ind w:left="340" w:right="0" w:hanging="0"/>
              <w:jc w:val="left"/>
              <w:rPr/>
            </w:pPr>
            <w:r>
              <w:rPr>
                <w:b/>
              </w:rPr>
              <w:t>92.3% of CEO compensation was performance-based and at-risk</w:t>
            </w:r>
            <w:r>
              <w:rPr/>
              <w:t xml:space="preserve"> </w:t>
            </w:r>
            <w:r>
              <mc:AlternateContent>
                <mc:Choice Requires="wps">
                  <w:drawing>
                    <wp:anchor behindDoc="0" distT="177800" distB="0" distL="63500" distR="0" simplePos="0" locked="0" layoutInCell="1" allowOverlap="1" relativeHeight="706">
                      <wp:simplePos x="0" y="0"/>
                      <wp:positionH relativeFrom="column">
                        <wp:align>left</wp:align>
                      </wp:positionH>
                      <wp:positionV relativeFrom="line">
                        <wp:align>top</wp:align>
                      </wp:positionV>
                      <wp:extent cx="152400" cy="525780"/>
                      <wp:effectExtent l="0" t="0" r="0" b="0"/>
                      <wp:wrapSquare wrapText="right"/>
                      <wp:docPr id="722" name="Frame394"/>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180" w:before="0" w:after="283"/>
                                    <w:jc w:val="left"/>
                                    <w:rPr/>
                                  </w:pPr>
                                  <w:r>
                                    <w:rPr>
                                      <w:color w:val="83AD4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41.4pt;mso-wrap-distance-left:5pt;mso-wrap-distance-right:0pt;mso-wrap-distance-top:14pt;mso-wrap-distance-bottom:0pt;margin-top:14pt;mso-position-vertical:top;mso-position-vertical-relative:text;margin-left:5pt;mso-position-horizontal:left;mso-position-horizontal-relative:text">
                      <v:textbox>
                        <w:txbxContent>
                          <w:p>
                            <w:pPr>
                              <w:pStyle w:val="TextBody"/>
                              <w:bidi w:val="0"/>
                              <w:spacing w:lineRule="atLeast" w:line="180" w:before="0" w:after="283"/>
                              <w:jc w:val="left"/>
                              <w:rPr/>
                            </w:pPr>
                            <w:r>
                              <w:rPr>
                                <w:color w:val="83AD4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320" w:right="0" w:hanging="0"/>
              <w:jc w:val="left"/>
              <w:rPr>
                <w:b/>
              </w:rPr>
            </w:pPr>
            <w:r>
              <w:rPr>
                <w:b/>
              </w:rPr>
              <w:t>84.5% of other NEO compensation was performance-based and at-risk (excluding our former President)</w:t>
            </w:r>
            <w:r>
              <mc:AlternateContent>
                <mc:Choice Requires="wps">
                  <w:drawing>
                    <wp:anchor behindDoc="0" distT="63500" distB="0" distL="50800" distR="0" simplePos="0" locked="0" layoutInCell="1" allowOverlap="1" relativeHeight="707">
                      <wp:simplePos x="0" y="0"/>
                      <wp:positionH relativeFrom="column">
                        <wp:align>left</wp:align>
                      </wp:positionH>
                      <wp:positionV relativeFrom="line">
                        <wp:align>top</wp:align>
                      </wp:positionV>
                      <wp:extent cx="152400" cy="525780"/>
                      <wp:effectExtent l="0" t="0" r="0" b="0"/>
                      <wp:wrapSquare wrapText="right"/>
                      <wp:docPr id="723" name="Frame395"/>
                      <a:graphic xmlns:a="http://schemas.openxmlformats.org/drawingml/2006/main">
                        <a:graphicData uri="http://schemas.microsoft.com/office/word/2010/wordprocessingShape">
                          <wps:wsp>
                            <wps:cNvSpPr txBox="1"/>
                            <wps:spPr>
                              <a:xfrm>
                                <a:off x="0" y="0"/>
                                <a:ext cx="152400" cy="525780"/>
                              </a:xfrm>
                              <a:prstGeom prst="rect"/>
                              <a:solidFill>
                                <a:srgbClr val="FFFFFF"/>
                              </a:solidFill>
                            </wps:spPr>
                            <wps:txbx>
                              <w:txbxContent>
                                <w:p>
                                  <w:pPr>
                                    <w:pStyle w:val="TextBody"/>
                                    <w:bidi w:val="0"/>
                                    <w:spacing w:lineRule="atLeast" w:line="220" w:before="0" w:after="283"/>
                                    <w:jc w:val="left"/>
                                    <w:rPr/>
                                  </w:pPr>
                                  <w:r>
                                    <w:rPr>
                                      <w:color w:val="83AD4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12pt;height:41.4pt;mso-wrap-distance-left:4pt;mso-wrap-distance-right:0pt;mso-wrap-distance-top:5pt;mso-wrap-distance-bottom:0pt;margin-top:5pt;mso-position-vertical:top;mso-position-vertical-relative:text;margin-left:21pt;mso-position-horizontal:left;mso-position-horizontal-relative:text">
                      <v:textbox>
                        <w:txbxContent>
                          <w:p>
                            <w:pPr>
                              <w:pStyle w:val="TextBody"/>
                              <w:bidi w:val="0"/>
                              <w:spacing w:lineRule="atLeast" w:line="220" w:before="0" w:after="283"/>
                              <w:jc w:val="left"/>
                              <w:rPr/>
                            </w:pPr>
                            <w:r>
                              <w:rPr>
                                <w:color w:val="83AD40"/>
                                <w:spacing w:val="-2"/>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280" w:after="283"/>
              <w:ind w:left="100" w:right="0" w:hanging="0"/>
              <w:jc w:val="left"/>
              <w:rPr>
                <w:color w:val="000000"/>
                <w:spacing w:val="-2"/>
              </w:rPr>
            </w:pPr>
            <w:r>
              <w:rPr>
                <w:color w:val="000000"/>
                <w:spacing w:val="-2"/>
              </w:rPr>
              <w:t xml:space="preserve">This design allows the Committee to reward superior performance, while the substantial long-term equity incentive portions of our compensation programs serve to align the interests of our named executive officers with those of our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47" w:type="dxa"/>
            <w:tcBorders>
              <w:bottom w:val="single" w:sz="2" w:space="0" w:color="4B5088"/>
            </w:tcBorders>
            <w:tcMar>
              <w:bottom w:w="37" w:type="dxa"/>
            </w:tcMar>
            <w:vAlign w:val="center"/>
          </w:tcPr>
          <w:p>
            <w:pPr>
              <w:pStyle w:val="TableContents"/>
              <w:bidi w:val="0"/>
              <w:spacing w:before="0" w:after="0"/>
              <w:ind w:left="100" w:right="0" w:hanging="0"/>
              <w:jc w:val="left"/>
              <w:rPr>
                <w:b/>
                <w:color w:val="1F2668"/>
              </w:rPr>
            </w:pPr>
            <w:r>
              <w:rPr>
                <w:b/>
                <w:color w:val="1F2668"/>
              </w:rPr>
              <w:t>Performance Metrics Reflect Complexities of Our Business</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61" w:type="dxa"/>
            <w:tcBorders>
              <w:bottom w:val="single" w:sz="2" w:space="0" w:color="4B5088"/>
            </w:tcBorders>
            <w:tcMar>
              <w:bottom w:w="37" w:type="dxa"/>
            </w:tcMar>
            <w:vAlign w:val="center"/>
          </w:tcPr>
          <w:p>
            <w:pPr>
              <w:pStyle w:val="TableContents"/>
              <w:bidi w:val="0"/>
              <w:spacing w:before="0" w:after="0"/>
              <w:ind w:left="100" w:right="0" w:hanging="0"/>
              <w:jc w:val="left"/>
              <w:rPr>
                <w:spacing w:val="-2"/>
              </w:rPr>
            </w:pPr>
            <w:r>
              <w:rPr>
                <w:spacing w:val="-2"/>
              </w:rPr>
              <w:t xml:space="preserve">The Committee has carefully selected performance criteria across not just a range of financial and corporate goals but also a range of performance periods. In aggregate, these criteria aim to account for the complexities of operating our business over both the short-term and the long-term.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8" w:space="0" w:color="1F2668"/>
            </w:tcBorders>
            <w:vAlign w:val="center"/>
          </w:tcPr>
          <w:p>
            <w:pPr>
              <w:pStyle w:val="TableContents"/>
              <w:bidi w:val="0"/>
              <w:spacing w:before="0" w:after="283"/>
              <w:jc w:val="left"/>
              <w:rPr/>
            </w:pPr>
            <w:r>
              <w:rPr/>
              <w:t>​</w:t>
            </w:r>
          </w:p>
        </w:tc>
        <w:tc>
          <w:tcPr>
            <w:tcW w:w="2547" w:type="dxa"/>
            <w:tcBorders>
              <w:bottom w:val="single" w:sz="8" w:space="0" w:color="1F2668"/>
            </w:tcBorders>
            <w:tcMar>
              <w:bottom w:w="37" w:type="dxa"/>
            </w:tcMar>
            <w:vAlign w:val="center"/>
          </w:tcPr>
          <w:p>
            <w:pPr>
              <w:pStyle w:val="TableContents"/>
              <w:bidi w:val="0"/>
              <w:spacing w:before="0" w:after="0"/>
              <w:ind w:left="100" w:right="0" w:hanging="0"/>
              <w:jc w:val="left"/>
              <w:rPr>
                <w:b/>
                <w:color w:val="1F2668"/>
              </w:rPr>
            </w:pPr>
            <w:r>
              <w:rPr>
                <w:b/>
                <w:color w:val="1F2668"/>
              </w:rPr>
              <w:t>No One-Size-Fits-All Solution</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6261" w:type="dxa"/>
            <w:tcBorders>
              <w:bottom w:val="single" w:sz="8" w:space="0" w:color="1F2668"/>
            </w:tcBorders>
            <w:tcMar>
              <w:bottom w:w="37" w:type="dxa"/>
            </w:tcMar>
            <w:vAlign w:val="center"/>
          </w:tcPr>
          <w:p>
            <w:pPr>
              <w:pStyle w:val="TableContents"/>
              <w:bidi w:val="0"/>
              <w:spacing w:before="0" w:after="0"/>
              <w:ind w:left="100" w:right="0" w:hanging="0"/>
              <w:jc w:val="left"/>
              <w:rPr/>
            </w:pPr>
            <w:r>
              <w:rPr>
                <w:spacing w:val="-2"/>
              </w:rPr>
              <w:t>While establishing performance goals, the Committee has designed incentives that incentivize our executive officers to strive for excellence no matter the time horizon.</w:t>
            </w:r>
            <w:r>
              <w:rPr/>
              <w:t xml:space="preserve"> </w:t>
            </w:r>
          </w:p>
          <w:p>
            <w:pPr>
              <w:pStyle w:val="TableContents"/>
              <w:bidi w:val="0"/>
              <w:spacing w:before="240" w:after="283"/>
              <w:ind w:left="100" w:right="0" w:hanging="0"/>
              <w:jc w:val="left"/>
              <w:rPr/>
            </w:pPr>
            <w:r>
              <w:rPr>
                <w:spacing w:val="-2"/>
              </w:rPr>
              <w:t>This is accomplished by rationally linking the sum of the component parts of our compensation structure not just to the way our executive officers think about our business but also to the way that our stockholders think about value.</w:t>
            </w:r>
            <w:r>
              <w:rPr/>
              <w:t xml:space="preserve"> </w:t>
            </w:r>
          </w:p>
        </w:tc>
        <w:tc>
          <w:tcPr>
            <w:tcW w:w="155" w:type="dxa"/>
            <w:tcBorders>
              <w:bottom w:val="single" w:sz="8" w:space="0" w:color="1F2668"/>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124"/>
        <w:gridCol w:w="1156"/>
        <w:gridCol w:w="109"/>
        <w:gridCol w:w="109"/>
        <w:gridCol w:w="1707"/>
        <w:gridCol w:w="109"/>
        <w:gridCol w:w="109"/>
        <w:gridCol w:w="1956"/>
        <w:gridCol w:w="109"/>
        <w:gridCol w:w="109"/>
        <w:gridCol w:w="3552"/>
        <w:gridCol w:w="156"/>
      </w:tblGrid>
      <w:tr>
        <w:trPr/>
        <w:tc>
          <w:tcPr>
            <w:tcW w:w="124" w:type="dxa"/>
            <w:tcBorders>
              <w:bottom w:val="single" w:sz="2" w:space="0" w:color="1F2668"/>
            </w:tcBorders>
            <w:vAlign w:val="center"/>
          </w:tcPr>
          <w:p>
            <w:pPr>
              <w:pStyle w:val="TableContents"/>
              <w:bidi w:val="0"/>
              <w:spacing w:before="0" w:after="283"/>
              <w:jc w:val="left"/>
              <w:rPr/>
            </w:pPr>
            <w:r>
              <w:rPr/>
              <w:t>​</w:t>
            </w:r>
          </w:p>
        </w:tc>
        <w:tc>
          <w:tcPr>
            <w:tcW w:w="1156" w:type="dxa"/>
            <w:tcBorders>
              <w:bottom w:val="single" w:sz="2" w:space="0" w:color="1F2668"/>
            </w:tcBorders>
            <w:tcMar>
              <w:bottom w:w="43" w:type="dxa"/>
            </w:tcMar>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707" w:type="dxa"/>
            <w:tcBorders>
              <w:bottom w:val="single" w:sz="2" w:space="0" w:color="1F2668"/>
            </w:tcBorders>
            <w:tcMar>
              <w:bottom w:w="43" w:type="dxa"/>
            </w:tcMar>
            <w:vAlign w:val="center"/>
          </w:tcPr>
          <w:p>
            <w:pPr>
              <w:pStyle w:val="TableContents"/>
              <w:bidi w:val="0"/>
              <w:spacing w:before="0" w:after="0"/>
              <w:jc w:val="left"/>
              <w:rPr/>
            </w:pPr>
            <w:r>
              <w:rPr/>
              <w:t xml:space="preserve">Annual Bonus </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1956" w:type="dxa"/>
            <w:tcBorders>
              <w:bottom w:val="single" w:sz="2" w:space="0" w:color="1F2668"/>
            </w:tcBorders>
            <w:tcMar>
              <w:bottom w:w="43" w:type="dxa"/>
            </w:tcMar>
            <w:vAlign w:val="center"/>
          </w:tcPr>
          <w:p>
            <w:pPr>
              <w:pStyle w:val="TableContents"/>
              <w:bidi w:val="0"/>
              <w:spacing w:before="0" w:after="283"/>
              <w:jc w:val="left"/>
              <w:rPr/>
            </w:pPr>
            <w:r>
              <w:rPr/>
              <w:t>Annual Equity Awards</w:t>
              <w:br/>
              <w:t xml:space="preserve">(Operational Component) </w:t>
            </w:r>
          </w:p>
        </w:tc>
        <w:tc>
          <w:tcPr>
            <w:tcW w:w="10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1F2668"/>
            </w:tcBorders>
            <w:vAlign w:val="center"/>
          </w:tcPr>
          <w:p>
            <w:pPr>
              <w:pStyle w:val="TableContents"/>
              <w:bidi w:val="0"/>
              <w:spacing w:before="0" w:after="283"/>
              <w:jc w:val="left"/>
              <w:rPr/>
            </w:pPr>
            <w:r>
              <w:rPr/>
              <w:t>​</w:t>
            </w:r>
          </w:p>
        </w:tc>
        <w:tc>
          <w:tcPr>
            <w:tcW w:w="3552" w:type="dxa"/>
            <w:tcBorders>
              <w:bottom w:val="single" w:sz="2" w:space="0" w:color="1F2668"/>
            </w:tcBorders>
            <w:tcMar>
              <w:bottom w:w="43" w:type="dxa"/>
            </w:tcMar>
            <w:vAlign w:val="center"/>
          </w:tcPr>
          <w:p>
            <w:pPr>
              <w:pStyle w:val="TableContents"/>
              <w:bidi w:val="0"/>
              <w:spacing w:before="0" w:after="283"/>
              <w:jc w:val="left"/>
              <w:rPr/>
            </w:pPr>
            <w:r>
              <w:rPr/>
              <w:t>Annual Equity Awards</w:t>
              <w:br/>
              <w:t xml:space="preserve">(Relative Component) </w:t>
            </w:r>
          </w:p>
        </w:tc>
        <w:tc>
          <w:tcPr>
            <w:tcW w:w="156" w:type="dxa"/>
            <w:tcBorders>
              <w:bottom w:val="single" w:sz="2"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vAlign w:val="center"/>
          </w:tcPr>
          <w:p>
            <w:pPr>
              <w:pStyle w:val="TableContents"/>
              <w:bidi w:val="0"/>
              <w:spacing w:before="0" w:after="283"/>
              <w:jc w:val="left"/>
              <w:rPr/>
            </w:pPr>
            <w:r>
              <w:rPr/>
              <w:t>​</w:t>
            </w:r>
          </w:p>
        </w:tc>
        <w:tc>
          <w:tcPr>
            <w:tcW w:w="1156" w:type="dxa"/>
            <w:tcBorders>
              <w:bottom w:val="single" w:sz="2" w:space="0" w:color="4B5088"/>
            </w:tcBorders>
            <w:tcMar>
              <w:bottom w:w="50" w:type="dxa"/>
            </w:tcMar>
            <w:vAlign w:val="center"/>
          </w:tcPr>
          <w:p>
            <w:pPr>
              <w:pStyle w:val="TableContents"/>
              <w:bidi w:val="0"/>
              <w:spacing w:before="0" w:after="0"/>
              <w:jc w:val="left"/>
              <w:rPr>
                <w:b/>
                <w:color w:val="1F2668"/>
              </w:rPr>
            </w:pPr>
            <w:r>
              <w:rPr>
                <w:b/>
                <w:color w:val="1F2668"/>
              </w:rPr>
              <w:t>Period</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707" w:type="dxa"/>
            <w:tcBorders>
              <w:bottom w:val="single" w:sz="2" w:space="0" w:color="4B5088"/>
            </w:tcBorders>
            <w:tcMar>
              <w:bottom w:w="50" w:type="dxa"/>
            </w:tcMar>
            <w:vAlign w:val="center"/>
          </w:tcPr>
          <w:p>
            <w:pPr>
              <w:pStyle w:val="TableContents"/>
              <w:bidi w:val="0"/>
              <w:spacing w:before="0" w:after="283"/>
              <w:jc w:val="left"/>
              <w:rPr>
                <w:spacing w:val="-2"/>
              </w:rPr>
            </w:pPr>
            <w:r>
              <w:rPr>
                <w:spacing w:val="-2"/>
              </w:rPr>
              <w:t xml:space="preserve">One year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956" w:type="dxa"/>
            <w:tcBorders>
              <w:bottom w:val="single" w:sz="2" w:space="0" w:color="4B5088"/>
            </w:tcBorders>
            <w:tcMar>
              <w:bottom w:w="50" w:type="dxa"/>
            </w:tcMar>
            <w:vAlign w:val="center"/>
          </w:tcPr>
          <w:p>
            <w:pPr>
              <w:pStyle w:val="TableContents"/>
              <w:bidi w:val="0"/>
              <w:spacing w:before="0" w:after="0"/>
              <w:jc w:val="left"/>
              <w:rPr>
                <w:spacing w:val="-2"/>
              </w:rPr>
            </w:pPr>
            <w:r>
              <w:rPr>
                <w:spacing w:val="-2"/>
              </w:rPr>
              <w:t xml:space="preserve">One year with three-year modifier </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552" w:type="dxa"/>
            <w:tcBorders>
              <w:bottom w:val="single" w:sz="2" w:space="0" w:color="4B5088"/>
            </w:tcBorders>
            <w:tcMar>
              <w:bottom w:w="50" w:type="dxa"/>
            </w:tcMar>
            <w:vAlign w:val="center"/>
          </w:tcPr>
          <w:p>
            <w:pPr>
              <w:pStyle w:val="TableContents"/>
              <w:bidi w:val="0"/>
              <w:spacing w:before="0" w:after="283"/>
              <w:jc w:val="left"/>
              <w:rPr>
                <w:spacing w:val="-2"/>
              </w:rPr>
            </w:pPr>
            <w:r>
              <w:rPr>
                <w:spacing w:val="-2"/>
              </w:rPr>
              <w:t xml:space="preserve">Three years </w:t>
            </w:r>
          </w:p>
        </w:tc>
        <w:tc>
          <w:tcPr>
            <w:tcW w:w="156"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vAlign w:val="center"/>
          </w:tcPr>
          <w:p>
            <w:pPr>
              <w:pStyle w:val="TableContents"/>
              <w:bidi w:val="0"/>
              <w:spacing w:before="0" w:after="283"/>
              <w:jc w:val="left"/>
              <w:rPr/>
            </w:pPr>
            <w:r>
              <w:rPr/>
              <w:t>​</w:t>
            </w:r>
          </w:p>
        </w:tc>
        <w:tc>
          <w:tcPr>
            <w:tcW w:w="1156" w:type="dxa"/>
            <w:tcBorders>
              <w:bottom w:val="single" w:sz="2" w:space="0" w:color="4B5088"/>
            </w:tcBorders>
            <w:tcMar>
              <w:bottom w:w="50" w:type="dxa"/>
            </w:tcMar>
            <w:vAlign w:val="center"/>
          </w:tcPr>
          <w:p>
            <w:pPr>
              <w:pStyle w:val="TableContents"/>
              <w:bidi w:val="0"/>
              <w:spacing w:before="0" w:after="0"/>
              <w:jc w:val="left"/>
              <w:rPr>
                <w:b/>
                <w:color w:val="1F2668"/>
              </w:rPr>
            </w:pPr>
            <w:r>
              <w:rPr>
                <w:b/>
                <w:color w:val="1F2668"/>
              </w:rPr>
              <w:t>Objectives</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707" w:type="dxa"/>
            <w:tcBorders>
              <w:bottom w:val="single" w:sz="2" w:space="0" w:color="4B5088"/>
            </w:tcBorders>
            <w:tcMar>
              <w:bottom w:w="50" w:type="dxa"/>
            </w:tcMar>
            <w:vAlign w:val="center"/>
          </w:tcPr>
          <w:p>
            <w:pPr>
              <w:pStyle w:val="TableContents"/>
              <w:bidi w:val="0"/>
              <w:spacing w:lineRule="atLeast" w:line="180" w:before="0" w:after="0"/>
              <w:ind w:left="180" w:right="0" w:hanging="0"/>
              <w:jc w:val="left"/>
              <w:rPr/>
            </w:pPr>
            <w:r>
              <w:rPr>
                <w:spacing w:val="-2"/>
              </w:rPr>
              <w:t>Normalized FFO per share</w:t>
            </w:r>
            <w:r>
              <w:rPr/>
              <w:t xml:space="preserve"> </w:t>
            </w:r>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114300" cy="350520"/>
                      <wp:effectExtent l="0" t="0" r="0" b="0"/>
                      <wp:wrapSquare wrapText="right"/>
                      <wp:docPr id="724" name="Frame3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Annual same-store cash NOI growth</w:t>
            </w:r>
            <w:r>
              <w:rPr/>
              <w:t xml:space="preserve"> </w:t>
            </w:r>
            <w:r>
              <mc:AlternateContent>
                <mc:Choice Requires="wps">
                  <w:drawing>
                    <wp:anchor behindDoc="0" distT="63500" distB="0" distL="0" distR="0" simplePos="0" locked="0" layoutInCell="1" allowOverlap="1" relativeHeight="709">
                      <wp:simplePos x="0" y="0"/>
                      <wp:positionH relativeFrom="column">
                        <wp:align>left</wp:align>
                      </wp:positionH>
                      <wp:positionV relativeFrom="line">
                        <wp:align>top</wp:align>
                      </wp:positionV>
                      <wp:extent cx="114300" cy="350520"/>
                      <wp:effectExtent l="0" t="0" r="0" b="0"/>
                      <wp:wrapSquare wrapText="right"/>
                      <wp:docPr id="725" name="Frame3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Dividend growth</w:t>
            </w:r>
            <w:r>
              <w:rPr/>
              <w:t xml:space="preserve"> </w:t>
            </w:r>
            <w:r>
              <mc:AlternateContent>
                <mc:Choice Requires="wps">
                  <w:drawing>
                    <wp:anchor behindDoc="0" distT="63500" distB="0" distL="0" distR="0" simplePos="0" locked="0" layoutInCell="1" allowOverlap="1" relativeHeight="710">
                      <wp:simplePos x="0" y="0"/>
                      <wp:positionH relativeFrom="column">
                        <wp:align>left</wp:align>
                      </wp:positionH>
                      <wp:positionV relativeFrom="line">
                        <wp:align>top</wp:align>
                      </wp:positionV>
                      <wp:extent cx="114300" cy="350520"/>
                      <wp:effectExtent l="0" t="0" r="0" b="0"/>
                      <wp:wrapSquare wrapText="right"/>
                      <wp:docPr id="726" name="Frame3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G&amp;A expense</w:t>
            </w:r>
            <w:r>
              <w:rPr/>
              <w:t xml:space="preserve"> </w:t>
            </w:r>
            <w:r>
              <mc:AlternateContent>
                <mc:Choice Requires="wps">
                  <w:drawing>
                    <wp:anchor behindDoc="0" distT="63500" distB="0" distL="0" distR="0" simplePos="0" locked="0" layoutInCell="1" allowOverlap="1" relativeHeight="711">
                      <wp:simplePos x="0" y="0"/>
                      <wp:positionH relativeFrom="column">
                        <wp:align>left</wp:align>
                      </wp:positionH>
                      <wp:positionV relativeFrom="line">
                        <wp:align>top</wp:align>
                      </wp:positionV>
                      <wp:extent cx="114300" cy="350520"/>
                      <wp:effectExtent l="0" t="0" r="0" b="0"/>
                      <wp:wrapSquare wrapText="right"/>
                      <wp:docPr id="727" name="Frame3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One Madison TCO </w:t>
            </w:r>
            <w:r>
              <mc:AlternateContent>
                <mc:Choice Requires="wps">
                  <w:drawing>
                    <wp:anchor behindDoc="0" distT="63500" distB="0" distL="0" distR="0" simplePos="0" locked="0" layoutInCell="1" allowOverlap="1" relativeHeight="712">
                      <wp:simplePos x="0" y="0"/>
                      <wp:positionH relativeFrom="column">
                        <wp:align>left</wp:align>
                      </wp:positionH>
                      <wp:positionV relativeFrom="line">
                        <wp:align>top</wp:align>
                      </wp:positionV>
                      <wp:extent cx="114300" cy="350520"/>
                      <wp:effectExtent l="0" t="0" r="0" b="0"/>
                      <wp:wrapSquare wrapText="right"/>
                      <wp:docPr id="728" name="Frame4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956" w:type="dxa"/>
            <w:tcBorders>
              <w:bottom w:val="single" w:sz="2" w:space="0" w:color="4B5088"/>
            </w:tcBorders>
            <w:tcMar>
              <w:bottom w:w="50" w:type="dxa"/>
            </w:tcMar>
            <w:vAlign w:val="center"/>
          </w:tcPr>
          <w:p>
            <w:pPr>
              <w:pStyle w:val="TableContents"/>
              <w:bidi w:val="0"/>
              <w:spacing w:lineRule="atLeast" w:line="220" w:before="0" w:after="0"/>
              <w:ind w:left="180" w:right="0" w:hanging="0"/>
              <w:jc w:val="left"/>
              <w:rPr/>
            </w:pPr>
            <w:r>
              <w:rPr>
                <w:spacing w:val="-2"/>
              </w:rPr>
              <w:t>Normalized funds available for distribution</w:t>
            </w:r>
            <w:r>
              <w:rPr/>
              <w:t xml:space="preserve"> </w:t>
            </w:r>
            <w:r>
              <mc:AlternateContent>
                <mc:Choice Requires="wps">
                  <w:drawing>
                    <wp:anchor behindDoc="0" distT="0" distB="0" distL="0" distR="0" simplePos="0" locked="0" layoutInCell="1" allowOverlap="1" relativeHeight="713">
                      <wp:simplePos x="0" y="0"/>
                      <wp:positionH relativeFrom="column">
                        <wp:align>left</wp:align>
                      </wp:positionH>
                      <wp:positionV relativeFrom="line">
                        <wp:posOffset>635</wp:posOffset>
                      </wp:positionV>
                      <wp:extent cx="114300" cy="350520"/>
                      <wp:effectExtent l="0" t="0" r="0" b="0"/>
                      <wp:wrapSquare wrapText="right"/>
                      <wp:docPr id="729" name="Frame4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Combined Net Debt Reduction</w:t>
            </w:r>
            <w:r>
              <w:rPr/>
              <w:t xml:space="preserve"> </w:t>
            </w:r>
            <w:r>
              <mc:AlternateContent>
                <mc:Choice Requires="wps">
                  <w:drawing>
                    <wp:anchor behindDoc="0" distT="63500" distB="0" distL="0" distR="0" simplePos="0" locked="0" layoutInCell="1" allowOverlap="1" relativeHeight="714">
                      <wp:simplePos x="0" y="0"/>
                      <wp:positionH relativeFrom="column">
                        <wp:align>left</wp:align>
                      </wp:positionH>
                      <wp:positionV relativeFrom="line">
                        <wp:align>top</wp:align>
                      </wp:positionV>
                      <wp:extent cx="114300" cy="350520"/>
                      <wp:effectExtent l="0" t="0" r="0" b="0"/>
                      <wp:wrapSquare wrapText="right"/>
                      <wp:docPr id="730" name="Frame4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Manhattan same store office leased occupancy</w:t>
            </w:r>
            <w:r>
              <w:rPr/>
              <w:t xml:space="preserve"> </w:t>
            </w:r>
            <w:r>
              <mc:AlternateContent>
                <mc:Choice Requires="wps">
                  <w:drawing>
                    <wp:anchor behindDoc="0" distT="63500" distB="0" distL="0" distR="0" simplePos="0" locked="0" layoutInCell="1" allowOverlap="1" relativeHeight="715">
                      <wp:simplePos x="0" y="0"/>
                      <wp:positionH relativeFrom="column">
                        <wp:align>left</wp:align>
                      </wp:positionH>
                      <wp:positionV relativeFrom="line">
                        <wp:align>top</wp:align>
                      </wp:positionV>
                      <wp:extent cx="114300" cy="350520"/>
                      <wp:effectExtent l="0" t="0" r="0" b="0"/>
                      <wp:wrapSquare wrapText="right"/>
                      <wp:docPr id="731" name="Frame4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Manhattan office leasing volume</w:t>
            </w:r>
            <w:r>
              <w:rPr/>
              <w:t xml:space="preserve"> </w:t>
            </w:r>
            <w:r>
              <mc:AlternateContent>
                <mc:Choice Requires="wps">
                  <w:drawing>
                    <wp:anchor behindDoc="0" distT="63500" distB="0" distL="0" distR="0" simplePos="0" locked="0" layoutInCell="1" allowOverlap="1" relativeHeight="716">
                      <wp:simplePos x="0" y="0"/>
                      <wp:positionH relativeFrom="column">
                        <wp:align>left</wp:align>
                      </wp:positionH>
                      <wp:positionV relativeFrom="line">
                        <wp:align>top</wp:align>
                      </wp:positionV>
                      <wp:extent cx="114300" cy="350520"/>
                      <wp:effectExtent l="0" t="0" r="0" b="0"/>
                      <wp:wrapSquare wrapText="right"/>
                      <wp:docPr id="732" name="Frame4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2"/>
              </w:rPr>
              <w:t>Liquidity</w:t>
            </w:r>
            <w:r>
              <w:rPr/>
              <w:t xml:space="preserve"> </w:t>
            </w:r>
            <w:r>
              <mc:AlternateContent>
                <mc:Choice Requires="wps">
                  <w:drawing>
                    <wp:anchor behindDoc="0" distT="63500" distB="0" distL="0" distR="0" simplePos="0" locked="0" layoutInCell="1" allowOverlap="1" relativeHeight="717">
                      <wp:simplePos x="0" y="0"/>
                      <wp:positionH relativeFrom="column">
                        <wp:align>left</wp:align>
                      </wp:positionH>
                      <wp:positionV relativeFrom="line">
                        <wp:align>top</wp:align>
                      </wp:positionV>
                      <wp:extent cx="114300" cy="350520"/>
                      <wp:effectExtent l="0" t="0" r="0" b="0"/>
                      <wp:wrapSquare wrapText="right"/>
                      <wp:docPr id="733" name="Frame4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Absolute TSR (three-year modifier) </w:t>
            </w:r>
            <w:r>
              <mc:AlternateContent>
                <mc:Choice Requires="wps">
                  <w:drawing>
                    <wp:anchor behindDoc="0" distT="63500" distB="0" distL="0" distR="0" simplePos="0" locked="0" layoutInCell="1" allowOverlap="1" relativeHeight="718">
                      <wp:simplePos x="0" y="0"/>
                      <wp:positionH relativeFrom="column">
                        <wp:align>left</wp:align>
                      </wp:positionH>
                      <wp:positionV relativeFrom="line">
                        <wp:align>top</wp:align>
                      </wp:positionV>
                      <wp:extent cx="114300" cy="350520"/>
                      <wp:effectExtent l="0" t="0" r="0" b="0"/>
                      <wp:wrapSquare wrapText="right"/>
                      <wp:docPr id="734" name="Frame4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3552" w:type="dxa"/>
            <w:tcBorders>
              <w:bottom w:val="single" w:sz="2" w:space="0" w:color="4B5088"/>
            </w:tcBorders>
            <w:tcMar>
              <w:bottom w:w="50" w:type="dxa"/>
            </w:tcMar>
            <w:vAlign w:val="center"/>
          </w:tcPr>
          <w:p>
            <w:pPr>
              <w:pStyle w:val="TableContents"/>
              <w:bidi w:val="0"/>
              <w:spacing w:lineRule="atLeast" w:line="220" w:before="0" w:after="0"/>
              <w:ind w:left="180" w:right="0" w:hanging="0"/>
              <w:jc w:val="left"/>
              <w:rPr/>
            </w:pPr>
            <w:r>
              <w:rPr>
                <w:spacing w:val="-2"/>
              </w:rPr>
              <w:t>TSR relative to the constituents of an office REIT index</w:t>
            </w:r>
            <w:r>
              <w:rPr/>
              <w:t xml:space="preserve"> </w:t>
            </w:r>
            <w:r>
              <mc:AlternateContent>
                <mc:Choice Requires="wps">
                  <w:drawing>
                    <wp:anchor behindDoc="0" distT="0" distB="0" distL="0" distR="0" simplePos="0" locked="0" layoutInCell="1" allowOverlap="1" relativeHeight="719">
                      <wp:simplePos x="0" y="0"/>
                      <wp:positionH relativeFrom="column">
                        <wp:align>left</wp:align>
                      </wp:positionH>
                      <wp:positionV relativeFrom="line">
                        <wp:posOffset>635</wp:posOffset>
                      </wp:positionV>
                      <wp:extent cx="114300" cy="350520"/>
                      <wp:effectExtent l="0" t="0" r="0" b="0"/>
                      <wp:wrapSquare wrapText="right"/>
                      <wp:docPr id="735" name="Frame4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TSR relative to a group of NYC peers</w:t>
            </w:r>
            <w:r>
              <w:rPr/>
              <w:t xml:space="preserve"> </w:t>
            </w:r>
            <w:r>
              <mc:AlternateContent>
                <mc:Choice Requires="wps">
                  <w:drawing>
                    <wp:anchor behindDoc="0" distT="63500" distB="0" distL="0" distR="0" simplePos="0" locked="0" layoutInCell="1" allowOverlap="1" relativeHeight="720">
                      <wp:simplePos x="0" y="0"/>
                      <wp:positionH relativeFrom="column">
                        <wp:align>left</wp:align>
                      </wp:positionH>
                      <wp:positionV relativeFrom="line">
                        <wp:align>top</wp:align>
                      </wp:positionV>
                      <wp:extent cx="114300" cy="350520"/>
                      <wp:effectExtent l="0" t="0" r="0" b="0"/>
                      <wp:wrapSquare wrapText="right"/>
                      <wp:docPr id="736" name="Frame4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Subject, in each case, to a vesting cap at target if absolute TSR is negative over three-year period even if relative TSR outperforms peers</w:t>
            </w:r>
            <w:r>
              <w:rPr/>
              <w:t xml:space="preserve"> </w:t>
            </w:r>
            <w:r>
              <mc:AlternateContent>
                <mc:Choice Requires="wps">
                  <w:drawing>
                    <wp:anchor behindDoc="0" distT="63500" distB="0" distL="0" distR="0" simplePos="0" locked="0" layoutInCell="1" allowOverlap="1" relativeHeight="721">
                      <wp:simplePos x="0" y="0"/>
                      <wp:positionH relativeFrom="column">
                        <wp:align>left</wp:align>
                      </wp:positionH>
                      <wp:positionV relativeFrom="line">
                        <wp:align>top</wp:align>
                      </wp:positionV>
                      <wp:extent cx="114300" cy="350520"/>
                      <wp:effectExtent l="0" t="0" r="0" b="0"/>
                      <wp:wrapSquare wrapText="right"/>
                      <wp:docPr id="737" name="Frame4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4B5088"/>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575"/>
        <w:gridCol w:w="109"/>
        <w:gridCol w:w="109"/>
        <w:gridCol w:w="2276"/>
        <w:gridCol w:w="109"/>
        <w:gridCol w:w="109"/>
        <w:gridCol w:w="2450"/>
        <w:gridCol w:w="109"/>
        <w:gridCol w:w="109"/>
        <w:gridCol w:w="2276"/>
        <w:gridCol w:w="109"/>
        <w:gridCol w:w="109"/>
        <w:gridCol w:w="575"/>
        <w:gridCol w:w="157"/>
      </w:tblGrid>
      <w:tr>
        <w:trPr/>
        <w:tc>
          <w:tcPr>
            <w:tcW w:w="124"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0"/>
              <w:jc w:val="left"/>
              <w:rPr/>
            </w:pPr>
            <w:r>
              <w:rPr/>
              <w:drawing>
                <wp:inline distT="0" distB="0" distL="0" distR="0">
                  <wp:extent cx="295275" cy="561975"/>
                  <wp:effectExtent l="0" t="0" r="0" b="0"/>
                  <wp:docPr id="73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251" descr=""/>
                          <pic:cNvPicPr>
                            <a:picLocks noChangeAspect="1" noChangeArrowheads="1"/>
                          </pic:cNvPicPr>
                        </pic:nvPicPr>
                        <pic:blipFill>
                          <a:blip r:embed="rId336"/>
                          <a:stretch>
                            <a:fillRect/>
                          </a:stretch>
                        </pic:blipFill>
                        <pic:spPr bwMode="auto">
                          <a:xfrm>
                            <a:off x="0" y="0"/>
                            <a:ext cx="295275" cy="561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6" w:type="dxa"/>
            <w:tcBorders/>
            <w:tcMar>
              <w:top w:w="28" w:type="dxa"/>
              <w:left w:w="28" w:type="dxa"/>
              <w:bottom w:w="28" w:type="dxa"/>
              <w:right w:w="28" w:type="dxa"/>
            </w:tcMar>
            <w:vAlign w:val="center"/>
          </w:tcPr>
          <w:p>
            <w:pPr>
              <w:pStyle w:val="TableContents"/>
              <w:bidi w:val="0"/>
              <w:spacing w:lineRule="atLeast" w:line="220" w:before="0" w:after="0"/>
              <w:jc w:val="right"/>
              <w:rPr/>
            </w:pPr>
            <w:r>
              <w:rPr/>
              <w:t xml:space="preserve">Shorter Performance Period </w:t>
              <w:br/>
              <w:t xml:space="preserve">(performance metrics within </w:t>
              <w:br/>
              <w:t>management’s scope and visibility)</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50"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485900" cy="38100"/>
                  <wp:effectExtent l="0" t="0" r="0" b="0"/>
                  <wp:docPr id="73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252" descr=""/>
                          <pic:cNvPicPr>
                            <a:picLocks noChangeAspect="1" noChangeArrowheads="1"/>
                          </pic:cNvPicPr>
                        </pic:nvPicPr>
                        <pic:blipFill>
                          <a:blip r:embed="rId337"/>
                          <a:stretch>
                            <a:fillRect/>
                          </a:stretch>
                        </pic:blipFill>
                        <pic:spPr bwMode="auto">
                          <a:xfrm>
                            <a:off x="0" y="0"/>
                            <a:ext cx="1485900" cy="38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6" w:type="dxa"/>
            <w:tcBorders/>
            <w:tcMar>
              <w:top w:w="28" w:type="dxa"/>
              <w:left w:w="28" w:type="dxa"/>
              <w:bottom w:w="28" w:type="dxa"/>
              <w:right w:w="28" w:type="dxa"/>
            </w:tcMar>
            <w:vAlign w:val="center"/>
          </w:tcPr>
          <w:p>
            <w:pPr>
              <w:pStyle w:val="TableContents"/>
              <w:bidi w:val="0"/>
              <w:spacing w:lineRule="atLeast" w:line="220" w:before="0" w:after="0"/>
              <w:jc w:val="left"/>
              <w:rPr/>
            </w:pPr>
            <w:r>
              <w:rPr/>
              <w:t xml:space="preserve">Longer Performance Period </w:t>
              <w:br/>
              <w:t xml:space="preserve">(performance metrics that align with </w:t>
              <w:br/>
              <w:t xml:space="preserve">the creation of stockholder value)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5" w:type="dxa"/>
            <w:tcBorders/>
            <w:vAlign w:val="center"/>
          </w:tcPr>
          <w:p>
            <w:pPr>
              <w:pStyle w:val="TableContents"/>
              <w:bidi w:val="0"/>
              <w:spacing w:before="0" w:after="0"/>
              <w:jc w:val="left"/>
              <w:rPr/>
            </w:pPr>
            <w:r>
              <w:rPr/>
              <w:drawing>
                <wp:inline distT="0" distB="0" distL="0" distR="0">
                  <wp:extent cx="295275" cy="561975"/>
                  <wp:effectExtent l="0" t="0" r="0" b="0"/>
                  <wp:docPr id="74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253" descr=""/>
                          <pic:cNvPicPr>
                            <a:picLocks noChangeAspect="1" noChangeArrowheads="1"/>
                          </pic:cNvPicPr>
                        </pic:nvPicPr>
                        <pic:blipFill>
                          <a:blip r:embed="rId338"/>
                          <a:stretch>
                            <a:fillRect/>
                          </a:stretch>
                        </pic:blipFill>
                        <pic:spPr bwMode="auto">
                          <a:xfrm>
                            <a:off x="0" y="0"/>
                            <a:ext cx="295275" cy="561975"/>
                          </a:xfrm>
                          <a:prstGeom prst="rect">
                            <a:avLst/>
                          </a:prstGeom>
                        </pic:spPr>
                      </pic:pic>
                    </a:graphicData>
                  </a:graphic>
                </wp:inline>
              </w:drawing>
            </w:r>
            <w:r>
              <w:rPr/>
              <w:t xml:space="preserve"> </w:t>
            </w:r>
          </w:p>
        </w:tc>
        <w:tc>
          <w:tcPr>
            <w:tcW w:w="157"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In the aggregate, </w:t>
            </w:r>
            <w:r>
              <w:rPr>
                <w:b/>
              </w:rPr>
              <w:t>our compensation program is heavily weighted towards at-risk and performance-based compensation with rigorous performance targets</w:t>
            </w:r>
            <w:r>
              <w:rPr>
                <w:spacing w:val="-2"/>
              </w:rPr>
              <w:t xml:space="preserve">, most of which is in the form of equity and subject to vesting </w:t>
              <w:br/>
              <w:t>over a three-year period. We utilize a blend of performance periods in our compensation program that maintains this overall long-term focus while also accounting for the challenges we face in forecasting for periods greater than 12 months. The aggressive recycling and deployment of capital through opportunistic acquisitions and dispositions, together with our focus on transformational development projects like One Vanderbilt Avenue and One Madison Avenue, make it difficult to project and incentivize long-term financial and operating results.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RIGOROUS METHODOLOGY FOR SETTING PERFORMANCE GOALS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Each year, the Committee, in consultation with management and other advisors, takes the same four step approach to establishing our performance goals and administering our performance-based equity programs. The methodical process through which we establish performance goals is strong evidence of our focus on building a culture of alignment and accountability for our management team. This alignment is achieved year after year in the context of a rigorous process that connects internal budgeting, external guidance and compensation opportunities.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t>The Committee does not look to comparisons of forward-looking performance goals versus prior year goals or results as part of this process.</w:t>
            </w:r>
          </w:p>
        </w:tc>
        <w:tc>
          <w:tcPr>
            <w:tcW w:w="154" w:type="dxa"/>
            <w:tcBorders/>
            <w:shd w:fill="E9F9D8" w:val="cle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450"/>
        <w:gridCol w:w="109"/>
        <w:gridCol w:w="109"/>
        <w:gridCol w:w="109"/>
        <w:gridCol w:w="984"/>
        <w:gridCol w:w="109"/>
        <w:gridCol w:w="109"/>
        <w:gridCol w:w="109"/>
        <w:gridCol w:w="454"/>
        <w:gridCol w:w="110"/>
        <w:gridCol w:w="110"/>
        <w:gridCol w:w="110"/>
        <w:gridCol w:w="1160"/>
        <w:gridCol w:w="109"/>
        <w:gridCol w:w="109"/>
        <w:gridCol w:w="109"/>
        <w:gridCol w:w="454"/>
        <w:gridCol w:w="110"/>
        <w:gridCol w:w="110"/>
        <w:gridCol w:w="110"/>
        <w:gridCol w:w="1449"/>
        <w:gridCol w:w="109"/>
        <w:gridCol w:w="109"/>
        <w:gridCol w:w="109"/>
        <w:gridCol w:w="457"/>
        <w:gridCol w:w="111"/>
        <w:gridCol w:w="111"/>
        <w:gridCol w:w="111"/>
        <w:gridCol w:w="1304"/>
        <w:gridCol w:w="168"/>
      </w:tblGrid>
      <w:tr>
        <w:trPr/>
        <w:tc>
          <w:tcPr>
            <w:tcW w:w="124" w:type="dxa"/>
            <w:tcBorders/>
            <w:vAlign w:val="center"/>
          </w:tcPr>
          <w:p>
            <w:pPr>
              <w:pStyle w:val="TableContents"/>
              <w:bidi w:val="0"/>
              <w:spacing w:before="0" w:after="283"/>
              <w:jc w:val="left"/>
              <w:rPr/>
            </w:pPr>
            <w:r>
              <w:rPr/>
              <w:t>​</w:t>
            </w:r>
          </w:p>
        </w:tc>
        <w:tc>
          <w:tcPr>
            <w:tcW w:w="450" w:type="dxa"/>
            <w:tcBorders/>
            <w:vAlign w:val="center"/>
          </w:tcPr>
          <w:p>
            <w:pPr>
              <w:pStyle w:val="TableContents"/>
              <w:bidi w:val="0"/>
              <w:spacing w:before="0" w:after="0"/>
              <w:jc w:val="both"/>
              <w:rPr/>
            </w:pPr>
            <w:r>
              <w:rPr/>
              <w:drawing>
                <wp:inline distT="0" distB="0" distL="0" distR="0">
                  <wp:extent cx="228600" cy="238125"/>
                  <wp:effectExtent l="0" t="0" r="0" b="0"/>
                  <wp:docPr id="741"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254" descr=""/>
                          <pic:cNvPicPr>
                            <a:picLocks noChangeAspect="1" noChangeArrowheads="1"/>
                          </pic:cNvPicPr>
                        </pic:nvPicPr>
                        <pic:blipFill>
                          <a:blip r:embed="rId339"/>
                          <a:stretch>
                            <a:fillRect/>
                          </a:stretch>
                        </pic:blipFill>
                        <pic:spPr bwMode="auto">
                          <a:xfrm>
                            <a:off x="0" y="0"/>
                            <a:ext cx="228600" cy="238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84" w:type="dxa"/>
            <w:tcBorders/>
            <w:vAlign w:val="center"/>
          </w:tcPr>
          <w:p>
            <w:pPr>
              <w:pStyle w:val="TableContents"/>
              <w:bidi w:val="0"/>
              <w:spacing w:lineRule="atLeast" w:line="260" w:before="0" w:after="0"/>
              <w:jc w:val="left"/>
              <w:rPr/>
            </w:pPr>
            <w:r>
              <w:rPr/>
              <w:t>ASSESS</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4" w:type="dxa"/>
            <w:tcBorders/>
            <w:vAlign w:val="center"/>
          </w:tcPr>
          <w:p>
            <w:pPr>
              <w:pStyle w:val="TableContents"/>
              <w:bidi w:val="0"/>
              <w:spacing w:before="0" w:after="0"/>
              <w:jc w:val="both"/>
              <w:rPr/>
            </w:pPr>
            <w:r>
              <w:rPr/>
              <w:drawing>
                <wp:inline distT="0" distB="0" distL="0" distR="0">
                  <wp:extent cx="228600" cy="238125"/>
                  <wp:effectExtent l="0" t="0" r="0" b="0"/>
                  <wp:docPr id="742"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255" descr=""/>
                          <pic:cNvPicPr>
                            <a:picLocks noChangeAspect="1" noChangeArrowheads="1"/>
                          </pic:cNvPicPr>
                        </pic:nvPicPr>
                        <pic:blipFill>
                          <a:blip r:embed="rId340"/>
                          <a:stretch>
                            <a:fillRect/>
                          </a:stretch>
                        </pic:blipFill>
                        <pic:spPr bwMode="auto">
                          <a:xfrm>
                            <a:off x="0" y="0"/>
                            <a:ext cx="228600" cy="238125"/>
                          </a:xfrm>
                          <a:prstGeom prst="rect">
                            <a:avLst/>
                          </a:prstGeom>
                        </pic:spPr>
                      </pic:pic>
                    </a:graphicData>
                  </a:graphic>
                </wp:inline>
              </w:drawing>
            </w:r>
            <w:r>
              <w:rPr/>
              <w:t xml:space="preserv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lineRule="atLeast" w:line="260" w:before="0" w:after="0"/>
              <w:jc w:val="left"/>
              <w:rPr/>
            </w:pPr>
            <w:r>
              <w:rPr/>
              <w:t>PROJECT</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4" w:type="dxa"/>
            <w:tcBorders/>
            <w:vAlign w:val="center"/>
          </w:tcPr>
          <w:p>
            <w:pPr>
              <w:pStyle w:val="TableContents"/>
              <w:bidi w:val="0"/>
              <w:spacing w:before="0" w:after="0"/>
              <w:jc w:val="both"/>
              <w:rPr/>
            </w:pPr>
            <w:r>
              <w:rPr/>
              <w:drawing>
                <wp:inline distT="0" distB="0" distL="0" distR="0">
                  <wp:extent cx="228600" cy="238125"/>
                  <wp:effectExtent l="0" t="0" r="0" b="0"/>
                  <wp:docPr id="74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256" descr=""/>
                          <pic:cNvPicPr>
                            <a:picLocks noChangeAspect="1" noChangeArrowheads="1"/>
                          </pic:cNvPicPr>
                        </pic:nvPicPr>
                        <pic:blipFill>
                          <a:blip r:embed="rId341"/>
                          <a:stretch>
                            <a:fillRect/>
                          </a:stretch>
                        </pic:blipFill>
                        <pic:spPr bwMode="auto">
                          <a:xfrm>
                            <a:off x="0" y="0"/>
                            <a:ext cx="228600" cy="238125"/>
                          </a:xfrm>
                          <a:prstGeom prst="rect">
                            <a:avLst/>
                          </a:prstGeom>
                        </pic:spPr>
                      </pic:pic>
                    </a:graphicData>
                  </a:graphic>
                </wp:inline>
              </w:drawing>
            </w:r>
            <w:r>
              <w:rPr/>
              <w:t xml:space="preserve"> </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lineRule="atLeast" w:line="260" w:before="0" w:after="0"/>
              <w:jc w:val="left"/>
              <w:rPr/>
            </w:pPr>
            <w:r>
              <w:rPr/>
              <w:t>ESTABLISH</w:t>
            </w:r>
            <w:r>
              <w:rPr>
                <w:color w:val="000000"/>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7" w:type="dxa"/>
            <w:tcBorders/>
            <w:vAlign w:val="center"/>
          </w:tcPr>
          <w:p>
            <w:pPr>
              <w:pStyle w:val="TableContents"/>
              <w:bidi w:val="0"/>
              <w:spacing w:before="0" w:after="0"/>
              <w:jc w:val="both"/>
              <w:rPr/>
            </w:pPr>
            <w:r>
              <w:rPr/>
              <w:drawing>
                <wp:inline distT="0" distB="0" distL="0" distR="0">
                  <wp:extent cx="228600" cy="238125"/>
                  <wp:effectExtent l="0" t="0" r="0" b="0"/>
                  <wp:docPr id="744"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257" descr=""/>
                          <pic:cNvPicPr>
                            <a:picLocks noChangeAspect="1" noChangeArrowheads="1"/>
                          </pic:cNvPicPr>
                        </pic:nvPicPr>
                        <pic:blipFill>
                          <a:blip r:embed="rId342"/>
                          <a:stretch>
                            <a:fillRect/>
                          </a:stretch>
                        </pic:blipFill>
                        <pic:spPr bwMode="auto">
                          <a:xfrm>
                            <a:off x="0" y="0"/>
                            <a:ext cx="228600" cy="238125"/>
                          </a:xfrm>
                          <a:prstGeom prst="rect">
                            <a:avLst/>
                          </a:prstGeom>
                        </pic:spPr>
                      </pic:pic>
                    </a:graphicData>
                  </a:graphic>
                </wp:inline>
              </w:drawing>
            </w:r>
            <w:r>
              <w:rPr/>
              <w:t xml:space="preserv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lineRule="atLeast" w:line="260" w:before="0" w:after="0"/>
              <w:jc w:val="left"/>
              <w:rPr/>
            </w:pPr>
            <w:r>
              <w:rPr/>
              <w:t>MEASURE</w:t>
            </w:r>
            <w:r>
              <w:rPr>
                <w:color w:val="000000"/>
              </w:rPr>
              <w:t>​</w:t>
            </w:r>
          </w:p>
        </w:tc>
        <w:tc>
          <w:tcPr>
            <w:tcW w:w="168" w:type="dxa"/>
            <w:tcBorders/>
            <w:vAlign w:val="center"/>
          </w:tcPr>
          <w:p>
            <w:pPr>
              <w:pStyle w:val="TableContents"/>
              <w:bidi w:val="0"/>
              <w:spacing w:before="0" w:after="283"/>
              <w:jc w:val="left"/>
              <w:rPr/>
            </w:pPr>
            <w:r>
              <w:rPr/>
              <w:t>​</w:t>
            </w:r>
          </w:p>
        </w:tc>
      </w:tr>
      <w:tr>
        <w:trPr/>
        <w:tc>
          <w:tcPr>
            <w:tcW w:w="124" w:type="dxa"/>
            <w:tcBorders>
              <w:bottom w:val="single" w:sz="6" w:space="0" w:color="83AD40"/>
            </w:tcBorders>
            <w:tcMar>
              <w:bottom w:w="28" w:type="dxa"/>
            </w:tcMar>
            <w:vAlign w:val="center"/>
          </w:tcPr>
          <w:p>
            <w:pPr>
              <w:pStyle w:val="TableContents"/>
              <w:bidi w:val="0"/>
              <w:spacing w:before="0" w:after="283"/>
              <w:jc w:val="left"/>
              <w:rPr/>
            </w:pPr>
            <w:r>
              <w:rPr/>
              <w:t>​</w:t>
            </w:r>
          </w:p>
        </w:tc>
        <w:tc>
          <w:tcPr>
            <w:tcW w:w="1761" w:type="dxa"/>
            <w:gridSpan w:val="5"/>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At the beginning of each year, we assess the current economic and competitive landscape we face to </w:t>
              <w:br/>
              <w:t xml:space="preserve">identify trends, challenges and opportunities that we anticipate will impact our performance during the coming year.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944" w:type="dxa"/>
            <w:gridSpan w:val="5"/>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Management establishes formal guidance and internal projections based on current conditions and without consideration of prior year forecasts, which may result in narrower or wider ranges depending on anticipated volatility.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233" w:type="dxa"/>
            <w:gridSpan w:val="5"/>
            <w:tcBorders>
              <w:bottom w:val="single" w:sz="6" w:space="0" w:color="83AD40"/>
            </w:tcBorders>
            <w:tcMar>
              <w:bottom w:w="300" w:type="dxa"/>
            </w:tcMar>
            <w:vAlign w:val="center"/>
          </w:tcPr>
          <w:p>
            <w:pPr>
              <w:pStyle w:val="TableContents"/>
              <w:bidi w:val="0"/>
              <w:spacing w:before="0" w:after="283"/>
              <w:jc w:val="left"/>
              <w:rPr>
                <w:spacing w:val="-2"/>
              </w:rPr>
            </w:pPr>
            <w:r>
              <w:rPr>
                <w:spacing w:val="-2"/>
              </w:rPr>
              <w:t xml:space="preserve">The Committee establishes rigorous performance goals based on management’s guidance and internal projections that are integrally related to our projections (i.e., to achieve maximum performance, we generally must exceed the projected range). </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2094" w:type="dxa"/>
            <w:gridSpan w:val="5"/>
            <w:tcBorders>
              <w:bottom w:val="single" w:sz="6" w:space="0" w:color="83AD40"/>
            </w:tcBorders>
            <w:tcMar>
              <w:bottom w:w="300" w:type="dxa"/>
            </w:tcMar>
            <w:vAlign w:val="center"/>
          </w:tcPr>
          <w:p>
            <w:pPr>
              <w:pStyle w:val="TableContents"/>
              <w:bidi w:val="0"/>
              <w:spacing w:before="0" w:after="283"/>
              <w:jc w:val="left"/>
              <w:rPr/>
            </w:pPr>
            <w:r>
              <w:rPr>
                <w:spacing w:val="-2"/>
              </w:rPr>
              <w:t xml:space="preserve">Following the end of the year, we measure performance and payout formulaic bonuses (as applicable) and performance-based equity awards based on performance relative to the goals. </w:t>
            </w:r>
            <w:r>
              <w:rPr>
                <w:b/>
              </w:rPr>
              <w:t>We do not change our objective goals mid-year, even in extreme circumstances such as the COVID-19 pandemic.</w:t>
            </w:r>
            <w:r>
              <w:rPr/>
              <w:t xml:space="preserve"> </w:t>
            </w:r>
          </w:p>
        </w:tc>
        <w:tc>
          <w:tcPr>
            <w:tcW w:w="168" w:type="dxa"/>
            <w:tcBorders>
              <w:bottom w:val="single" w:sz="6" w:space="0" w:color="83AD40"/>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Goals are established each year on a forward-looking basis as a snapshot of current economic and competitive conditions. Depending on anticipated economic volatility, our guidance may be narrower or wider at the time that goals are set, which, in turn, may result in corresponding adjustments to that year’s threshold, target and maximum performance hurdles that must be achieved. However, </w:t>
            </w:r>
            <w:r>
              <w:rPr>
                <w:b/>
              </w:rPr>
              <w:t>performance under our formulaic bonus program and annual performance-based equity awards generally must at least equal or exceed the top of our guidance range or internal projections to achieve maximum performance levels.</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2023 Performance Summary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performance goals established by the Committee at the beginning of each year by the Committee motivate financial and operational outperformance in line with Company guidance and internal projections. The criteria used for annual cash bonuses and performance-based equity remained substantially the same across 2021, 2022 and 2023 because they were, and continue to be, key drivers to stockholder value creation.</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t>Threshold, target and maximum levels were set on the basis of our rigorous and consistent pay-for-performance compensation philosophy.</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40" w:before="2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all of our formulaic annual cash bonus awards and performance-based equity awards, linear interpolation is used to determine the percentage earned for performance that falls between threshold, target and/or maximum. The tables below set forth our 2023 performance relative to 2023 performance criteria.</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Formulaic Annual Bonus Goals</w:t>
      </w:r>
      <w:r>
        <w:rPr>
          <w:rFonts w:ascii="Arial;Helvetica;sans-serif" w:hAnsi="Arial;Helvetica;sans-serif"/>
          <w:b/>
          <w:i w:val="false"/>
          <w:caps w:val="false"/>
          <w:smallCaps w:val="false"/>
          <w:color w:val="000000"/>
          <w:spacing w:val="5"/>
          <w:sz w:val="26"/>
        </w:rPr>
        <w:t xml:space="preserve"> </w:t>
      </w:r>
    </w:p>
    <w:tbl>
      <w:tblPr>
        <w:tblW w:w="9305" w:type="dxa"/>
        <w:jc w:val="left"/>
        <w:tblInd w:w="900" w:type="dxa"/>
        <w:tblLayout w:type="fixed"/>
        <w:tblCellMar>
          <w:top w:w="0" w:type="dxa"/>
          <w:left w:w="0" w:type="dxa"/>
          <w:bottom w:w="43" w:type="dxa"/>
          <w:right w:w="0" w:type="dxa"/>
        </w:tblCellMar>
      </w:tblPr>
      <w:tblGrid>
        <w:gridCol w:w="2582"/>
        <w:gridCol w:w="109"/>
        <w:gridCol w:w="109"/>
        <w:gridCol w:w="1115"/>
        <w:gridCol w:w="109"/>
        <w:gridCol w:w="109"/>
        <w:gridCol w:w="1095"/>
        <w:gridCol w:w="109"/>
        <w:gridCol w:w="109"/>
        <w:gridCol w:w="1199"/>
        <w:gridCol w:w="120"/>
        <w:gridCol w:w="120"/>
        <w:gridCol w:w="809"/>
        <w:gridCol w:w="120"/>
        <w:gridCol w:w="120"/>
        <w:gridCol w:w="1215"/>
        <w:gridCol w:w="156"/>
      </w:tblGrid>
      <w:tr>
        <w:trPr/>
        <w:tc>
          <w:tcPr>
            <w:tcW w:w="2582"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 Reason Selected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1F2668"/>
            </w:tcBorders>
            <w:vAlign w:val="center"/>
          </w:tcPr>
          <w:p>
            <w:pPr>
              <w:pStyle w:val="TableContents"/>
              <w:bidi w:val="0"/>
              <w:spacing w:before="0" w:after="0"/>
              <w:jc w:val="center"/>
              <w:rPr>
                <w:spacing w:val="2"/>
              </w:rPr>
            </w:pPr>
            <w:r>
              <w:rPr>
                <w:spacing w:val="2"/>
              </w:rPr>
              <w:t xml:space="preserve">Weighting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1F2668"/>
            </w:tcBorders>
            <w:vAlign w:val="center"/>
          </w:tcPr>
          <w:p>
            <w:pPr>
              <w:pStyle w:val="TableContents"/>
              <w:bidi w:val="0"/>
              <w:spacing w:before="0" w:after="0"/>
              <w:jc w:val="center"/>
              <w:rPr/>
            </w:pPr>
            <w:r>
              <w:rPr>
                <w:spacing w:val="2"/>
              </w:rPr>
              <w:t>Guidance/</w:t>
            </w:r>
            <w:r>
              <w:rPr/>
              <w:t>​</w:t>
              <w:br/>
            </w:r>
            <w:r>
              <w:rPr>
                <w:spacing w:val="2"/>
              </w:rPr>
              <w:t xml:space="preserve">Goal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r>
          </w:p>
        </w:tc>
        <w:tc>
          <w:tcPr>
            <w:tcW w:w="120" w:type="dxa"/>
            <w:tcBorders>
              <w:bottom w:val="single" w:sz="12" w:space="0" w:color="FFFFFF"/>
            </w:tcBorders>
            <w:tcMar>
              <w:bottom w:w="28" w:type="dxa"/>
            </w:tcMar>
            <w:vAlign w:val="center"/>
          </w:tcPr>
          <w:p>
            <w:pPr>
              <w:pStyle w:val="TableContents"/>
              <w:bidi w:val="0"/>
              <w:spacing w:before="0" w:after="283"/>
              <w:jc w:val="left"/>
              <w:rPr/>
            </w:pPr>
            <w:r>
              <w:rPr/>
              <w:t>​</w:t>
            </w:r>
          </w:p>
        </w:tc>
        <w:tc>
          <w:tcPr>
            <w:tcW w:w="120" w:type="dxa"/>
            <w:tcBorders>
              <w:bottom w:val="single" w:sz="12" w:space="0" w:color="FFFFFF"/>
            </w:tcBorders>
            <w:tcMar>
              <w:bottom w:w="28" w:type="dxa"/>
            </w:tcMar>
            <w:vAlign w:val="center"/>
          </w:tcPr>
          <w:p>
            <w:pPr>
              <w:pStyle w:val="TableContents"/>
              <w:bidi w:val="0"/>
              <w:spacing w:before="0" w:after="283"/>
              <w:jc w:val="left"/>
              <w:rPr/>
            </w:pPr>
            <w:r>
              <w:rPr/>
              <w:t>​</w:t>
            </w:r>
          </w:p>
        </w:tc>
        <w:tc>
          <w:tcPr>
            <w:tcW w:w="809" w:type="dxa"/>
            <w:tcBorders>
              <w:bottom w:val="single" w:sz="2" w:space="0" w:color="1F2668"/>
            </w:tcBorders>
            <w:vAlign w:val="center"/>
          </w:tcPr>
          <w:p>
            <w:pPr>
              <w:pStyle w:val="TableContents"/>
              <w:bidi w:val="0"/>
              <w:spacing w:before="0" w:after="0"/>
              <w:jc w:val="center"/>
              <w:rPr>
                <w:spacing w:val="2"/>
              </w:rPr>
            </w:pPr>
            <w:r>
              <w:rPr>
                <w:spacing w:val="2"/>
              </w:rPr>
              <w:t xml:space="preserve">Target </w:t>
            </w:r>
          </w:p>
        </w:tc>
        <w:tc>
          <w:tcPr>
            <w:tcW w:w="120" w:type="dxa"/>
            <w:tcBorders>
              <w:bottom w:val="single" w:sz="12" w:space="0" w:color="FFFFFF"/>
            </w:tcBorders>
            <w:tcMar>
              <w:bottom w:w="28" w:type="dxa"/>
            </w:tcMar>
            <w:vAlign w:val="center"/>
          </w:tcPr>
          <w:p>
            <w:pPr>
              <w:pStyle w:val="TableContents"/>
              <w:bidi w:val="0"/>
              <w:spacing w:before="0" w:after="283"/>
              <w:jc w:val="left"/>
              <w:rPr/>
            </w:pPr>
            <w:r>
              <w:rPr/>
              <w:t>​</w:t>
            </w:r>
          </w:p>
        </w:tc>
        <w:tc>
          <w:tcPr>
            <w:tcW w:w="120" w:type="dxa"/>
            <w:tcBorders>
              <w:bottom w:val="single" w:sz="12" w:space="0" w:color="FFFFFF"/>
            </w:tcBorders>
            <w:tcMar>
              <w:bottom w:w="28" w:type="dxa"/>
            </w:tcMar>
            <w:vAlign w:val="center"/>
          </w:tcPr>
          <w:p>
            <w:pPr>
              <w:pStyle w:val="TableContents"/>
              <w:bidi w:val="0"/>
              <w:spacing w:before="0" w:after="283"/>
              <w:jc w:val="left"/>
              <w:rPr/>
            </w:pPr>
            <w:r>
              <w:rPr/>
              <w:t>​</w:t>
            </w:r>
          </w:p>
        </w:tc>
        <w:tc>
          <w:tcPr>
            <w:tcW w:w="1215" w:type="dxa"/>
            <w:tcBorders>
              <w:bottom w:val="single" w:sz="2" w:space="0" w:color="1F2668"/>
            </w:tcBorders>
            <w:vAlign w:val="center"/>
          </w:tcPr>
          <w:p>
            <w:pPr>
              <w:pStyle w:val="TableContents"/>
              <w:bidi w:val="0"/>
              <w:spacing w:before="0" w:after="0"/>
              <w:jc w:val="center"/>
              <w:rPr>
                <w:spacing w:val="2"/>
              </w:rPr>
            </w:pPr>
            <w:r>
              <w:rPr>
                <w:spacing w:val="2"/>
              </w:rPr>
              <w:t xml:space="preserve">Maximum </w:t>
            </w:r>
          </w:p>
        </w:tc>
        <w:tc>
          <w:tcPr>
            <w:tcW w:w="156"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582"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Normalized FFO per Share</w:t>
            </w:r>
          </w:p>
          <w:p>
            <w:pPr>
              <w:pStyle w:val="TableContents"/>
              <w:bidi w:val="0"/>
              <w:spacing w:lineRule="atLeast" w:line="220" w:before="160" w:after="0"/>
              <w:ind w:left="180" w:right="0" w:hanging="0"/>
              <w:jc w:val="left"/>
              <w:rPr>
                <w:spacing w:val="-2"/>
              </w:rPr>
            </w:pPr>
            <w:r>
              <w:rPr>
                <w:spacing w:val="-2"/>
              </w:rPr>
              <w:t xml:space="preserve">Widely-used non-GAAP measure of earnings performance for REITs, used both by investors and our management, and a key financial measure for which we provide guidance </w:t>
            </w:r>
            <w:r>
              <mc:AlternateContent>
                <mc:Choice Requires="wps">
                  <w:drawing>
                    <wp:anchor behindDoc="0" distT="101600" distB="0" distL="0" distR="0" simplePos="0" locked="0" layoutInCell="1" allowOverlap="1" relativeHeight="722">
                      <wp:simplePos x="0" y="0"/>
                      <wp:positionH relativeFrom="column">
                        <wp:align>left</wp:align>
                      </wp:positionH>
                      <wp:positionV relativeFrom="line">
                        <wp:align>top</wp:align>
                      </wp:positionV>
                      <wp:extent cx="114300" cy="350520"/>
                      <wp:effectExtent l="0" t="0" r="0" b="0"/>
                      <wp:wrapSquare wrapText="right"/>
                      <wp:docPr id="745" name="Frame4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$5.45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3"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95525" cy="457200"/>
                  <wp:effectExtent l="0" t="0" r="0" b="0"/>
                  <wp:docPr id="74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258" descr=""/>
                          <pic:cNvPicPr>
                            <a:picLocks noChangeAspect="1" noChangeArrowheads="1"/>
                          </pic:cNvPicPr>
                        </pic:nvPicPr>
                        <pic:blipFill>
                          <a:blip r:embed="rId343"/>
                          <a:stretch>
                            <a:fillRect/>
                          </a:stretch>
                        </pic:blipFill>
                        <pic:spPr bwMode="auto">
                          <a:xfrm>
                            <a:off x="0" y="0"/>
                            <a:ext cx="2295525"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82"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Annual Same Store Cash NOI Growth</w:t>
            </w:r>
            <w:r>
              <w:rPr>
                <w:b/>
                <w:color w:val="1F2668"/>
                <w:sz w:val="11"/>
              </w:rPr>
              <w:t>(2)</w:t>
            </w:r>
          </w:p>
          <w:p>
            <w:pPr>
              <w:pStyle w:val="TableContents"/>
              <w:bidi w:val="0"/>
              <w:spacing w:lineRule="atLeast" w:line="220" w:before="160" w:after="0"/>
              <w:ind w:left="180" w:right="0" w:hanging="0"/>
              <w:jc w:val="left"/>
              <w:rPr>
                <w:spacing w:val="-2"/>
              </w:rPr>
            </w:pPr>
            <w:r>
              <w:rPr>
                <w:spacing w:val="-2"/>
              </w:rPr>
              <w:t xml:space="preserve">A key metric used in commercial real estate to evaluate the operating performance of properties. Same-store cash NOI compares the operating performance of the properties owned by us in a similar manner in both reporting periods (year over year) </w:t>
            </w:r>
            <w:r>
              <mc:AlternateContent>
                <mc:Choice Requires="wps">
                  <w:drawing>
                    <wp:anchor behindDoc="0" distT="101600" distB="0" distL="0" distR="0" simplePos="0" locked="0" layoutInCell="1" allowOverlap="1" relativeHeight="723">
                      <wp:simplePos x="0" y="0"/>
                      <wp:positionH relativeFrom="column">
                        <wp:align>left</wp:align>
                      </wp:positionH>
                      <wp:positionV relativeFrom="line">
                        <wp:align>top</wp:align>
                      </wp:positionV>
                      <wp:extent cx="114300" cy="350520"/>
                      <wp:effectExtent l="0" t="0" r="0" b="0"/>
                      <wp:wrapSquare wrapText="right"/>
                      <wp:docPr id="747" name="Frame4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3.0%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3"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4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259" descr=""/>
                          <pic:cNvPicPr>
                            <a:picLocks noChangeAspect="1" noChangeArrowheads="1"/>
                          </pic:cNvPicPr>
                        </pic:nvPicPr>
                        <pic:blipFill>
                          <a:blip r:embed="rId344"/>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82" w:type="dxa"/>
            <w:tcBorders>
              <w:bottom w:val="single" w:sz="2" w:space="0" w:color="4B5088"/>
            </w:tcBorders>
            <w:tcMar>
              <w:bottom w:w="40" w:type="dxa"/>
            </w:tcMar>
            <w:vAlign w:val="center"/>
          </w:tcPr>
          <w:p>
            <w:pPr>
              <w:pStyle w:val="TableContents"/>
              <w:bidi w:val="0"/>
              <w:spacing w:lineRule="atLeast" w:line="220" w:before="0" w:after="0"/>
              <w:jc w:val="left"/>
              <w:rPr>
                <w:b/>
                <w:color w:val="1F2668"/>
              </w:rPr>
            </w:pPr>
            <w:r>
              <w:rPr>
                <w:b/>
                <w:color w:val="1F2668"/>
              </w:rPr>
              <w:t>Dividend Growth</w:t>
            </w:r>
          </w:p>
          <w:p>
            <w:pPr>
              <w:pStyle w:val="TableContents"/>
              <w:bidi w:val="0"/>
              <w:spacing w:lineRule="atLeast" w:line="220" w:before="160" w:after="0"/>
              <w:ind w:left="180" w:right="0" w:hanging="0"/>
              <w:jc w:val="left"/>
              <w:rPr>
                <w:spacing w:val="-2"/>
              </w:rPr>
            </w:pPr>
            <w:r>
              <w:rPr>
                <w:spacing w:val="-2"/>
              </w:rPr>
              <w:t xml:space="preserve">A key measure of the income we return to stockholders each year </w:t>
            </w:r>
            <w:r>
              <mc:AlternateContent>
                <mc:Choice Requires="wps">
                  <w:drawing>
                    <wp:anchor behindDoc="0" distT="101600" distB="0" distL="0" distR="0" simplePos="0" locked="0" layoutInCell="1" allowOverlap="1" relativeHeight="724">
                      <wp:simplePos x="0" y="0"/>
                      <wp:positionH relativeFrom="column">
                        <wp:align>left</wp:align>
                      </wp:positionH>
                      <wp:positionV relativeFrom="line">
                        <wp:align>top</wp:align>
                      </wp:positionV>
                      <wp:extent cx="114300" cy="350520"/>
                      <wp:effectExtent l="0" t="0" r="0" b="0"/>
                      <wp:wrapSquare wrapText="right"/>
                      <wp:docPr id="749" name="Frame41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N/A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3"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5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260" descr=""/>
                          <pic:cNvPicPr>
                            <a:picLocks noChangeAspect="1" noChangeArrowheads="1"/>
                          </pic:cNvPicPr>
                        </pic:nvPicPr>
                        <pic:blipFill>
                          <a:blip r:embed="rId345"/>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82"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G&amp;A Expense (in millions)</w:t>
            </w:r>
          </w:p>
          <w:p>
            <w:pPr>
              <w:pStyle w:val="TableContents"/>
              <w:bidi w:val="0"/>
              <w:spacing w:lineRule="atLeast" w:line="220" w:before="160" w:after="0"/>
              <w:ind w:left="180" w:right="0" w:hanging="0"/>
              <w:jc w:val="left"/>
              <w:rPr>
                <w:spacing w:val="-2"/>
              </w:rPr>
            </w:pPr>
            <w:r>
              <w:rPr>
                <w:spacing w:val="-2"/>
              </w:rPr>
              <w:t xml:space="preserve">Corporate overhead is a key efficiency metric impacting the overall profitability and value of the Company </w:t>
            </w:r>
            <w:r>
              <mc:AlternateContent>
                <mc:Choice Requires="wps">
                  <w:drawing>
                    <wp:anchor behindDoc="0" distT="101600" distB="0" distL="0" distR="0" simplePos="0" locked="0" layoutInCell="1" allowOverlap="1" relativeHeight="725">
                      <wp:simplePos x="0" y="0"/>
                      <wp:positionH relativeFrom="column">
                        <wp:align>left</wp:align>
                      </wp:positionH>
                      <wp:positionV relativeFrom="line">
                        <wp:align>top</wp:align>
                      </wp:positionV>
                      <wp:extent cx="114300" cy="350520"/>
                      <wp:effectExtent l="0" t="0" r="0" b="0"/>
                      <wp:wrapSquare wrapText="right"/>
                      <wp:docPr id="751" name="Frame4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$92.20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3"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5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261" descr=""/>
                          <pic:cNvPicPr>
                            <a:picLocks noChangeAspect="1" noChangeArrowheads="1"/>
                          </pic:cNvPicPr>
                        </pic:nvPicPr>
                        <pic:blipFill>
                          <a:blip r:embed="rId346"/>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82" w:type="dxa"/>
            <w:tcBorders>
              <w:bottom w:val="single" w:sz="2" w:space="0" w:color="1F2668"/>
            </w:tcBorders>
            <w:tcMar>
              <w:bottom w:w="28" w:type="dxa"/>
            </w:tcMar>
            <w:vAlign w:val="center"/>
          </w:tcPr>
          <w:p>
            <w:pPr>
              <w:pStyle w:val="TableContents"/>
              <w:bidi w:val="0"/>
              <w:spacing w:lineRule="atLeast" w:line="220" w:before="0" w:after="0"/>
              <w:jc w:val="left"/>
              <w:rPr>
                <w:b/>
                <w:color w:val="1F2668"/>
              </w:rPr>
            </w:pPr>
            <w:r>
              <w:rPr>
                <w:b/>
                <w:color w:val="1F2668"/>
              </w:rPr>
              <w:t>Obtain One Madison Avenue Temporary Certificate of Occupancy</w:t>
            </w:r>
          </w:p>
          <w:p>
            <w:pPr>
              <w:pStyle w:val="TableContents"/>
              <w:bidi w:val="0"/>
              <w:spacing w:lineRule="atLeast" w:line="220" w:before="160" w:after="0"/>
              <w:ind w:left="180" w:right="0" w:hanging="0"/>
              <w:jc w:val="left"/>
              <w:rPr>
                <w:spacing w:val="-2"/>
              </w:rPr>
            </w:pPr>
            <w:r>
              <w:rPr>
                <w:spacing w:val="-2"/>
              </w:rPr>
              <w:t xml:space="preserve">A vital strategic goal for 2023, the achievement of which would accelerate the execution of our 2023 capital strategy </w:t>
            </w:r>
            <w:r>
              <mc:AlternateContent>
                <mc:Choice Requires="wps">
                  <w:drawing>
                    <wp:anchor behindDoc="0" distT="101600" distB="0" distL="0" distR="0" simplePos="0" locked="0" layoutInCell="1" allowOverlap="1" relativeHeight="726">
                      <wp:simplePos x="0" y="0"/>
                      <wp:positionH relativeFrom="column">
                        <wp:align>left</wp:align>
                      </wp:positionH>
                      <wp:positionV relativeFrom="line">
                        <wp:align>top</wp:align>
                      </wp:positionV>
                      <wp:extent cx="114300" cy="350520"/>
                      <wp:effectExtent l="0" t="0" r="0" b="0"/>
                      <wp:wrapSquare wrapText="right"/>
                      <wp:docPr id="753" name="Frame4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5"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5" w:type="dxa"/>
            <w:tcBorders>
              <w:bottom w:val="single" w:sz="2" w:space="0" w:color="1F2668"/>
            </w:tcBorders>
            <w:tcMar>
              <w:bottom w:w="28" w:type="dxa"/>
            </w:tcMar>
            <w:vAlign w:val="center"/>
          </w:tcPr>
          <w:p>
            <w:pPr>
              <w:pStyle w:val="TableContents"/>
              <w:bidi w:val="0"/>
              <w:spacing w:lineRule="atLeast" w:line="220" w:before="0" w:after="0"/>
              <w:jc w:val="center"/>
              <w:rPr>
                <w:spacing w:val="-2"/>
              </w:rPr>
            </w:pPr>
            <w:r>
              <w:rPr>
                <w:spacing w:val="-2"/>
              </w:rPr>
              <w:t xml:space="preserve">(3)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3703" w:type="dxa"/>
            <w:gridSpan w:val="7"/>
            <w:tcBorders>
              <w:bottom w:val="single" w:sz="2" w:space="0" w:color="1F2668"/>
            </w:tcBorders>
            <w:tcMar>
              <w:bottom w:w="28" w:type="dxa"/>
            </w:tcMar>
            <w:vAlign w:val="center"/>
          </w:tcPr>
          <w:p>
            <w:pPr>
              <w:pStyle w:val="TableContents"/>
              <w:bidi w:val="0"/>
              <w:spacing w:lineRule="atLeast" w:line="220" w:before="0" w:after="0"/>
              <w:jc w:val="left"/>
              <w:rPr/>
            </w:pPr>
            <w:r>
              <w:rPr/>
              <w:drawing>
                <wp:inline distT="0" distB="0" distL="0" distR="0">
                  <wp:extent cx="133350" cy="137160"/>
                  <wp:effectExtent l="0" t="0" r="0" b="0"/>
                  <wp:docPr id="754"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262" descr=""/>
                          <pic:cNvPicPr>
                            <a:picLocks noChangeAspect="1" noChangeArrowheads="1"/>
                          </pic:cNvPicPr>
                        </pic:nvPicPr>
                        <pic:blipFill>
                          <a:blip r:embed="rId347"/>
                          <a:stretch>
                            <a:fillRect/>
                          </a:stretch>
                        </pic:blipFill>
                        <pic:spPr bwMode="auto">
                          <a:xfrm>
                            <a:off x="0" y="0"/>
                            <a:ext cx="133350" cy="137160"/>
                          </a:xfrm>
                          <a:prstGeom prst="rect">
                            <a:avLst/>
                          </a:prstGeom>
                        </pic:spPr>
                      </pic:pic>
                    </a:graphicData>
                  </a:graphic>
                </wp:inline>
              </w:drawing>
            </w:r>
            <w:r>
              <w:rPr>
                <w:spacing w:val="-2"/>
              </w:rPr>
              <w:t>   </w:t>
            </w:r>
            <w:r>
              <w:rPr>
                <w:b/>
              </w:rPr>
              <w:t>Achieved September 2023</w:t>
            </w:r>
            <w:r>
              <w:rPr>
                <w:b/>
                <w:sz w:val="11"/>
              </w:rPr>
              <w:t>(3)</w:t>
            </w:r>
          </w:p>
        </w:tc>
        <w:tc>
          <w:tcPr>
            <w:tcW w:w="156" w:type="dxa"/>
            <w:tcBorders>
              <w:bottom w:val="single" w:sz="1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Determined in December 2023 based on a combination of actual results and estimates of full year results.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727">
                <wp:simplePos x="0" y="0"/>
                <wp:positionH relativeFrom="column">
                  <wp:align>left</wp:align>
                </wp:positionH>
                <wp:positionV relativeFrom="line">
                  <wp:align>top</wp:align>
                </wp:positionV>
                <wp:extent cx="254000" cy="254000"/>
                <wp:effectExtent l="0" t="0" r="0" b="0"/>
                <wp:wrapSquare wrapText="right"/>
                <wp:docPr id="755" name="Frame41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Excluding lease termination income.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28">
                <wp:simplePos x="0" y="0"/>
                <wp:positionH relativeFrom="column">
                  <wp:align>left</wp:align>
                </wp:positionH>
                <wp:positionV relativeFrom="line">
                  <wp:align>top</wp:align>
                </wp:positionV>
                <wp:extent cx="254000" cy="254000"/>
                <wp:effectExtent l="0" t="0" r="0" b="0"/>
                <wp:wrapSquare wrapText="right"/>
                <wp:docPr id="756" name="Frame41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Threshold, target and maximum performance were established based on a series of date ranges, with threshold performance being a Temporary Certificate of Occupy (“TCO”) obtained between December 1, 2023 and January 15, 2024; target performance being a TCO obtained between October 16, 2023 and November 30, 2023; and maximum performance being a TCO obtained between September 1, 2023 and October 15, 2023. Our initial goal at the outset of the project was to obtain the TCO for One Madison Avenue in December 2023. </w:t>
      </w:r>
      <w:r>
        <mc:AlternateContent>
          <mc:Choice Requires="wps">
            <w:drawing>
              <wp:anchor behindDoc="0" distT="50800" distB="0" distL="0" distR="0" simplePos="0" locked="0" layoutInCell="1" allowOverlap="1" relativeHeight="729">
                <wp:simplePos x="0" y="0"/>
                <wp:positionH relativeFrom="column">
                  <wp:align>left</wp:align>
                </wp:positionH>
                <wp:positionV relativeFrom="line">
                  <wp:align>top</wp:align>
                </wp:positionV>
                <wp:extent cx="254000" cy="254000"/>
                <wp:effectExtent l="0" t="0" r="0" b="0"/>
                <wp:wrapSquare wrapText="right"/>
                <wp:docPr id="757" name="Frame41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Based on our performance relative to these formulaic goals, our CEO and CFO earned the following amounts of annual bonus, representing 100% of Mr. Holliday’s 2023 bonus and 60% of Mr. DiLiberto’s total bonus opportunity for 2023:</w:t>
      </w:r>
      <w:r>
        <w:rPr>
          <w:rFonts w:ascii="Arial;Helvetica;sans-serif" w:hAnsi="Arial;Helvetica;sans-serif"/>
          <w:b w:val="false"/>
          <w:i w:val="false"/>
          <w:caps w:val="false"/>
          <w:smallCaps w:val="false"/>
          <w:color w:val="000000"/>
          <w:spacing w:val="4"/>
          <w:sz w:val="18"/>
        </w:rPr>
        <w:t xml:space="preserve"> </w:t>
      </w:r>
    </w:p>
    <w:tbl>
      <w:tblPr>
        <w:tblW w:w="8629" w:type="dxa"/>
        <w:jc w:val="left"/>
        <w:tblInd w:w="900" w:type="dxa"/>
        <w:tblLayout w:type="fixed"/>
        <w:tblCellMar>
          <w:top w:w="0" w:type="dxa"/>
          <w:left w:w="0" w:type="dxa"/>
          <w:bottom w:w="63" w:type="dxa"/>
          <w:right w:w="0" w:type="dxa"/>
        </w:tblCellMar>
      </w:tblPr>
      <w:tblGrid>
        <w:gridCol w:w="2461"/>
        <w:gridCol w:w="109"/>
        <w:gridCol w:w="109"/>
        <w:gridCol w:w="137"/>
        <w:gridCol w:w="284"/>
        <w:gridCol w:w="1341"/>
        <w:gridCol w:w="137"/>
        <w:gridCol w:w="109"/>
        <w:gridCol w:w="109"/>
        <w:gridCol w:w="132"/>
        <w:gridCol w:w="132"/>
        <w:gridCol w:w="1166"/>
        <w:gridCol w:w="132"/>
        <w:gridCol w:w="109"/>
        <w:gridCol w:w="109"/>
        <w:gridCol w:w="137"/>
        <w:gridCol w:w="284"/>
        <w:gridCol w:w="1341"/>
        <w:gridCol w:w="137"/>
        <w:gridCol w:w="154"/>
      </w:tblGrid>
      <w:tr>
        <w:trPr/>
        <w:tc>
          <w:tcPr>
            <w:tcW w:w="2461"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9" w:type="dxa"/>
            <w:gridSpan w:val="4"/>
            <w:tcBorders>
              <w:bottom w:val="single" w:sz="2" w:space="0" w:color="1F2668"/>
            </w:tcBorders>
            <w:vAlign w:val="center"/>
          </w:tcPr>
          <w:p>
            <w:pPr>
              <w:pStyle w:val="TableContents"/>
              <w:bidi w:val="0"/>
              <w:spacing w:before="0" w:after="0"/>
              <w:jc w:val="right"/>
              <w:rPr/>
            </w:pPr>
            <w:r>
              <w:rPr>
                <w:spacing w:val="2"/>
              </w:rPr>
              <w:t xml:space="preserve">Target 2023 </w:t>
              <w:br/>
              <w:t xml:space="preserve">Formulaic </w:t>
              <w:br/>
              <w:t>Annual Bonus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2" w:type="dxa"/>
            <w:gridSpan w:val="4"/>
            <w:tcBorders>
              <w:bottom w:val="single" w:sz="2" w:space="0" w:color="1F2668"/>
            </w:tcBorders>
            <w:vAlign w:val="center"/>
          </w:tcPr>
          <w:p>
            <w:pPr>
              <w:pStyle w:val="TableContents"/>
              <w:bidi w:val="0"/>
              <w:spacing w:before="0" w:after="0"/>
              <w:jc w:val="right"/>
              <w:rPr/>
            </w:pPr>
            <w:r>
              <w:rPr>
                <w:spacing w:val="2"/>
              </w:rPr>
              <w:t xml:space="preserve">Actual 2023 </w:t>
              <w:br/>
              <w:t xml:space="preserve">Formulaic </w:t>
              <w:br/>
              <w:t xml:space="preserve">Annual Bonus </w:t>
              <w:br/>
              <w:t>(% of Target)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9" w:type="dxa"/>
            <w:gridSpan w:val="4"/>
            <w:tcBorders>
              <w:bottom w:val="single" w:sz="2" w:space="0" w:color="1F2668"/>
            </w:tcBorders>
            <w:vAlign w:val="center"/>
          </w:tcPr>
          <w:p>
            <w:pPr>
              <w:pStyle w:val="TableContents"/>
              <w:bidi w:val="0"/>
              <w:spacing w:before="0" w:after="0"/>
              <w:jc w:val="right"/>
              <w:rPr/>
            </w:pPr>
            <w:r>
              <w:rPr>
                <w:spacing w:val="2"/>
              </w:rPr>
              <w:t xml:space="preserve">Actual 2023 </w:t>
              <w:br/>
              <w:t xml:space="preserve">Formulaic </w:t>
              <w:br/>
              <w:t>Annual Bonus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61" w:type="dxa"/>
            <w:tcBorders>
              <w:bottom w:val="single" w:sz="2" w:space="0" w:color="4B5088"/>
            </w:tcBorders>
            <w:tcMar>
              <w:bottom w:w="70" w:type="dxa"/>
            </w:tcMar>
            <w:vAlign w:val="center"/>
          </w:tcPr>
          <w:p>
            <w:pPr>
              <w:pStyle w:val="TableContents"/>
              <w:bidi w:val="0"/>
              <w:spacing w:before="0" w:after="0"/>
              <w:jc w:val="left"/>
              <w:rPr>
                <w:b/>
              </w:rPr>
            </w:pPr>
            <w:r>
              <w:rPr>
                <w:b/>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4B5088"/>
            </w:tcBorders>
            <w:tcMar>
              <w:bottom w:w="28" w:type="dxa"/>
            </w:tcMar>
            <w:vAlign w:val="center"/>
          </w:tcPr>
          <w:p>
            <w:pPr>
              <w:pStyle w:val="TableContents"/>
              <w:bidi w:val="0"/>
              <w:spacing w:before="0" w:after="283"/>
              <w:jc w:val="left"/>
              <w:rPr/>
            </w:pPr>
            <w:r>
              <w:rPr/>
              <w:t>​</w:t>
            </w:r>
          </w:p>
        </w:tc>
        <w:tc>
          <w:tcPr>
            <w:tcW w:w="284" w:type="dxa"/>
            <w:tcBorders>
              <w:bottom w:val="single" w:sz="2" w:space="0" w:color="4B5088"/>
            </w:tcBorders>
            <w:tcMar>
              <w:bottom w:w="70" w:type="dxa"/>
            </w:tcMar>
            <w:vAlign w:val="center"/>
          </w:tcPr>
          <w:p>
            <w:pPr>
              <w:pStyle w:val="TableContents"/>
              <w:bidi w:val="0"/>
              <w:spacing w:before="0" w:after="283"/>
              <w:jc w:val="right"/>
              <w:rPr/>
            </w:pPr>
            <w:r>
              <w:rPr/>
              <w:t>$</w:t>
            </w:r>
          </w:p>
        </w:tc>
        <w:tc>
          <w:tcPr>
            <w:tcW w:w="1341" w:type="dxa"/>
            <w:tcBorders>
              <w:bottom w:val="single" w:sz="2" w:space="0" w:color="4B5088"/>
            </w:tcBorders>
            <w:tcMar>
              <w:bottom w:w="70" w:type="dxa"/>
            </w:tcMar>
            <w:vAlign w:val="center"/>
          </w:tcPr>
          <w:p>
            <w:pPr>
              <w:pStyle w:val="TableContents"/>
              <w:bidi w:val="0"/>
              <w:spacing w:before="0" w:after="283"/>
              <w:jc w:val="right"/>
              <w:rPr/>
            </w:pPr>
            <w:r>
              <w:rPr/>
              <w:t>2,500,000</w:t>
            </w:r>
          </w:p>
        </w:tc>
        <w:tc>
          <w:tcPr>
            <w:tcW w:w="137"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 w:type="dxa"/>
            <w:tcBorders>
              <w:bottom w:val="single" w:sz="2" w:space="0" w:color="4B5088"/>
            </w:tcBorders>
            <w:tcMar>
              <w:bottom w:w="28" w:type="dxa"/>
            </w:tcMar>
            <w:vAlign w:val="center"/>
          </w:tcPr>
          <w:p>
            <w:pPr>
              <w:pStyle w:val="TableContents"/>
              <w:bidi w:val="0"/>
              <w:spacing w:before="0" w:after="283"/>
              <w:jc w:val="left"/>
              <w:rPr/>
            </w:pPr>
            <w:r>
              <w:rPr/>
              <w:t>​</w:t>
            </w:r>
          </w:p>
        </w:tc>
        <w:tc>
          <w:tcPr>
            <w:tcW w:w="132" w:type="dxa"/>
            <w:tcBorders>
              <w:bottom w:val="single" w:sz="2" w:space="0" w:color="4B5088"/>
            </w:tcBorders>
            <w:tcMar>
              <w:bottom w:w="70" w:type="dxa"/>
            </w:tcMar>
            <w:vAlign w:val="center"/>
          </w:tcPr>
          <w:p>
            <w:pPr>
              <w:pStyle w:val="TableContents"/>
              <w:bidi w:val="0"/>
              <w:spacing w:before="0" w:after="283"/>
              <w:jc w:val="right"/>
              <w:rPr/>
            </w:pPr>
            <w:r>
              <w:rPr/>
              <w:t>​</w:t>
            </w:r>
          </w:p>
        </w:tc>
        <w:tc>
          <w:tcPr>
            <w:tcW w:w="1166" w:type="dxa"/>
            <w:tcBorders>
              <w:bottom w:val="single" w:sz="2" w:space="0" w:color="4B5088"/>
            </w:tcBorders>
            <w:tcMar>
              <w:bottom w:w="70" w:type="dxa"/>
            </w:tcMar>
            <w:vAlign w:val="center"/>
          </w:tcPr>
          <w:p>
            <w:pPr>
              <w:pStyle w:val="TableContents"/>
              <w:bidi w:val="0"/>
              <w:spacing w:before="0" w:after="283"/>
              <w:jc w:val="right"/>
              <w:rPr/>
            </w:pPr>
            <w:r>
              <w:rPr/>
              <w:t>116.33%</w:t>
            </w:r>
          </w:p>
        </w:tc>
        <w:tc>
          <w:tcPr>
            <w:tcW w:w="1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4B5088"/>
            </w:tcBorders>
            <w:tcMar>
              <w:bottom w:w="28" w:type="dxa"/>
            </w:tcMar>
            <w:vAlign w:val="center"/>
          </w:tcPr>
          <w:p>
            <w:pPr>
              <w:pStyle w:val="TableContents"/>
              <w:bidi w:val="0"/>
              <w:spacing w:before="0" w:after="283"/>
              <w:jc w:val="left"/>
              <w:rPr/>
            </w:pPr>
            <w:r>
              <w:rPr/>
              <w:t>​</w:t>
            </w:r>
          </w:p>
        </w:tc>
        <w:tc>
          <w:tcPr>
            <w:tcW w:w="284" w:type="dxa"/>
            <w:tcBorders>
              <w:bottom w:val="single" w:sz="2" w:space="0" w:color="4B5088"/>
            </w:tcBorders>
            <w:tcMar>
              <w:bottom w:w="70" w:type="dxa"/>
            </w:tcMar>
            <w:vAlign w:val="center"/>
          </w:tcPr>
          <w:p>
            <w:pPr>
              <w:pStyle w:val="TableContents"/>
              <w:bidi w:val="0"/>
              <w:spacing w:before="0" w:after="283"/>
              <w:jc w:val="right"/>
              <w:rPr/>
            </w:pPr>
            <w:r>
              <w:rPr/>
              <w:t>$</w:t>
            </w:r>
          </w:p>
        </w:tc>
        <w:tc>
          <w:tcPr>
            <w:tcW w:w="1341" w:type="dxa"/>
            <w:tcBorders>
              <w:bottom w:val="single" w:sz="2" w:space="0" w:color="4B5088"/>
            </w:tcBorders>
            <w:tcMar>
              <w:bottom w:w="70" w:type="dxa"/>
            </w:tcMar>
            <w:vAlign w:val="center"/>
          </w:tcPr>
          <w:p>
            <w:pPr>
              <w:pStyle w:val="TableContents"/>
              <w:bidi w:val="0"/>
              <w:spacing w:before="0" w:after="283"/>
              <w:jc w:val="right"/>
              <w:rPr/>
            </w:pPr>
            <w:r>
              <w:rPr/>
              <w:t>2,908,333</w:t>
            </w:r>
          </w:p>
        </w:tc>
        <w:tc>
          <w:tcPr>
            <w:tcW w:w="137"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61" w:type="dxa"/>
            <w:tcBorders>
              <w:bottom w:val="single" w:sz="2" w:space="0" w:color="1F2668"/>
            </w:tcBorders>
            <w:tcMar>
              <w:bottom w:w="70" w:type="dxa"/>
            </w:tcMar>
            <w:vAlign w:val="center"/>
          </w:tcPr>
          <w:p>
            <w:pPr>
              <w:pStyle w:val="TableContents"/>
              <w:bidi w:val="0"/>
              <w:spacing w:before="0" w:after="0"/>
              <w:jc w:val="left"/>
              <w:rPr>
                <w:b/>
              </w:rPr>
            </w:pPr>
            <w:r>
              <w:rPr>
                <w:b/>
              </w:rPr>
              <w:t>Matthew J. DiLiberto</w:t>
            </w:r>
            <w:r>
              <w:rPr>
                <w:b/>
                <w:sz w:val="11"/>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1F2668"/>
            </w:tcBorders>
            <w:tcMar>
              <w:bottom w:w="28" w:type="dxa"/>
            </w:tcMar>
            <w:vAlign w:val="center"/>
          </w:tcPr>
          <w:p>
            <w:pPr>
              <w:pStyle w:val="TableContents"/>
              <w:bidi w:val="0"/>
              <w:spacing w:before="0" w:after="283"/>
              <w:jc w:val="left"/>
              <w:rPr/>
            </w:pPr>
            <w:r>
              <w:rPr/>
              <w:t>​</w:t>
            </w:r>
          </w:p>
        </w:tc>
        <w:tc>
          <w:tcPr>
            <w:tcW w:w="284" w:type="dxa"/>
            <w:tcBorders>
              <w:bottom w:val="single" w:sz="2" w:space="0" w:color="1F2668"/>
            </w:tcBorders>
            <w:tcMar>
              <w:bottom w:w="70" w:type="dxa"/>
            </w:tcMar>
            <w:vAlign w:val="center"/>
          </w:tcPr>
          <w:p>
            <w:pPr>
              <w:pStyle w:val="TableContents"/>
              <w:bidi w:val="0"/>
              <w:spacing w:before="0" w:after="283"/>
              <w:jc w:val="right"/>
              <w:rPr/>
            </w:pPr>
            <w:r>
              <w:rPr/>
              <w:t>$</w:t>
            </w:r>
          </w:p>
        </w:tc>
        <w:tc>
          <w:tcPr>
            <w:tcW w:w="1341" w:type="dxa"/>
            <w:tcBorders>
              <w:bottom w:val="single" w:sz="2" w:space="0" w:color="1F2668"/>
            </w:tcBorders>
            <w:tcMar>
              <w:bottom w:w="70" w:type="dxa"/>
            </w:tcMar>
            <w:vAlign w:val="center"/>
          </w:tcPr>
          <w:p>
            <w:pPr>
              <w:pStyle w:val="TableContents"/>
              <w:bidi w:val="0"/>
              <w:spacing w:before="0" w:after="283"/>
              <w:jc w:val="right"/>
              <w:rPr/>
            </w:pPr>
            <w:r>
              <w:rPr/>
              <w:t>1,050,000</w:t>
            </w:r>
          </w:p>
        </w:tc>
        <w:tc>
          <w:tcPr>
            <w:tcW w:w="137"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 w:type="dxa"/>
            <w:tcBorders>
              <w:bottom w:val="single" w:sz="2" w:space="0" w:color="1F2668"/>
            </w:tcBorders>
            <w:tcMar>
              <w:bottom w:w="28" w:type="dxa"/>
            </w:tcMar>
            <w:vAlign w:val="center"/>
          </w:tcPr>
          <w:p>
            <w:pPr>
              <w:pStyle w:val="TableContents"/>
              <w:bidi w:val="0"/>
              <w:spacing w:before="0" w:after="283"/>
              <w:jc w:val="left"/>
              <w:rPr/>
            </w:pPr>
            <w:r>
              <w:rPr/>
              <w:t>​</w:t>
            </w:r>
          </w:p>
        </w:tc>
        <w:tc>
          <w:tcPr>
            <w:tcW w:w="132" w:type="dxa"/>
            <w:tcBorders>
              <w:bottom w:val="single" w:sz="2" w:space="0" w:color="1F2668"/>
            </w:tcBorders>
            <w:tcMar>
              <w:bottom w:w="70" w:type="dxa"/>
            </w:tcMar>
            <w:vAlign w:val="center"/>
          </w:tcPr>
          <w:p>
            <w:pPr>
              <w:pStyle w:val="TableContents"/>
              <w:bidi w:val="0"/>
              <w:spacing w:before="0" w:after="283"/>
              <w:jc w:val="right"/>
              <w:rPr/>
            </w:pPr>
            <w:r>
              <w:rPr/>
              <w:t>​</w:t>
            </w:r>
          </w:p>
        </w:tc>
        <w:tc>
          <w:tcPr>
            <w:tcW w:w="1166" w:type="dxa"/>
            <w:tcBorders>
              <w:bottom w:val="single" w:sz="2" w:space="0" w:color="1F2668"/>
            </w:tcBorders>
            <w:tcMar>
              <w:bottom w:w="70" w:type="dxa"/>
            </w:tcMar>
            <w:vAlign w:val="center"/>
          </w:tcPr>
          <w:p>
            <w:pPr>
              <w:pStyle w:val="TableContents"/>
              <w:bidi w:val="0"/>
              <w:spacing w:before="0" w:after="283"/>
              <w:jc w:val="right"/>
              <w:rPr/>
            </w:pPr>
            <w:r>
              <w:rPr/>
              <w:t>111.14%</w:t>
            </w:r>
          </w:p>
        </w:tc>
        <w:tc>
          <w:tcPr>
            <w:tcW w:w="13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1F2668"/>
            </w:tcBorders>
            <w:tcMar>
              <w:bottom w:w="28" w:type="dxa"/>
            </w:tcMar>
            <w:vAlign w:val="center"/>
          </w:tcPr>
          <w:p>
            <w:pPr>
              <w:pStyle w:val="TableContents"/>
              <w:bidi w:val="0"/>
              <w:spacing w:before="0" w:after="283"/>
              <w:jc w:val="left"/>
              <w:rPr/>
            </w:pPr>
            <w:r>
              <w:rPr/>
              <w:t>​</w:t>
            </w:r>
          </w:p>
        </w:tc>
        <w:tc>
          <w:tcPr>
            <w:tcW w:w="284" w:type="dxa"/>
            <w:tcBorders>
              <w:bottom w:val="single" w:sz="2" w:space="0" w:color="1F2668"/>
            </w:tcBorders>
            <w:tcMar>
              <w:bottom w:w="70" w:type="dxa"/>
            </w:tcMar>
            <w:vAlign w:val="center"/>
          </w:tcPr>
          <w:p>
            <w:pPr>
              <w:pStyle w:val="TableContents"/>
              <w:bidi w:val="0"/>
              <w:spacing w:before="0" w:after="283"/>
              <w:jc w:val="right"/>
              <w:rPr/>
            </w:pPr>
            <w:r>
              <w:rPr/>
              <w:t>$</w:t>
            </w:r>
          </w:p>
        </w:tc>
        <w:tc>
          <w:tcPr>
            <w:tcW w:w="1341" w:type="dxa"/>
            <w:tcBorders>
              <w:bottom w:val="single" w:sz="2" w:space="0" w:color="1F2668"/>
            </w:tcBorders>
            <w:tcMar>
              <w:bottom w:w="70" w:type="dxa"/>
            </w:tcMar>
            <w:vAlign w:val="center"/>
          </w:tcPr>
          <w:p>
            <w:pPr>
              <w:pStyle w:val="TableContents"/>
              <w:bidi w:val="0"/>
              <w:spacing w:before="0" w:after="283"/>
              <w:jc w:val="right"/>
              <w:rPr/>
            </w:pPr>
            <w:r>
              <w:rPr/>
              <w:t>1,167,000</w:t>
            </w:r>
          </w:p>
        </w:tc>
        <w:tc>
          <w:tcPr>
            <w:tcW w:w="137"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For the remaining 40% of Mr. DiLiberto’s 2023 bonus opportunity, a discretionary bonus potential of $778,000 was calculated pursuant to his employment agreement, as amended, based on the amount of formulaic bonus that was earned, of which Mr. DiLiberto was awarded $533,000 by the Committee. </w:t>
      </w:r>
      <w:r>
        <mc:AlternateContent>
          <mc:Choice Requires="wps">
            <w:drawing>
              <wp:anchor behindDoc="0" distT="152400" distB="0" distL="0" distR="0" simplePos="0" locked="0" layoutInCell="1" allowOverlap="1" relativeHeight="730">
                <wp:simplePos x="0" y="0"/>
                <wp:positionH relativeFrom="column">
                  <wp:align>left</wp:align>
                </wp:positionH>
                <wp:positionV relativeFrom="line">
                  <wp:align>top</wp:align>
                </wp:positionV>
                <wp:extent cx="254000" cy="254000"/>
                <wp:effectExtent l="0" t="0" r="0" b="0"/>
                <wp:wrapSquare wrapText="right"/>
                <wp:docPr id="758" name="Frame41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 xml:space="preserve">2023 Operational Component Performance Goals </w:t>
        <w:br/>
        <w:t>(50% of Annual Equity Award)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operational component of our annual performance-based equity awards measures our performance against five objective criteria over a one-year performance period, which remain subject to an absolute TSR modifier (either up or down 12.5%) based on our absolute TSR performance over a three-year performance period.</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t>The objective criteria used for 2023 were the same as for 2022, except that we replaced the Debt/EBITDA Ratio metric with the Combined Net Debt Reduction metric to better align with our strategic business goals for 2023.</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300" w:before="36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One-Year Operational Objectives</w:t>
      </w:r>
      <w:r>
        <w:rPr>
          <w:rFonts w:ascii="Arial;Helvetica;sans-serif" w:hAnsi="Arial;Helvetica;sans-serif"/>
          <w:b/>
          <w:i w:val="false"/>
          <w:caps w:val="false"/>
          <w:smallCaps w:val="false"/>
          <w:color w:val="000000"/>
          <w:spacing w:val="5"/>
          <w:sz w:val="26"/>
        </w:rPr>
        <w:t xml:space="preserve"> </w:t>
      </w:r>
    </w:p>
    <w:tbl>
      <w:tblPr>
        <w:tblW w:w="9305" w:type="dxa"/>
        <w:jc w:val="left"/>
        <w:tblInd w:w="900" w:type="dxa"/>
        <w:tblLayout w:type="fixed"/>
        <w:tblCellMar>
          <w:top w:w="0" w:type="dxa"/>
          <w:left w:w="0" w:type="dxa"/>
          <w:bottom w:w="43" w:type="dxa"/>
          <w:right w:w="0" w:type="dxa"/>
        </w:tblCellMar>
      </w:tblPr>
      <w:tblGrid>
        <w:gridCol w:w="2575"/>
        <w:gridCol w:w="109"/>
        <w:gridCol w:w="109"/>
        <w:gridCol w:w="1118"/>
        <w:gridCol w:w="109"/>
        <w:gridCol w:w="109"/>
        <w:gridCol w:w="1095"/>
        <w:gridCol w:w="109"/>
        <w:gridCol w:w="109"/>
        <w:gridCol w:w="1193"/>
        <w:gridCol w:w="120"/>
        <w:gridCol w:w="120"/>
        <w:gridCol w:w="827"/>
        <w:gridCol w:w="120"/>
        <w:gridCol w:w="120"/>
        <w:gridCol w:w="1207"/>
        <w:gridCol w:w="156"/>
      </w:tblGrid>
      <w:tr>
        <w:trPr/>
        <w:tc>
          <w:tcPr>
            <w:tcW w:w="2575"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 Reason Selected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1F2668"/>
            </w:tcBorders>
            <w:vAlign w:val="center"/>
          </w:tcPr>
          <w:p>
            <w:pPr>
              <w:pStyle w:val="TableContents"/>
              <w:bidi w:val="0"/>
              <w:spacing w:before="0" w:after="0"/>
              <w:jc w:val="center"/>
              <w:rPr>
                <w:spacing w:val="2"/>
              </w:rPr>
            </w:pPr>
            <w:r>
              <w:rPr>
                <w:spacing w:val="2"/>
              </w:rPr>
              <w:t xml:space="preserve">Weighting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5" w:type="dxa"/>
            <w:tcBorders>
              <w:bottom w:val="single" w:sz="2" w:space="0" w:color="1F2668"/>
            </w:tcBorders>
            <w:vAlign w:val="center"/>
          </w:tcPr>
          <w:p>
            <w:pPr>
              <w:pStyle w:val="TableContents"/>
              <w:bidi w:val="0"/>
              <w:spacing w:before="0" w:after="0"/>
              <w:jc w:val="center"/>
              <w:rPr/>
            </w:pPr>
            <w:r>
              <w:rPr>
                <w:spacing w:val="2"/>
              </w:rPr>
              <w:t>Guidance/</w:t>
            </w:r>
            <w:r>
              <w:rPr/>
              <w:t>​</w:t>
              <w:br/>
            </w:r>
            <w:r>
              <w:rPr>
                <w:spacing w:val="2"/>
              </w:rPr>
              <w:t xml:space="preserve">Goal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3"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br/>
              <w:t xml:space="preserve">(50%) </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827" w:type="dxa"/>
            <w:tcBorders>
              <w:bottom w:val="single" w:sz="2" w:space="0" w:color="1F2668"/>
            </w:tcBorders>
            <w:vAlign w:val="center"/>
          </w:tcPr>
          <w:p>
            <w:pPr>
              <w:pStyle w:val="TableContents"/>
              <w:bidi w:val="0"/>
              <w:spacing w:before="0" w:after="0"/>
              <w:jc w:val="center"/>
              <w:rPr>
                <w:spacing w:val="2"/>
              </w:rPr>
            </w:pPr>
            <w:r>
              <w:rPr>
                <w:spacing w:val="2"/>
              </w:rPr>
              <w:t xml:space="preserve">Target </w:t>
              <w:br/>
              <w:t xml:space="preserve">(100%) </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7" w:type="dxa"/>
            <w:tcBorders>
              <w:bottom w:val="single" w:sz="2" w:space="0" w:color="1F2668"/>
            </w:tcBorders>
            <w:vAlign w:val="center"/>
          </w:tcPr>
          <w:p>
            <w:pPr>
              <w:pStyle w:val="TableContents"/>
              <w:bidi w:val="0"/>
              <w:spacing w:before="0" w:after="0"/>
              <w:jc w:val="center"/>
              <w:rPr>
                <w:spacing w:val="2"/>
              </w:rPr>
            </w:pPr>
            <w:r>
              <w:rPr>
                <w:spacing w:val="2"/>
              </w:rPr>
              <w:t xml:space="preserve">Maximum </w:t>
              <w:br/>
              <w:t xml:space="preserve">(200%) </w:t>
            </w:r>
          </w:p>
        </w:tc>
        <w:tc>
          <w:tcPr>
            <w:tcW w:w="156"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575" w:type="dxa"/>
            <w:tcBorders>
              <w:bottom w:val="single" w:sz="2" w:space="0" w:color="4B5088"/>
            </w:tcBorders>
            <w:tcMar>
              <w:bottom w:w="28" w:type="dxa"/>
            </w:tcMar>
            <w:vAlign w:val="center"/>
          </w:tcPr>
          <w:p>
            <w:pPr>
              <w:pStyle w:val="TableContents"/>
              <w:bidi w:val="0"/>
              <w:spacing w:lineRule="atLeast" w:line="220" w:before="0" w:after="0"/>
              <w:jc w:val="left"/>
              <w:rPr>
                <w:b/>
                <w:color w:val="000000"/>
              </w:rPr>
            </w:pPr>
            <w:r>
              <w:rPr>
                <w:b/>
                <w:color w:val="000000"/>
              </w:rPr>
              <w:t>Normalized Funds Available for Distribution</w:t>
            </w:r>
          </w:p>
          <w:p>
            <w:pPr>
              <w:pStyle w:val="TableContents"/>
              <w:bidi w:val="0"/>
              <w:spacing w:lineRule="atLeast" w:line="220" w:before="160" w:after="0"/>
              <w:ind w:left="180" w:right="0" w:hanging="0"/>
              <w:jc w:val="left"/>
              <w:rPr>
                <w:spacing w:val="-2"/>
              </w:rPr>
            </w:pPr>
            <w:r>
              <w:rPr>
                <w:spacing w:val="-2"/>
              </w:rPr>
              <w:t xml:space="preserve">A key measurement of our ability to fund our dividends that is driven by the effective management of our portfolio and our business </w:t>
            </w:r>
            <w:r>
              <mc:AlternateContent>
                <mc:Choice Requires="wps">
                  <w:drawing>
                    <wp:anchor behindDoc="0" distT="101600" distB="0" distL="0" distR="0" simplePos="0" locked="0" layoutInCell="1" allowOverlap="1" relativeHeight="731">
                      <wp:simplePos x="0" y="0"/>
                      <wp:positionH relativeFrom="column">
                        <wp:align>left</wp:align>
                      </wp:positionH>
                      <wp:positionV relativeFrom="line">
                        <wp:align>top</wp:align>
                      </wp:positionV>
                      <wp:extent cx="114300" cy="350520"/>
                      <wp:effectExtent l="0" t="0" r="0" b="0"/>
                      <wp:wrapSquare wrapText="right"/>
                      <wp:docPr id="759" name="Frame4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00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00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color w:val="000000"/>
                <w:spacing w:val="-2"/>
              </w:rPr>
            </w:pPr>
            <w:r>
              <w:rPr>
                <w:color w:val="000000"/>
                <w:spacing w:val="-2"/>
              </w:rPr>
              <w:t xml:space="preserve">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color w:val="000000"/>
                <w:spacing w:val="-2"/>
              </w:rPr>
            </w:pPr>
            <w:r>
              <w:rPr>
                <w:color w:val="000000"/>
                <w:spacing w:val="-2"/>
              </w:rPr>
              <w:t xml:space="preserve">$221.3M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7"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60"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263" descr=""/>
                          <pic:cNvPicPr>
                            <a:picLocks noChangeAspect="1" noChangeArrowheads="1"/>
                          </pic:cNvPicPr>
                        </pic:nvPicPr>
                        <pic:blipFill>
                          <a:blip r:embed="rId348"/>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75"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Combined Net Debt Reduction</w:t>
            </w:r>
          </w:p>
          <w:p>
            <w:pPr>
              <w:pStyle w:val="TableContents"/>
              <w:bidi w:val="0"/>
              <w:spacing w:lineRule="atLeast" w:line="220" w:before="160" w:after="0"/>
              <w:ind w:left="180" w:right="0" w:hanging="0"/>
              <w:jc w:val="left"/>
              <w:rPr>
                <w:spacing w:val="-2"/>
              </w:rPr>
            </w:pPr>
            <w:r>
              <w:rPr>
                <w:spacing w:val="-2"/>
              </w:rPr>
              <w:t xml:space="preserve">A measure that reflects the health of our balance sheet and the execution of a key strategic business objective </w:t>
            </w:r>
            <w:r>
              <mc:AlternateContent>
                <mc:Choice Requires="wps">
                  <w:drawing>
                    <wp:anchor behindDoc="0" distT="101600" distB="0" distL="0" distR="0" simplePos="0" locked="0" layoutInCell="1" allowOverlap="1" relativeHeight="732">
                      <wp:simplePos x="0" y="0"/>
                      <wp:positionH relativeFrom="column">
                        <wp:align>left</wp:align>
                      </wp:positionH>
                      <wp:positionV relativeFrom="line">
                        <wp:align>top</wp:align>
                      </wp:positionV>
                      <wp:extent cx="114300" cy="350520"/>
                      <wp:effectExtent l="0" t="0" r="0" b="0"/>
                      <wp:wrapSquare wrapText="right"/>
                      <wp:docPr id="761" name="Frame4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$2.5B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7"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6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264" descr=""/>
                          <pic:cNvPicPr>
                            <a:picLocks noChangeAspect="1" noChangeArrowheads="1"/>
                          </pic:cNvPicPr>
                        </pic:nvPicPr>
                        <pic:blipFill>
                          <a:blip r:embed="rId349"/>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75" w:type="dxa"/>
            <w:tcBorders>
              <w:bottom w:val="single" w:sz="2" w:space="0" w:color="4B5088"/>
            </w:tcBorders>
            <w:tcMar>
              <w:bottom w:w="28" w:type="dxa"/>
            </w:tcMar>
            <w:vAlign w:val="center"/>
          </w:tcPr>
          <w:p>
            <w:pPr>
              <w:pStyle w:val="TableContents"/>
              <w:bidi w:val="0"/>
              <w:spacing w:lineRule="atLeast" w:line="220" w:before="0" w:after="0"/>
              <w:jc w:val="left"/>
              <w:rPr>
                <w:b/>
              </w:rPr>
            </w:pPr>
            <w:r>
              <w:rPr>
                <w:b/>
              </w:rPr>
              <w:t>Manhattan Same Store Office Leased Occupancy</w:t>
            </w:r>
          </w:p>
          <w:p>
            <w:pPr>
              <w:pStyle w:val="TableContents"/>
              <w:bidi w:val="0"/>
              <w:spacing w:lineRule="atLeast" w:line="220" w:before="160" w:after="0"/>
              <w:ind w:left="180" w:right="0" w:hanging="0"/>
              <w:jc w:val="left"/>
              <w:rPr>
                <w:spacing w:val="-2"/>
              </w:rPr>
            </w:pPr>
            <w:r>
              <w:rPr>
                <w:spacing w:val="-2"/>
              </w:rPr>
              <w:t xml:space="preserve">A measure of how effectively we manage properties owned by us in a similar manner in both reporting periods (year over year) </w:t>
            </w:r>
            <w:r>
              <mc:AlternateContent>
                <mc:Choice Requires="wps">
                  <w:drawing>
                    <wp:anchor behindDoc="0" distT="101600" distB="0" distL="0" distR="0" simplePos="0" locked="0" layoutInCell="1" allowOverlap="1" relativeHeight="733">
                      <wp:simplePos x="0" y="0"/>
                      <wp:positionH relativeFrom="column">
                        <wp:align>left</wp:align>
                      </wp:positionH>
                      <wp:positionV relativeFrom="line">
                        <wp:align>top</wp:align>
                      </wp:positionV>
                      <wp:extent cx="114300" cy="350520"/>
                      <wp:effectExtent l="0" t="0" r="0" b="0"/>
                      <wp:wrapSquare wrapText="right"/>
                      <wp:docPr id="763" name="Frame4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color w:val="0000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000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color w:val="000000"/>
                <w:spacing w:val="-2"/>
              </w:rPr>
            </w:pPr>
            <w:r>
              <w:rPr>
                <w:color w:val="000000"/>
                <w:spacing w:val="-2"/>
              </w:rPr>
              <w:t xml:space="preserve">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color w:val="000000"/>
                <w:spacing w:val="-2"/>
              </w:rPr>
            </w:pPr>
            <w:r>
              <w:rPr>
                <w:color w:val="000000"/>
                <w:spacing w:val="-2"/>
              </w:rPr>
              <w:t xml:space="preserve">92.40%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7"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95525" cy="457200"/>
                  <wp:effectExtent l="0" t="0" r="0" b="0"/>
                  <wp:docPr id="76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265" descr=""/>
                          <pic:cNvPicPr>
                            <a:picLocks noChangeAspect="1" noChangeArrowheads="1"/>
                          </pic:cNvPicPr>
                        </pic:nvPicPr>
                        <pic:blipFill>
                          <a:blip r:embed="rId350"/>
                          <a:stretch>
                            <a:fillRect/>
                          </a:stretch>
                        </pic:blipFill>
                        <pic:spPr bwMode="auto">
                          <a:xfrm>
                            <a:off x="0" y="0"/>
                            <a:ext cx="2295525"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75"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Manhattan Office Leasing Volume</w:t>
            </w:r>
          </w:p>
          <w:p>
            <w:pPr>
              <w:pStyle w:val="TableContents"/>
              <w:bidi w:val="0"/>
              <w:spacing w:lineRule="atLeast" w:line="220" w:before="160" w:after="0"/>
              <w:ind w:left="180" w:right="0" w:hanging="0"/>
              <w:jc w:val="left"/>
              <w:rPr>
                <w:spacing w:val="-2"/>
              </w:rPr>
            </w:pPr>
            <w:r>
              <w:rPr>
                <w:spacing w:val="-2"/>
              </w:rPr>
              <w:t xml:space="preserve">A measure of our ability to execute our leasing </w:t>
              <w:br/>
              <w:t xml:space="preserve">platform in the highly competitive New York City </w:t>
              <w:br/>
              <w:t xml:space="preserve">real estate market </w:t>
            </w:r>
            <w:r>
              <mc:AlternateContent>
                <mc:Choice Requires="wps">
                  <w:drawing>
                    <wp:anchor behindDoc="0" distT="101600" distB="0" distL="0" distR="0" simplePos="0" locked="0" layoutInCell="1" allowOverlap="1" relativeHeight="734">
                      <wp:simplePos x="0" y="0"/>
                      <wp:positionH relativeFrom="column">
                        <wp:align>left</wp:align>
                      </wp:positionH>
                      <wp:positionV relativeFrom="line">
                        <wp:align>top</wp:align>
                      </wp:positionV>
                      <wp:extent cx="114300" cy="350520"/>
                      <wp:effectExtent l="0" t="0" r="0" b="0"/>
                      <wp:wrapSquare wrapText="right"/>
                      <wp:docPr id="765" name="Frame4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1.7M SF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7"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266" descr=""/>
                          <pic:cNvPicPr>
                            <a:picLocks noChangeAspect="1" noChangeArrowheads="1"/>
                          </pic:cNvPicPr>
                        </pic:nvPicPr>
                        <pic:blipFill>
                          <a:blip r:embed="rId351"/>
                          <a:stretch>
                            <a:fillRect/>
                          </a:stretch>
                        </pic:blipFill>
                        <pic:spPr bwMode="auto">
                          <a:xfrm>
                            <a:off x="0" y="0"/>
                            <a:ext cx="2286000"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75" w:type="dxa"/>
            <w:tcBorders>
              <w:bottom w:val="single" w:sz="2" w:space="0" w:color="4B5088"/>
            </w:tcBorders>
            <w:tcMar>
              <w:bottom w:w="120" w:type="dxa"/>
            </w:tcMar>
            <w:vAlign w:val="center"/>
          </w:tcPr>
          <w:p>
            <w:pPr>
              <w:pStyle w:val="TableContents"/>
              <w:bidi w:val="0"/>
              <w:spacing w:lineRule="atLeast" w:line="220" w:before="0" w:after="0"/>
              <w:jc w:val="left"/>
              <w:rPr>
                <w:b/>
                <w:color w:val="1F2668"/>
              </w:rPr>
            </w:pPr>
            <w:r>
              <w:rPr>
                <w:b/>
                <w:color w:val="1F2668"/>
              </w:rPr>
              <w:t>Liquidity</w:t>
            </w:r>
          </w:p>
          <w:p>
            <w:pPr>
              <w:pStyle w:val="TableContents"/>
              <w:bidi w:val="0"/>
              <w:spacing w:lineRule="atLeast" w:line="220" w:before="160" w:after="0"/>
              <w:ind w:left="180" w:right="0" w:hanging="0"/>
              <w:jc w:val="left"/>
              <w:rPr>
                <w:spacing w:val="-2"/>
              </w:rPr>
            </w:pPr>
            <w:r>
              <w:rPr>
                <w:spacing w:val="-2"/>
              </w:rPr>
              <w:t xml:space="preserve">A measurement of our ability to meet our financial obligations and effectively operate our business </w:t>
            </w:r>
            <w:r>
              <mc:AlternateContent>
                <mc:Choice Requires="wps">
                  <w:drawing>
                    <wp:anchor behindDoc="0" distT="101600" distB="0" distL="0" distR="0" simplePos="0" locked="0" layoutInCell="1" allowOverlap="1" relativeHeight="735">
                      <wp:simplePos x="0" y="0"/>
                      <wp:positionH relativeFrom="column">
                        <wp:align>left</wp:align>
                      </wp:positionH>
                      <wp:positionV relativeFrom="line">
                        <wp:align>top</wp:align>
                      </wp:positionV>
                      <wp:extent cx="114300" cy="350520"/>
                      <wp:effectExtent l="0" t="0" r="0" b="0"/>
                      <wp:wrapSquare wrapText="right"/>
                      <wp:docPr id="767" name="Frame4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$1.57B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7"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95525" cy="457200"/>
                  <wp:effectExtent l="0" t="0" r="0" b="0"/>
                  <wp:docPr id="768"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267" descr=""/>
                          <pic:cNvPicPr>
                            <a:picLocks noChangeAspect="1" noChangeArrowheads="1"/>
                          </pic:cNvPicPr>
                        </pic:nvPicPr>
                        <pic:blipFill>
                          <a:blip r:embed="rId352"/>
                          <a:stretch>
                            <a:fillRect/>
                          </a:stretch>
                        </pic:blipFill>
                        <pic:spPr bwMode="auto">
                          <a:xfrm>
                            <a:off x="0" y="0"/>
                            <a:ext cx="2295525" cy="457200"/>
                          </a:xfrm>
                          <a:prstGeom prst="rect">
                            <a:avLst/>
                          </a:prstGeom>
                        </pic:spPr>
                      </pic:pic>
                    </a:graphicData>
                  </a:graphic>
                </wp:inline>
              </w:drawing>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44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Three-year Absolute TSR Modifier</w:t>
      </w:r>
      <w:r>
        <w:rPr>
          <w:rFonts w:ascii="Arial;Helvetica;sans-serif" w:hAnsi="Arial;Helvetica;sans-serif"/>
          <w:b/>
          <w:i w:val="false"/>
          <w:caps w:val="false"/>
          <w:smallCaps w:val="false"/>
          <w:color w:val="000000"/>
          <w:spacing w:val="5"/>
          <w:sz w:val="26"/>
        </w:rPr>
        <w:t xml:space="preserve"> </w:t>
      </w:r>
    </w:p>
    <w:tbl>
      <w:tblPr>
        <w:tblW w:w="9305" w:type="dxa"/>
        <w:jc w:val="left"/>
        <w:tblInd w:w="900" w:type="dxa"/>
        <w:tblLayout w:type="fixed"/>
        <w:tblCellMar>
          <w:top w:w="0" w:type="dxa"/>
          <w:left w:w="0" w:type="dxa"/>
          <w:bottom w:w="43" w:type="dxa"/>
          <w:right w:w="0" w:type="dxa"/>
        </w:tblCellMar>
      </w:tblPr>
      <w:tblGrid>
        <w:gridCol w:w="2592"/>
        <w:gridCol w:w="109"/>
        <w:gridCol w:w="109"/>
        <w:gridCol w:w="1118"/>
        <w:gridCol w:w="109"/>
        <w:gridCol w:w="109"/>
        <w:gridCol w:w="1095"/>
        <w:gridCol w:w="109"/>
        <w:gridCol w:w="109"/>
        <w:gridCol w:w="1194"/>
        <w:gridCol w:w="120"/>
        <w:gridCol w:w="120"/>
        <w:gridCol w:w="807"/>
        <w:gridCol w:w="120"/>
        <w:gridCol w:w="120"/>
        <w:gridCol w:w="1208"/>
        <w:gridCol w:w="157"/>
      </w:tblGrid>
      <w:tr>
        <w:trPr/>
        <w:tc>
          <w:tcPr>
            <w:tcW w:w="2592"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 Reason Selected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1F2668"/>
            </w:tcBorders>
            <w:vAlign w:val="center"/>
          </w:tcPr>
          <w:p>
            <w:pPr>
              <w:pStyle w:val="TableContents"/>
              <w:bidi w:val="0"/>
              <w:spacing w:before="0" w:after="0"/>
              <w:jc w:val="center"/>
              <w:rPr>
                <w:spacing w:val="2"/>
              </w:rPr>
            </w:pPr>
            <w:r>
              <w:rPr>
                <w:spacing w:val="2"/>
              </w:rPr>
              <w:t xml:space="preserve">Weighting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5" w:type="dxa"/>
            <w:tcBorders>
              <w:bottom w:val="single" w:sz="2" w:space="0" w:color="1F2668"/>
            </w:tcBorders>
            <w:vAlign w:val="center"/>
          </w:tcPr>
          <w:p>
            <w:pPr>
              <w:pStyle w:val="TableContents"/>
              <w:bidi w:val="0"/>
              <w:spacing w:before="0" w:after="0"/>
              <w:jc w:val="center"/>
              <w:rPr/>
            </w:pPr>
            <w:r>
              <w:rPr>
                <w:spacing w:val="2"/>
              </w:rPr>
              <w:t>Guidance/</w:t>
            </w:r>
            <w:r>
              <w:rPr/>
              <w:t>​</w:t>
              <w:br/>
            </w:r>
            <w:r>
              <w:rPr>
                <w:spacing w:val="2"/>
              </w:rPr>
              <w:t xml:space="preserve">Goal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94"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807" w:type="dxa"/>
            <w:tcBorders>
              <w:bottom w:val="single" w:sz="2" w:space="0" w:color="1F2668"/>
            </w:tcBorders>
            <w:vAlign w:val="center"/>
          </w:tcPr>
          <w:p>
            <w:pPr>
              <w:pStyle w:val="TableContents"/>
              <w:bidi w:val="0"/>
              <w:spacing w:before="0" w:after="0"/>
              <w:jc w:val="center"/>
              <w:rPr>
                <w:spacing w:val="2"/>
              </w:rPr>
            </w:pPr>
            <w:r>
              <w:rPr>
                <w:spacing w:val="2"/>
              </w:rPr>
              <w:t xml:space="preserve">Target </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208" w:type="dxa"/>
            <w:tcBorders>
              <w:bottom w:val="single" w:sz="2" w:space="0" w:color="1F2668"/>
            </w:tcBorders>
            <w:vAlign w:val="center"/>
          </w:tcPr>
          <w:p>
            <w:pPr>
              <w:pStyle w:val="TableContents"/>
              <w:bidi w:val="0"/>
              <w:spacing w:before="0" w:after="0"/>
              <w:jc w:val="center"/>
              <w:rPr>
                <w:spacing w:val="2"/>
              </w:rPr>
            </w:pPr>
            <w:r>
              <w:rPr>
                <w:spacing w:val="2"/>
              </w:rPr>
              <w:t xml:space="preserve">Maximum </w:t>
            </w:r>
          </w:p>
        </w:tc>
        <w:tc>
          <w:tcPr>
            <w:tcW w:w="157"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592" w:type="dxa"/>
            <w:tcBorders>
              <w:bottom w:val="single" w:sz="2" w:space="0" w:color="4B5088"/>
            </w:tcBorders>
            <w:tcMar>
              <w:bottom w:w="120" w:type="dxa"/>
            </w:tcMar>
            <w:vAlign w:val="center"/>
          </w:tcPr>
          <w:p>
            <w:pPr>
              <w:pStyle w:val="TableContents"/>
              <w:bidi w:val="0"/>
              <w:spacing w:lineRule="atLeast" w:line="220" w:before="0" w:after="0"/>
              <w:jc w:val="left"/>
              <w:rPr>
                <w:b/>
                <w:color w:val="1F2668"/>
              </w:rPr>
            </w:pPr>
            <w:r>
              <w:rPr>
                <w:b/>
                <w:color w:val="1F2668"/>
              </w:rPr>
              <w:t>Absolute TSR per Year</w:t>
            </w:r>
            <w:r>
              <w:rPr>
                <w:b/>
                <w:color w:val="1F2668"/>
                <w:sz w:val="11"/>
              </w:rPr>
              <w:t>(1)</w:t>
            </w:r>
          </w:p>
          <w:p>
            <w:pPr>
              <w:pStyle w:val="TableContents"/>
              <w:bidi w:val="0"/>
              <w:spacing w:lineRule="atLeast" w:line="220" w:before="160" w:after="0"/>
              <w:ind w:left="180" w:right="0" w:hanging="0"/>
              <w:jc w:val="left"/>
              <w:rPr/>
            </w:pPr>
            <w:r>
              <w:rPr>
                <w:spacing w:val="-2"/>
              </w:rPr>
              <w:t>Absolute TSR is a pure measurement of value delivered to stockholders who were invested in our stock for the three-year performance period</w:t>
            </w:r>
            <w:r>
              <w:rPr/>
              <w:t xml:space="preserve"> </w:t>
            </w:r>
            <w:r>
              <mc:AlternateContent>
                <mc:Choice Requires="wps">
                  <w:drawing>
                    <wp:anchor behindDoc="0" distT="101600" distB="0" distL="0" distR="0" simplePos="0" locked="0" layoutInCell="1" allowOverlap="1" relativeHeight="736">
                      <wp:simplePos x="0" y="0"/>
                      <wp:positionH relativeFrom="column">
                        <wp:align>left</wp:align>
                      </wp:positionH>
                      <wp:positionV relativeFrom="line">
                        <wp:align>top</wp:align>
                      </wp:positionV>
                      <wp:extent cx="114300" cy="350520"/>
                      <wp:effectExtent l="0" t="0" r="0" b="0"/>
                      <wp:wrapSquare wrapText="right"/>
                      <wp:docPr id="769" name="Frame4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8" w:type="dxa"/>
            <w:tcBorders>
              <w:bottom w:val="single" w:sz="2" w:space="0" w:color="4B5088"/>
            </w:tcBorders>
            <w:tcMar>
              <w:bottom w:w="28" w:type="dxa"/>
            </w:tcMar>
            <w:vAlign w:val="center"/>
          </w:tcPr>
          <w:p>
            <w:pPr>
              <w:pStyle w:val="TableContents"/>
              <w:bidi w:val="0"/>
              <w:spacing w:lineRule="atLeast" w:line="220" w:before="0" w:after="0"/>
              <w:jc w:val="center"/>
              <w:rPr>
                <w:spacing w:val="-2"/>
              </w:rPr>
            </w:pPr>
            <w:r>
              <w:rPr>
                <w:spacing w:val="-2"/>
              </w:rPr>
              <w:t xml:space="preserve">+/- 12.5%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5" w:type="dxa"/>
            <w:tcBorders>
              <w:bottom w:val="single" w:sz="2" w:space="0" w:color="4B5088"/>
            </w:tcBorders>
            <w:tcMar>
              <w:bottom w:w="28" w:type="dxa"/>
            </w:tcMar>
            <w:vAlign w:val="center"/>
          </w:tcPr>
          <w:p>
            <w:pPr>
              <w:pStyle w:val="TableContents"/>
              <w:bidi w:val="0"/>
              <w:spacing w:lineRule="atLeast" w:line="220" w:before="0" w:after="0"/>
              <w:jc w:val="center"/>
              <w:rPr/>
            </w:pPr>
            <w:r>
              <w:rPr>
                <w:spacing w:val="-2"/>
              </w:rPr>
              <w:t>N/A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89"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2286000" cy="457200"/>
                  <wp:effectExtent l="0" t="0" r="0" b="0"/>
                  <wp:docPr id="770"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268" descr=""/>
                          <pic:cNvPicPr>
                            <a:picLocks noChangeAspect="1" noChangeArrowheads="1"/>
                          </pic:cNvPicPr>
                        </pic:nvPicPr>
                        <pic:blipFill>
                          <a:blip r:embed="rId353"/>
                          <a:stretch>
                            <a:fillRect/>
                          </a:stretch>
                        </pic:blipFill>
                        <pic:spPr bwMode="auto">
                          <a:xfrm>
                            <a:off x="0" y="0"/>
                            <a:ext cx="2286000" cy="457200"/>
                          </a:xfrm>
                          <a:prstGeom prst="rect">
                            <a:avLst/>
                          </a:prstGeom>
                        </pic:spPr>
                      </pic:pic>
                    </a:graphicData>
                  </a:graphic>
                </wp:inline>
              </w:drawing>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Calculated as of December 31, 2023, assuming our performance continued through the full three-year performance period. </w:t>
      </w:r>
      <w:r>
        <mc:AlternateContent>
          <mc:Choice Requires="wps">
            <w:drawing>
              <wp:anchor behindDoc="0" distT="177800" distB="0" distL="0" distR="0" simplePos="0" locked="0" layoutInCell="1" allowOverlap="1" relativeHeight="737">
                <wp:simplePos x="0" y="0"/>
                <wp:positionH relativeFrom="column">
                  <wp:align>left</wp:align>
                </wp:positionH>
                <wp:positionV relativeFrom="line">
                  <wp:align>top</wp:align>
                </wp:positionV>
                <wp:extent cx="254000" cy="254000"/>
                <wp:effectExtent l="0" t="0" r="0" b="0"/>
                <wp:wrapSquare wrapText="right"/>
                <wp:docPr id="771" name="Frame42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 xml:space="preserve">2023 Relative Component Performance Goals </w:t>
        <w:br/>
        <w:t>(50% of Annual Equity Award)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relative component of our annual performance-based equity awards measures our performance against two peer sets over a </w:t>
      </w:r>
      <w:r>
        <w:rPr>
          <w:rFonts w:ascii="Arial;Helvetica;sans-serif" w:hAnsi="Arial;Helvetica;sans-serif"/>
          <w:b/>
          <w:i w:val="false"/>
          <w:caps w:val="false"/>
          <w:smallCaps w:val="false"/>
          <w:color w:val="1F2668"/>
          <w:sz w:val="18"/>
        </w:rPr>
        <w:t>three-year performance period</w:t>
      </w:r>
      <w:r>
        <w:rPr>
          <w:rFonts w:ascii="Arial;Helvetica;sans-serif" w:hAnsi="Arial;Helvetica;sans-serif"/>
          <w:b w:val="false"/>
          <w:i w:val="false"/>
          <w:caps w:val="false"/>
          <w:smallCaps w:val="false"/>
          <w:color w:val="000000"/>
          <w:spacing w:val="-2"/>
          <w:sz w:val="18"/>
        </w:rPr>
        <w: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relative component is weighted equally between our performance relative to Office REIT Peers and NYC REIT Peers. As of December 31, 2023, based on our one-year TSR relative to the Office REIT Peers and the NYC REIT Peers, our performance would have placed us at maximum performance for both portions of the relative component.</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43" w:type="dxa"/>
          <w:right w:w="0" w:type="dxa"/>
        </w:tblCellMar>
      </w:tblPr>
      <w:tblGrid>
        <w:gridCol w:w="2771"/>
        <w:gridCol w:w="109"/>
        <w:gridCol w:w="109"/>
        <w:gridCol w:w="1114"/>
        <w:gridCol w:w="109"/>
        <w:gridCol w:w="109"/>
        <w:gridCol w:w="1562"/>
        <w:gridCol w:w="157"/>
        <w:gridCol w:w="157"/>
        <w:gridCol w:w="1055"/>
        <w:gridCol w:w="157"/>
        <w:gridCol w:w="157"/>
        <w:gridCol w:w="1581"/>
        <w:gridCol w:w="158"/>
      </w:tblGrid>
      <w:tr>
        <w:trPr/>
        <w:tc>
          <w:tcPr>
            <w:tcW w:w="2771" w:type="dxa"/>
            <w:tcBorders>
              <w:bottom w:val="single" w:sz="2" w:space="0" w:color="1F2668"/>
            </w:tcBorders>
            <w:vAlign w:val="center"/>
          </w:tcPr>
          <w:p>
            <w:pPr>
              <w:pStyle w:val="TableContents"/>
              <w:bidi w:val="0"/>
              <w:spacing w:before="0" w:after="0"/>
              <w:jc w:val="left"/>
              <w:rPr>
                <w:spacing w:val="2"/>
              </w:rPr>
            </w:pPr>
            <w:r>
              <w:rPr>
                <w:spacing w:val="2"/>
              </w:rPr>
              <w:t xml:space="preserve">Performance Criteria / Reason Selected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1F2668"/>
            </w:tcBorders>
            <w:vAlign w:val="center"/>
          </w:tcPr>
          <w:p>
            <w:pPr>
              <w:pStyle w:val="TableContents"/>
              <w:bidi w:val="0"/>
              <w:spacing w:before="0" w:after="0"/>
              <w:jc w:val="center"/>
              <w:rPr>
                <w:spacing w:val="2"/>
              </w:rPr>
            </w:pPr>
            <w:r>
              <w:rPr>
                <w:spacing w:val="2"/>
              </w:rPr>
              <w:t xml:space="preserve">Weighting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562" w:type="dxa"/>
            <w:tcBorders>
              <w:bottom w:val="single" w:sz="2" w:space="0" w:color="1F2668"/>
            </w:tcBorders>
            <w:vAlign w:val="center"/>
          </w:tcPr>
          <w:p>
            <w:pPr>
              <w:pStyle w:val="TableContents"/>
              <w:bidi w:val="0"/>
              <w:spacing w:before="0" w:after="0"/>
              <w:jc w:val="center"/>
              <w:rPr>
                <w:spacing w:val="2"/>
              </w:rPr>
            </w:pPr>
            <w:r>
              <w:rPr>
                <w:spacing w:val="2"/>
              </w:rPr>
              <w:t xml:space="preserve">Threshold </w:t>
              <w:br/>
              <w:t xml:space="preserve">(50%) </w:t>
            </w:r>
          </w:p>
        </w:tc>
        <w:tc>
          <w:tcPr>
            <w:tcW w:w="157"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1F2668"/>
            </w:tcBorders>
            <w:tcMar>
              <w:bottom w:w="28" w:type="dxa"/>
            </w:tcMar>
            <w:vAlign w:val="center"/>
          </w:tcPr>
          <w:p>
            <w:pPr>
              <w:pStyle w:val="TableContents"/>
              <w:bidi w:val="0"/>
              <w:spacing w:before="0" w:after="283"/>
              <w:jc w:val="left"/>
              <w:rPr/>
            </w:pPr>
            <w:r>
              <w:rPr/>
              <w:t>​</w:t>
            </w:r>
          </w:p>
        </w:tc>
        <w:tc>
          <w:tcPr>
            <w:tcW w:w="1055" w:type="dxa"/>
            <w:tcBorders>
              <w:bottom w:val="single" w:sz="2" w:space="0" w:color="1F2668"/>
            </w:tcBorders>
            <w:vAlign w:val="center"/>
          </w:tcPr>
          <w:p>
            <w:pPr>
              <w:pStyle w:val="TableContents"/>
              <w:bidi w:val="0"/>
              <w:spacing w:before="0" w:after="0"/>
              <w:jc w:val="center"/>
              <w:rPr>
                <w:spacing w:val="2"/>
              </w:rPr>
            </w:pPr>
            <w:r>
              <w:rPr>
                <w:spacing w:val="2"/>
              </w:rPr>
              <w:t xml:space="preserve">Target </w:t>
              <w:br/>
              <w:t xml:space="preserve">(100%) </w:t>
            </w:r>
          </w:p>
        </w:tc>
        <w:tc>
          <w:tcPr>
            <w:tcW w:w="157"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1F2668"/>
            </w:tcBorders>
            <w:tcMar>
              <w:bottom w:w="28" w:type="dxa"/>
            </w:tcMar>
            <w:vAlign w:val="center"/>
          </w:tcPr>
          <w:p>
            <w:pPr>
              <w:pStyle w:val="TableContents"/>
              <w:bidi w:val="0"/>
              <w:spacing w:before="0" w:after="283"/>
              <w:jc w:val="left"/>
              <w:rPr/>
            </w:pPr>
            <w:r>
              <w:rPr/>
              <w:t>​</w:t>
            </w:r>
          </w:p>
        </w:tc>
        <w:tc>
          <w:tcPr>
            <w:tcW w:w="1581" w:type="dxa"/>
            <w:tcBorders>
              <w:bottom w:val="single" w:sz="2" w:space="0" w:color="1F2668"/>
            </w:tcBorders>
            <w:vAlign w:val="center"/>
          </w:tcPr>
          <w:p>
            <w:pPr>
              <w:pStyle w:val="TableContents"/>
              <w:bidi w:val="0"/>
              <w:spacing w:before="0" w:after="0"/>
              <w:jc w:val="center"/>
              <w:rPr>
                <w:spacing w:val="2"/>
              </w:rPr>
            </w:pPr>
            <w:r>
              <w:rPr>
                <w:spacing w:val="2"/>
              </w:rPr>
              <w:t xml:space="preserve">Maximum </w:t>
              <w:br/>
              <w:t xml:space="preserve">(200%) </w:t>
            </w:r>
          </w:p>
        </w:tc>
        <w:tc>
          <w:tcPr>
            <w:tcW w:w="158" w:type="dxa"/>
            <w:tcBorders>
              <w:bottom w:val="single" w:sz="12" w:space="0" w:color="FFFFFF"/>
            </w:tcBorders>
            <w:tcMar>
              <w:bottom w:w="28" w:type="dxa"/>
            </w:tcMar>
            <w:vAlign w:val="center"/>
          </w:tcPr>
          <w:p>
            <w:pPr>
              <w:pStyle w:val="TableContents"/>
              <w:bidi w:val="0"/>
              <w:spacing w:before="0" w:after="283"/>
              <w:jc w:val="left"/>
              <w:rPr/>
            </w:pPr>
            <w:r>
              <w:rPr/>
              <w:t>​</w:t>
            </w:r>
          </w:p>
        </w:tc>
      </w:tr>
      <w:tr>
        <w:trPr/>
        <w:tc>
          <w:tcPr>
            <w:tcW w:w="2771" w:type="dxa"/>
            <w:tcBorders>
              <w:bottom w:val="single" w:sz="2" w:space="0" w:color="4B5088"/>
            </w:tcBorders>
            <w:tcMar>
              <w:bottom w:w="28" w:type="dxa"/>
            </w:tcMar>
            <w:vAlign w:val="center"/>
          </w:tcPr>
          <w:p>
            <w:pPr>
              <w:pStyle w:val="TableContents"/>
              <w:bidi w:val="0"/>
              <w:spacing w:lineRule="atLeast" w:line="220" w:before="0" w:after="0"/>
              <w:jc w:val="left"/>
              <w:rPr>
                <w:b/>
                <w:color w:val="1F2668"/>
              </w:rPr>
            </w:pPr>
            <w:r>
              <w:rPr>
                <w:b/>
                <w:color w:val="1F2668"/>
              </w:rPr>
              <w:t>Relative TSR vs. Office REIT Peers</w:t>
            </w:r>
            <w:r>
              <w:rPr>
                <w:b/>
                <w:color w:val="1F2668"/>
                <w:sz w:val="11"/>
              </w:rPr>
              <w:t>(1)</w:t>
            </w:r>
          </w:p>
          <w:p>
            <w:pPr>
              <w:pStyle w:val="TableContents"/>
              <w:bidi w:val="0"/>
              <w:spacing w:lineRule="atLeast" w:line="220" w:before="160" w:after="0"/>
              <w:ind w:left="180" w:right="0" w:hanging="0"/>
              <w:jc w:val="left"/>
              <w:rPr>
                <w:spacing w:val="-2"/>
              </w:rPr>
            </w:pPr>
            <w:r>
              <w:rPr>
                <w:spacing w:val="-2"/>
              </w:rPr>
              <w:t xml:space="preserve">A comparison of the returns of a hypothetical investor seeking exposure to office REITs as an asset class and reflects how we performed versus other companies in our sector </w:t>
            </w:r>
            <w:r>
              <mc:AlternateContent>
                <mc:Choice Requires="wps">
                  <w:drawing>
                    <wp:anchor behindDoc="0" distT="101600" distB="0" distL="0" distR="0" simplePos="0" locked="0" layoutInCell="1" allowOverlap="1" relativeHeight="738">
                      <wp:simplePos x="0" y="0"/>
                      <wp:positionH relativeFrom="column">
                        <wp:align>left</wp:align>
                      </wp:positionH>
                      <wp:positionV relativeFrom="line">
                        <wp:align>top</wp:align>
                      </wp:positionV>
                      <wp:extent cx="114300" cy="350520"/>
                      <wp:effectExtent l="0" t="0" r="0" b="0"/>
                      <wp:wrapSquare wrapText="right"/>
                      <wp:docPr id="772" name="Frame4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4B5088"/>
            </w:tcBorders>
            <w:tcMar>
              <w:bottom w:w="37" w:type="dxa"/>
            </w:tcMar>
            <w:vAlign w:val="center"/>
          </w:tcPr>
          <w:p>
            <w:pPr>
              <w:pStyle w:val="TableContents"/>
              <w:bidi w:val="0"/>
              <w:spacing w:lineRule="atLeast" w:line="220" w:before="0" w:after="0"/>
              <w:jc w:val="center"/>
              <w:rPr>
                <w:spacing w:val="-2"/>
              </w:rPr>
            </w:pPr>
            <w:r>
              <w:rPr>
                <w:spacing w:val="-2"/>
              </w:rPr>
              <w:t xml:space="preserve">50%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26" w:type="dxa"/>
            <w:gridSpan w:val="7"/>
            <w:tcBorders>
              <w:bottom w:val="single" w:sz="2" w:space="0" w:color="4B5088"/>
            </w:tcBorders>
            <w:tcMar>
              <w:bottom w:w="28" w:type="dxa"/>
            </w:tcMar>
            <w:vAlign w:val="center"/>
          </w:tcPr>
          <w:p>
            <w:pPr>
              <w:pStyle w:val="TableContents"/>
              <w:bidi w:val="0"/>
              <w:spacing w:before="0" w:after="0"/>
              <w:jc w:val="center"/>
              <w:rPr/>
            </w:pPr>
            <w:r>
              <w:rPr/>
              <w:drawing>
                <wp:inline distT="0" distB="0" distL="0" distR="0">
                  <wp:extent cx="3009900" cy="419100"/>
                  <wp:effectExtent l="0" t="0" r="0" b="0"/>
                  <wp:docPr id="77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269" descr=""/>
                          <pic:cNvPicPr>
                            <a:picLocks noChangeAspect="1" noChangeArrowheads="1"/>
                          </pic:cNvPicPr>
                        </pic:nvPicPr>
                        <pic:blipFill>
                          <a:blip r:embed="rId354"/>
                          <a:stretch>
                            <a:fillRect/>
                          </a:stretch>
                        </pic:blipFill>
                        <pic:spPr bwMode="auto">
                          <a:xfrm>
                            <a:off x="0" y="0"/>
                            <a:ext cx="3009900" cy="419100"/>
                          </a:xfrm>
                          <a:prstGeom prst="rect">
                            <a:avLst/>
                          </a:prstGeom>
                        </pic:spPr>
                      </pic:pic>
                    </a:graphicData>
                  </a:graphic>
                </wp:inline>
              </w:drawing>
            </w:r>
            <w:r>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71" w:type="dxa"/>
            <w:tcBorders>
              <w:bottom w:val="single" w:sz="2" w:space="0" w:color="1F2668"/>
            </w:tcBorders>
            <w:tcMar>
              <w:bottom w:w="28" w:type="dxa"/>
            </w:tcMar>
            <w:vAlign w:val="center"/>
          </w:tcPr>
          <w:p>
            <w:pPr>
              <w:pStyle w:val="TableContents"/>
              <w:bidi w:val="0"/>
              <w:spacing w:lineRule="atLeast" w:line="220" w:before="0" w:after="0"/>
              <w:jc w:val="left"/>
              <w:rPr>
                <w:b/>
                <w:color w:val="1F2668"/>
              </w:rPr>
            </w:pPr>
            <w:r>
              <w:rPr>
                <w:b/>
                <w:color w:val="1F2668"/>
              </w:rPr>
              <w:t>Relative TSR vs. NYC REIT Peers</w:t>
            </w:r>
            <w:r>
              <w:rPr>
                <w:b/>
                <w:color w:val="1F2668"/>
                <w:sz w:val="11"/>
              </w:rPr>
              <w:t>(2)</w:t>
            </w:r>
          </w:p>
          <w:p>
            <w:pPr>
              <w:pStyle w:val="TableContents"/>
              <w:bidi w:val="0"/>
              <w:spacing w:lineRule="atLeast" w:line="220" w:before="160" w:after="0"/>
              <w:ind w:left="180" w:right="0" w:hanging="0"/>
              <w:jc w:val="left"/>
              <w:rPr>
                <w:spacing w:val="-2"/>
              </w:rPr>
            </w:pPr>
            <w:r>
              <w:rPr>
                <w:spacing w:val="-2"/>
              </w:rPr>
              <w:t xml:space="preserve">A comparison of our performance against companies with office and/or retail commercial real estate portfolios concentrated in the New York City market, which we believe are most directly comparable to the Company due to the market dynamics of New York City that uniquely impact owners and operators of commercial real estate </w:t>
            </w:r>
            <w:r>
              <mc:AlternateContent>
                <mc:Choice Requires="wps">
                  <w:drawing>
                    <wp:anchor behindDoc="0" distT="101600" distB="0" distL="0" distR="0" simplePos="0" locked="0" layoutInCell="1" allowOverlap="1" relativeHeight="739">
                      <wp:simplePos x="0" y="0"/>
                      <wp:positionH relativeFrom="column">
                        <wp:align>left</wp:align>
                      </wp:positionH>
                      <wp:positionV relativeFrom="line">
                        <wp:align>top</wp:align>
                      </wp:positionV>
                      <wp:extent cx="114300" cy="350520"/>
                      <wp:effectExtent l="0" t="0" r="0" b="0"/>
                      <wp:wrapSquare wrapText="right"/>
                      <wp:docPr id="774" name="Frame42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114" w:type="dxa"/>
            <w:tcBorders>
              <w:bottom w:val="single" w:sz="2" w:space="0" w:color="1F2668"/>
            </w:tcBorders>
            <w:tcMar>
              <w:bottom w:w="37" w:type="dxa"/>
            </w:tcMar>
            <w:vAlign w:val="center"/>
          </w:tcPr>
          <w:p>
            <w:pPr>
              <w:pStyle w:val="TableContents"/>
              <w:bidi w:val="0"/>
              <w:spacing w:lineRule="atLeast" w:line="220" w:before="0" w:after="0"/>
              <w:jc w:val="center"/>
              <w:rPr>
                <w:spacing w:val="-2"/>
              </w:rPr>
            </w:pPr>
            <w:r>
              <w:rPr>
                <w:spacing w:val="-2"/>
              </w:rPr>
              <w:t xml:space="preserve">50% </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4826" w:type="dxa"/>
            <w:gridSpan w:val="7"/>
            <w:tcBorders>
              <w:bottom w:val="single" w:sz="2" w:space="0" w:color="1F2668"/>
            </w:tcBorders>
            <w:tcMar>
              <w:bottom w:w="28" w:type="dxa"/>
            </w:tcMar>
            <w:vAlign w:val="center"/>
          </w:tcPr>
          <w:p>
            <w:pPr>
              <w:pStyle w:val="TableContents"/>
              <w:bidi w:val="0"/>
              <w:spacing w:before="0" w:after="0"/>
              <w:jc w:val="center"/>
              <w:rPr/>
            </w:pPr>
            <w:r>
              <w:rPr/>
              <w:drawing>
                <wp:inline distT="0" distB="0" distL="0" distR="0">
                  <wp:extent cx="3009900" cy="419100"/>
                  <wp:effectExtent l="0" t="0" r="0" b="0"/>
                  <wp:docPr id="775"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270" descr=""/>
                          <pic:cNvPicPr>
                            <a:picLocks noChangeAspect="1" noChangeArrowheads="1"/>
                          </pic:cNvPicPr>
                        </pic:nvPicPr>
                        <pic:blipFill>
                          <a:blip r:embed="rId355"/>
                          <a:stretch>
                            <a:fillRect/>
                          </a:stretch>
                        </pic:blipFill>
                        <pic:spPr bwMode="auto">
                          <a:xfrm>
                            <a:off x="0" y="0"/>
                            <a:ext cx="3009900" cy="419100"/>
                          </a:xfrm>
                          <a:prstGeom prst="rect">
                            <a:avLst/>
                          </a:prstGeom>
                        </pic:spPr>
                      </pic:pic>
                    </a:graphicData>
                  </a:graphic>
                </wp:inline>
              </w:drawing>
            </w:r>
            <w:r>
              <w:rPr/>
              <w:t xml:space="preserve"> </w:t>
            </w:r>
          </w:p>
        </w:tc>
        <w:tc>
          <w:tcPr>
            <w:tcW w:w="158" w:type="dxa"/>
            <w:tcBorders>
              <w:bottom w:val="single" w:sz="1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Office REIT Peer Group is comprised of the constituents of the Dow Jones US Real Estate Office Index.</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740">
                <wp:simplePos x="0" y="0"/>
                <wp:positionH relativeFrom="column">
                  <wp:align>left</wp:align>
                </wp:positionH>
                <wp:positionV relativeFrom="line">
                  <wp:align>top</wp:align>
                </wp:positionV>
                <wp:extent cx="254000" cy="254000"/>
                <wp:effectExtent l="0" t="0" r="0" b="0"/>
                <wp:wrapSquare wrapText="right"/>
                <wp:docPr id="776" name="Frame42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NYC Peer Group is comprised of the following companies: Acadia Realty Trust, Empire State Realty Trust, Inc., Veris Residential, Inc. (formerly Mack-Cali Realty Corporation), Paramount Group, Inc. and Vornado Realty Trust.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41">
                <wp:simplePos x="0" y="0"/>
                <wp:positionH relativeFrom="column">
                  <wp:align>left</wp:align>
                </wp:positionH>
                <wp:positionV relativeFrom="line">
                  <wp:align>top</wp:align>
                </wp:positionV>
                <wp:extent cx="254000" cy="254000"/>
                <wp:effectExtent l="0" t="0" r="0" b="0"/>
                <wp:wrapSquare wrapText="right"/>
                <wp:docPr id="777" name="Frame42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FINAL RESULTS—2021-2023 PERFORMANCE-BASED AWARDS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The performance period for the 2021 annual performance-based equity awards concluded on December 31, 2023. Under the program, </w:t>
      </w:r>
      <w:r>
        <w:rPr>
          <w:rFonts w:ascii="Arial;Helvetica;sans-serif" w:hAnsi="Arial;Helvetica;sans-serif"/>
          <w:b/>
          <w:i w:val="false"/>
          <w:caps w:val="false"/>
          <w:smallCaps w:val="false"/>
          <w:color w:val="000000"/>
          <w:sz w:val="18"/>
        </w:rPr>
        <w:t>200%</w:t>
      </w:r>
      <w:r>
        <w:rPr>
          <w:rFonts w:ascii="Arial;Helvetica;sans-serif" w:hAnsi="Arial;Helvetica;sans-serif"/>
          <w:b w:val="false"/>
          <w:i w:val="false"/>
          <w:caps w:val="false"/>
          <w:smallCaps w:val="false"/>
          <w:color w:val="000000"/>
          <w:spacing w:val="-2"/>
          <w:sz w:val="18"/>
        </w:rPr>
        <w:t xml:space="preserve"> of the target operational component was initially earned, which amount was </w:t>
      </w:r>
      <w:r>
        <w:rPr>
          <w:rFonts w:ascii="Arial;Helvetica;sans-serif" w:hAnsi="Arial;Helvetica;sans-serif"/>
          <w:b/>
          <w:i w:val="false"/>
          <w:caps w:val="false"/>
          <w:smallCaps w:val="false"/>
          <w:color w:val="000000"/>
          <w:sz w:val="18"/>
        </w:rPr>
        <w:t>reduced by 12.5%</w:t>
      </w:r>
      <w:r>
        <w:rPr>
          <w:rFonts w:ascii="Arial;Helvetica;sans-serif" w:hAnsi="Arial;Helvetica;sans-serif"/>
          <w:b w:val="false"/>
          <w:i w:val="false"/>
          <w:caps w:val="false"/>
          <w:smallCaps w:val="false"/>
          <w:color w:val="000000"/>
          <w:spacing w:val="-2"/>
          <w:sz w:val="18"/>
        </w:rPr>
        <w:t xml:space="preserve"> following application of the three-year absolute TSR modifier at the end of the performance period. We also earned </w:t>
      </w:r>
      <w:r>
        <w:rPr>
          <w:rFonts w:ascii="Arial;Helvetica;sans-serif" w:hAnsi="Arial;Helvetica;sans-serif"/>
          <w:b/>
          <w:i w:val="false"/>
          <w:caps w:val="false"/>
          <w:smallCaps w:val="false"/>
          <w:color w:val="000000"/>
          <w:sz w:val="18"/>
        </w:rPr>
        <w:t>225%</w:t>
      </w:r>
      <w:r>
        <w:rPr>
          <w:rFonts w:ascii="Arial;Helvetica;sans-serif" w:hAnsi="Arial;Helvetica;sans-serif"/>
          <w:b w:val="false"/>
          <w:i w:val="false"/>
          <w:caps w:val="false"/>
          <w:smallCaps w:val="false"/>
          <w:color w:val="000000"/>
          <w:spacing w:val="-2"/>
          <w:sz w:val="18"/>
        </w:rPr>
        <w:t xml:space="preserve"> of target for the one-half of the relative component that could be earned based on our performance relative to the constituents of the SNL Office REIT Index prior to the discontinuation of such index and </w:t>
      </w:r>
      <w:r>
        <w:rPr>
          <w:rFonts w:ascii="Arial;Helvetica;sans-serif" w:hAnsi="Arial;Helvetica;sans-serif"/>
          <w:b/>
          <w:i w:val="false"/>
          <w:caps w:val="false"/>
          <w:smallCaps w:val="false"/>
          <w:color w:val="000000"/>
          <w:sz w:val="18"/>
        </w:rPr>
        <w:t>approximately 75%</w:t>
      </w:r>
      <w:r>
        <w:rPr>
          <w:rFonts w:ascii="Arial;Helvetica;sans-serif" w:hAnsi="Arial;Helvetica;sans-serif"/>
          <w:b w:val="false"/>
          <w:i w:val="false"/>
          <w:caps w:val="false"/>
          <w:smallCaps w:val="false"/>
          <w:color w:val="000000"/>
          <w:spacing w:val="-2"/>
          <w:sz w:val="18"/>
        </w:rPr>
        <w:t xml:space="preserve"> of target of the relative component that could be earned based on our performance relative to the NYC REIT Peers.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summarizes the final value of these awards as of the conclusion of the performance period:</w:t>
      </w:r>
      <w:r>
        <w:rPr>
          <w:rFonts w:ascii="Arial;Helvetica;sans-serif" w:hAnsi="Arial;Helvetica;sans-serif"/>
          <w:b w:val="false"/>
          <w:i w:val="false"/>
          <w:caps w:val="false"/>
          <w:smallCaps w:val="false"/>
          <w:color w:val="000000"/>
          <w:spacing w:val="4"/>
          <w:sz w:val="18"/>
        </w:rPr>
        <w:t xml:space="preserve"> </w:t>
      </w:r>
    </w:p>
    <w:tbl>
      <w:tblPr>
        <w:tblW w:w="9517" w:type="dxa"/>
        <w:jc w:val="left"/>
        <w:tblInd w:w="900" w:type="dxa"/>
        <w:tblLayout w:type="fixed"/>
        <w:tblCellMar>
          <w:top w:w="0" w:type="dxa"/>
          <w:left w:w="0" w:type="dxa"/>
          <w:bottom w:w="63" w:type="dxa"/>
          <w:right w:w="0" w:type="dxa"/>
        </w:tblCellMar>
      </w:tblPr>
      <w:tblGrid>
        <w:gridCol w:w="1126"/>
        <w:gridCol w:w="109"/>
        <w:gridCol w:w="109"/>
        <w:gridCol w:w="109"/>
        <w:gridCol w:w="226"/>
        <w:gridCol w:w="1066"/>
        <w:gridCol w:w="109"/>
        <w:gridCol w:w="109"/>
        <w:gridCol w:w="109"/>
        <w:gridCol w:w="109"/>
        <w:gridCol w:w="109"/>
        <w:gridCol w:w="886"/>
        <w:gridCol w:w="109"/>
        <w:gridCol w:w="109"/>
        <w:gridCol w:w="109"/>
        <w:gridCol w:w="130"/>
        <w:gridCol w:w="130"/>
        <w:gridCol w:w="1064"/>
        <w:gridCol w:w="133"/>
        <w:gridCol w:w="109"/>
        <w:gridCol w:w="109"/>
        <w:gridCol w:w="109"/>
        <w:gridCol w:w="226"/>
        <w:gridCol w:w="1066"/>
        <w:gridCol w:w="109"/>
        <w:gridCol w:w="109"/>
        <w:gridCol w:w="109"/>
        <w:gridCol w:w="163"/>
        <w:gridCol w:w="163"/>
        <w:gridCol w:w="967"/>
        <w:gridCol w:w="164"/>
        <w:gridCol w:w="154"/>
      </w:tblGrid>
      <w:tr>
        <w:trPr/>
        <w:tc>
          <w:tcPr>
            <w:tcW w:w="1126"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Target Value of </w:t>
              <w:br/>
              <w:t>Grant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1F2668"/>
            </w:tcBorders>
            <w:vAlign w:val="center"/>
          </w:tcPr>
          <w:p>
            <w:pPr>
              <w:pStyle w:val="TableContents"/>
              <w:bidi w:val="0"/>
              <w:spacing w:before="0" w:after="0"/>
              <w:jc w:val="right"/>
              <w:rPr/>
            </w:pPr>
            <w:r>
              <w:rPr>
                <w:spacing w:val="2"/>
              </w:rPr>
              <w:t xml:space="preserve">Number of Units </w:t>
              <w:br/>
              <w:t>Earned at Target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7" w:type="dxa"/>
            <w:gridSpan w:val="4"/>
            <w:tcBorders>
              <w:bottom w:val="single" w:sz="2" w:space="0" w:color="1F2668"/>
            </w:tcBorders>
            <w:vAlign w:val="center"/>
          </w:tcPr>
          <w:p>
            <w:pPr>
              <w:pStyle w:val="TableContents"/>
              <w:bidi w:val="0"/>
              <w:spacing w:before="0" w:after="0"/>
              <w:jc w:val="right"/>
              <w:rPr/>
            </w:pPr>
            <w:r>
              <w:rPr>
                <w:spacing w:val="2"/>
              </w:rPr>
              <w:t xml:space="preserve">Earned Units as of </w:t>
              <w:br/>
              <w:t>December 31, 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Realized Value as of </w:t>
              <w:br/>
              <w:t>December 31, 2023</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7" w:type="dxa"/>
            <w:gridSpan w:val="4"/>
            <w:tcBorders>
              <w:bottom w:val="single" w:sz="2" w:space="0" w:color="1F2668"/>
            </w:tcBorders>
            <w:vAlign w:val="center"/>
          </w:tcPr>
          <w:p>
            <w:pPr>
              <w:pStyle w:val="TableContents"/>
              <w:bidi w:val="0"/>
              <w:spacing w:before="0" w:after="0"/>
              <w:jc w:val="right"/>
              <w:rPr/>
            </w:pPr>
            <w:r>
              <w:rPr>
                <w:spacing w:val="2"/>
              </w:rPr>
              <w:t xml:space="preserve">Realized Value as </w:t>
              <w:br/>
              <w:t xml:space="preserve">a Percentage of </w:t>
              <w:br/>
              <w:t xml:space="preserve">Target Value as of </w:t>
              <w:br/>
              <w:t>December 31, 2023</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      </w:t>
            </w: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7,500,000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126,277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70" w:type="dxa"/>
            </w:tcMar>
            <w:vAlign w:val="center"/>
          </w:tcPr>
          <w:p>
            <w:pPr>
              <w:pStyle w:val="TableContents"/>
              <w:bidi w:val="0"/>
              <w:spacing w:before="0" w:after="283"/>
              <w:jc w:val="right"/>
              <w:rPr/>
            </w:pPr>
            <w:r>
              <w:rPr/>
              <w:t>​</w:t>
            </w:r>
          </w:p>
        </w:tc>
        <w:tc>
          <w:tcPr>
            <w:tcW w:w="1064" w:type="dxa"/>
            <w:tcBorders>
              <w:bottom w:val="single" w:sz="2" w:space="0" w:color="4B5088"/>
            </w:tcBorders>
            <w:tcMar>
              <w:bottom w:w="70" w:type="dxa"/>
            </w:tcMar>
            <w:vAlign w:val="center"/>
          </w:tcPr>
          <w:p>
            <w:pPr>
              <w:pStyle w:val="TableContents"/>
              <w:bidi w:val="0"/>
              <w:spacing w:before="0" w:after="283"/>
              <w:jc w:val="right"/>
              <w:rPr/>
            </w:pPr>
            <w:r>
              <w:rPr/>
              <w:t>205,355</w:t>
            </w:r>
          </w:p>
        </w:tc>
        <w:tc>
          <w:tcPr>
            <w:tcW w:w="13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9,275,885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123.7%</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6,000,000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101,023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70" w:type="dxa"/>
            </w:tcMar>
            <w:vAlign w:val="center"/>
          </w:tcPr>
          <w:p>
            <w:pPr>
              <w:pStyle w:val="TableContents"/>
              <w:bidi w:val="0"/>
              <w:spacing w:before="0" w:after="283"/>
              <w:jc w:val="right"/>
              <w:rPr/>
            </w:pPr>
            <w:r>
              <w:rPr/>
              <w:t>​</w:t>
            </w:r>
          </w:p>
        </w:tc>
        <w:tc>
          <w:tcPr>
            <w:tcW w:w="1064" w:type="dxa"/>
            <w:tcBorders>
              <w:bottom w:val="single" w:sz="2" w:space="0" w:color="4B5088"/>
            </w:tcBorders>
            <w:tcMar>
              <w:bottom w:w="70" w:type="dxa"/>
            </w:tcMar>
            <w:vAlign w:val="center"/>
          </w:tcPr>
          <w:p>
            <w:pPr>
              <w:pStyle w:val="TableContents"/>
              <w:bidi w:val="0"/>
              <w:spacing w:before="0" w:after="283"/>
              <w:jc w:val="right"/>
              <w:rPr/>
            </w:pPr>
            <w:r>
              <w:rPr/>
              <w:t>164,285</w:t>
            </w:r>
          </w:p>
        </w:tc>
        <w:tc>
          <w:tcPr>
            <w:tcW w:w="13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7,420,753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123.7%</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555,556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9,356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30" w:type="dxa"/>
            <w:tcBorders>
              <w:bottom w:val="single" w:sz="2" w:space="0" w:color="4B5088"/>
            </w:tcBorders>
            <w:tcMar>
              <w:bottom w:w="70" w:type="dxa"/>
            </w:tcMar>
            <w:vAlign w:val="center"/>
          </w:tcPr>
          <w:p>
            <w:pPr>
              <w:pStyle w:val="TableContents"/>
              <w:bidi w:val="0"/>
              <w:spacing w:before="0" w:after="283"/>
              <w:jc w:val="right"/>
              <w:rPr/>
            </w:pPr>
            <w:r>
              <w:rPr/>
              <w:t>​</w:t>
            </w:r>
          </w:p>
        </w:tc>
        <w:tc>
          <w:tcPr>
            <w:tcW w:w="1064" w:type="dxa"/>
            <w:tcBorders>
              <w:bottom w:val="single" w:sz="2" w:space="0" w:color="4B5088"/>
            </w:tcBorders>
            <w:tcMar>
              <w:bottom w:w="70" w:type="dxa"/>
            </w:tcMar>
            <w:vAlign w:val="center"/>
          </w:tcPr>
          <w:p>
            <w:pPr>
              <w:pStyle w:val="TableContents"/>
              <w:bidi w:val="0"/>
              <w:spacing w:before="0" w:after="283"/>
              <w:jc w:val="right"/>
              <w:rPr/>
            </w:pPr>
            <w:r>
              <w:rPr/>
              <w:t>15,213</w:t>
            </w:r>
          </w:p>
        </w:tc>
        <w:tc>
          <w:tcPr>
            <w:tcW w:w="13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687,171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28" w:type="dxa"/>
            </w:tcMar>
            <w:vAlign w:val="center"/>
          </w:tcPr>
          <w:p>
            <w:pPr>
              <w:pStyle w:val="TableContents"/>
              <w:bidi w:val="0"/>
              <w:spacing w:before="0" w:after="283"/>
              <w:jc w:val="left"/>
              <w:rPr/>
            </w:pPr>
            <w:r>
              <w:rPr/>
              <w:t>​</w:t>
            </w:r>
          </w:p>
        </w:tc>
        <w:tc>
          <w:tcPr>
            <w:tcW w:w="163"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123.7%</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555,556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886" w:type="dxa"/>
            <w:tcBorders>
              <w:bottom w:val="single" w:sz="2" w:space="0" w:color="1F2668"/>
            </w:tcBorders>
            <w:tcMar>
              <w:bottom w:w="70" w:type="dxa"/>
            </w:tcMar>
            <w:vAlign w:val="center"/>
          </w:tcPr>
          <w:p>
            <w:pPr>
              <w:pStyle w:val="TableContents"/>
              <w:bidi w:val="0"/>
              <w:spacing w:before="0" w:after="283"/>
              <w:jc w:val="right"/>
              <w:rPr/>
            </w:pPr>
            <w:r>
              <w:rPr/>
              <w:t>9,356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 w:type="dxa"/>
            <w:tcBorders>
              <w:bottom w:val="single" w:sz="2" w:space="0" w:color="1F2668"/>
            </w:tcBorders>
            <w:tcMar>
              <w:bottom w:w="28" w:type="dxa"/>
            </w:tcMar>
            <w:vAlign w:val="center"/>
          </w:tcPr>
          <w:p>
            <w:pPr>
              <w:pStyle w:val="TableContents"/>
              <w:bidi w:val="0"/>
              <w:spacing w:before="0" w:after="283"/>
              <w:jc w:val="left"/>
              <w:rPr/>
            </w:pPr>
            <w:r>
              <w:rPr/>
              <w:t>​</w:t>
            </w:r>
          </w:p>
        </w:tc>
        <w:tc>
          <w:tcPr>
            <w:tcW w:w="130" w:type="dxa"/>
            <w:tcBorders>
              <w:bottom w:val="single" w:sz="2" w:space="0" w:color="1F2668"/>
            </w:tcBorders>
            <w:tcMar>
              <w:bottom w:w="70" w:type="dxa"/>
            </w:tcMar>
            <w:vAlign w:val="center"/>
          </w:tcPr>
          <w:p>
            <w:pPr>
              <w:pStyle w:val="TableContents"/>
              <w:bidi w:val="0"/>
              <w:spacing w:before="0" w:after="283"/>
              <w:jc w:val="right"/>
              <w:rPr/>
            </w:pPr>
            <w:r>
              <w:rPr/>
              <w:t>​</w:t>
            </w:r>
          </w:p>
        </w:tc>
        <w:tc>
          <w:tcPr>
            <w:tcW w:w="1064" w:type="dxa"/>
            <w:tcBorders>
              <w:bottom w:val="single" w:sz="2" w:space="0" w:color="1F2668"/>
            </w:tcBorders>
            <w:tcMar>
              <w:bottom w:w="70" w:type="dxa"/>
            </w:tcMar>
            <w:vAlign w:val="center"/>
          </w:tcPr>
          <w:p>
            <w:pPr>
              <w:pStyle w:val="TableContents"/>
              <w:bidi w:val="0"/>
              <w:spacing w:before="0" w:after="283"/>
              <w:jc w:val="right"/>
              <w:rPr/>
            </w:pPr>
            <w:r>
              <w:rPr/>
              <w:t>15,213</w:t>
            </w:r>
          </w:p>
        </w:tc>
        <w:tc>
          <w:tcPr>
            <w:tcW w:w="133"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687,171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1F2668"/>
            </w:tcBorders>
            <w:tcMar>
              <w:bottom w:w="28" w:type="dxa"/>
            </w:tcMar>
            <w:vAlign w:val="center"/>
          </w:tcPr>
          <w:p>
            <w:pPr>
              <w:pStyle w:val="TableContents"/>
              <w:bidi w:val="0"/>
              <w:spacing w:before="0" w:after="283"/>
              <w:jc w:val="left"/>
              <w:rPr/>
            </w:pPr>
            <w:r>
              <w:rPr/>
              <w:t>​</w:t>
            </w:r>
          </w:p>
        </w:tc>
        <w:tc>
          <w:tcPr>
            <w:tcW w:w="163" w:type="dxa"/>
            <w:tcBorders>
              <w:bottom w:val="single" w:sz="2" w:space="0" w:color="1F2668"/>
            </w:tcBorders>
            <w:tcMar>
              <w:bottom w:w="70" w:type="dxa"/>
            </w:tcMar>
            <w:vAlign w:val="center"/>
          </w:tcPr>
          <w:p>
            <w:pPr>
              <w:pStyle w:val="TableContents"/>
              <w:bidi w:val="0"/>
              <w:spacing w:before="0" w:after="283"/>
              <w:jc w:val="right"/>
              <w:rPr/>
            </w:pPr>
            <w:r>
              <w:rPr/>
              <w:t>​</w:t>
            </w:r>
          </w:p>
        </w:tc>
        <w:tc>
          <w:tcPr>
            <w:tcW w:w="967" w:type="dxa"/>
            <w:tcBorders>
              <w:bottom w:val="single" w:sz="2" w:space="0" w:color="1F2668"/>
            </w:tcBorders>
            <w:tcMar>
              <w:bottom w:w="70" w:type="dxa"/>
            </w:tcMar>
            <w:vAlign w:val="center"/>
          </w:tcPr>
          <w:p>
            <w:pPr>
              <w:pStyle w:val="TableContents"/>
              <w:bidi w:val="0"/>
              <w:spacing w:before="0" w:after="283"/>
              <w:jc w:val="right"/>
              <w:rPr/>
            </w:pPr>
            <w:r>
              <w:rPr/>
              <w:t>123.7%</w:t>
            </w:r>
          </w:p>
        </w:tc>
        <w:tc>
          <w:tcPr>
            <w:tcW w:w="164"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Based on a per share price of $45.17, which was the closing stock price on the NYSE of one share of our common stock on </w:t>
        <w:br/>
        <w:t xml:space="preserve">December 29, 2023. </w:t>
      </w:r>
      <w:r>
        <mc:AlternateContent>
          <mc:Choice Requires="wps">
            <w:drawing>
              <wp:anchor behindDoc="0" distT="152400" distB="0" distL="0" distR="0" simplePos="0" locked="0" layoutInCell="1" allowOverlap="1" relativeHeight="742">
                <wp:simplePos x="0" y="0"/>
                <wp:positionH relativeFrom="column">
                  <wp:align>left</wp:align>
                </wp:positionH>
                <wp:positionV relativeFrom="line">
                  <wp:align>top</wp:align>
                </wp:positionV>
                <wp:extent cx="254000" cy="254000"/>
                <wp:effectExtent l="0" t="0" r="0" b="0"/>
                <wp:wrapSquare wrapText="right"/>
                <wp:docPr id="778" name="Frame43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57</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 xml:space="preserve">The final payout for our 2021 annual performance-based equity award highlights the rigor of the program, our pay-for-performance philosophy and the alignment between our executives and our stockholders. </w:t>
            </w:r>
            <w:r>
              <w:rPr>
                <w:b/>
              </w:rPr>
              <w:t>Despite achieving maximum performance (200%) initially</w:t>
            </w:r>
            <w:r>
              <w:rPr>
                <w:spacing w:val="-2"/>
              </w:rPr>
              <w:t xml:space="preserve"> for the operational component, which represents 50% of the total opportunity and is the portion of the award most within the control of management, </w:t>
            </w:r>
            <w:r>
              <w:rPr>
                <w:b/>
              </w:rPr>
              <w:t>the realized value of the award was only 123.7% of the initial target value of the award due to below target performance for TSR components of the award</w:t>
            </w:r>
            <w:r>
              <w:rPr>
                <w:spacing w:val="-2"/>
              </w:rPr>
              <w:t>.</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300" w:before="36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NEO Scorecards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scorecards summarize each element of compensation received by our NEOs (other than our former President) for 2023 as of December 31, 2023.</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We did not include our former President in this discussion because Mr. Mathias received amounts that became payable in 2024 pursuant to the terms of his employment agreement in lieu of 2023 compensation approved by the Committee following our non-renewal of such employment agreement. See “—Potential Payments Upon Termination or Change in Control” below for a summary of the employment agreement as well as a summary of the non-renewal and advisory agreement that we entered into with Mr. Mathias to ensure a smooth transition.</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40" w:before="240"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purposes of framing the compensation decisions and pay outcomes, we present the “Total Direct Compensation,” or TDC, amounts awarded for 2023 and contrast such amounts to SEC-mandated disclosure rules for the Summary Compensation Table, or SCT, for 2023. We believe this presentation provides investors with a clearer understanding of the compensation decisions made by the Committee.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t>Due to the timing and required reporting of certain elements of our compensation program, the 2023 Total Direct Compensation of our NEOs, which reflects the amounts actually approved by the Committee, is lower than the compensation reported in the Summary Compensation Table for our CEO and higher than the compensation reported in the Summary Compensation Table for our CFO.</w:t>
            </w:r>
          </w:p>
        </w:tc>
        <w:tc>
          <w:tcPr>
            <w:tcW w:w="154" w:type="dxa"/>
            <w:tcBorders/>
            <w:shd w:fill="E9F9D8" w:val="cle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1032"/>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38">
                <wp:simplePos x="0" y="0"/>
                <wp:positionH relativeFrom="column">
                  <wp:align>left</wp:align>
                </wp:positionH>
                <wp:positionV relativeFrom="line">
                  <wp:posOffset>635</wp:posOffset>
                </wp:positionV>
                <wp:extent cx="1790700" cy="6682105"/>
                <wp:effectExtent l="0" t="0" r="0" b="0"/>
                <wp:wrapSquare wrapText="right"/>
                <wp:docPr id="779" name="Frame431"/>
                <a:graphic xmlns:a="http://schemas.openxmlformats.org/drawingml/2006/main">
                  <a:graphicData uri="http://schemas.microsoft.com/office/word/2010/wordprocessingShape">
                    <wps:wsp>
                      <wps:cNvSpPr txBox="1"/>
                      <wps:spPr>
                        <a:xfrm>
                          <a:off x="0" y="0"/>
                          <a:ext cx="1790700" cy="668210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MARC</w:t>
                                    <w:br/>
                                    <w:t>HOLLIDAY​</w:t>
                                  </w:r>
                                </w:p>
                                <w:p>
                                  <w:pPr>
                                    <w:pStyle w:val="TableContents"/>
                                    <w:bidi w:val="0"/>
                                    <w:spacing w:before="128" w:after="283"/>
                                    <w:ind w:left="0" w:right="160" w:hanging="0"/>
                                    <w:jc w:val="center"/>
                                    <w:rPr/>
                                  </w:pPr>
                                  <w:r>
                                    <w:rPr/>
                                    <w:drawing>
                                      <wp:inline distT="0" distB="0" distL="0" distR="0">
                                        <wp:extent cx="1219200" cy="1457325"/>
                                        <wp:effectExtent l="0" t="0" r="0" b="0"/>
                                        <wp:docPr id="78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271" descr=""/>
                                                <pic:cNvPicPr>
                                                  <a:picLocks noChangeAspect="1" noChangeArrowheads="1"/>
                                                </pic:cNvPicPr>
                                              </pic:nvPicPr>
                                              <pic:blipFill>
                                                <a:blip r:embed="rId356"/>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8" w:before="207" w:after="283"/>
                                    <w:ind w:left="0" w:right="160" w:hanging="0"/>
                                    <w:jc w:val="left"/>
                                    <w:rPr>
                                      <w:b/>
                                    </w:rPr>
                                  </w:pPr>
                                  <w:r>
                                    <w:rPr>
                                      <w:b/>
                                    </w:rPr>
                                    <w:t>Chief Executive Officer, Chairman of the Board and Interim President</w:t>
                                  </w:r>
                                </w:p>
                                <w:p>
                                  <w:pPr>
                                    <w:pStyle w:val="TableContents"/>
                                    <w:bidi w:val="0"/>
                                    <w:spacing w:lineRule="atLeast" w:line="188" w:before="160" w:after="283"/>
                                    <w:ind w:left="0" w:right="160" w:hanging="0"/>
                                    <w:jc w:val="left"/>
                                    <w:rPr/>
                                  </w:pPr>
                                  <w:r>
                                    <w:rPr>
                                      <w:spacing w:val="-2"/>
                                    </w:rPr>
                                    <w:t>Mr. Holliday’s 2023 compensation exemplifies our pay-for-performance philosophy and recognizes the key role played by our CEO in the extraordinary year we had. Our achievements under Mr. Holliday’s leadership included the successful execution of a number of our strategic goals despite a challenging operating environment, as well as the delivery of strong returns on an absolute TSR basis and also on a relative basis against both the Office REIT Index and our closest NYC peers.</w:t>
                                  </w:r>
                                  <w:r>
                                    <w:rPr/>
                                    <w:t xml:space="preserve"> </w:t>
                                  </w:r>
                                </w:p>
                                <w:p>
                                  <w:pPr>
                                    <w:pStyle w:val="TableContents"/>
                                    <w:bidi w:val="0"/>
                                    <w:spacing w:lineRule="atLeast" w:line="188" w:before="160" w:after="283"/>
                                    <w:ind w:left="0" w:right="160" w:hanging="0"/>
                                    <w:jc w:val="left"/>
                                    <w:rPr/>
                                  </w:pPr>
                                  <w:r>
                                    <w:rPr>
                                      <w:spacing w:val="-2"/>
                                    </w:rPr>
                                    <w:t>Nevertheless, Total Direct Compensation remained substantially consistent year-over-year due to the Committee’s measured, multi-year approach to executive compensation, which aligns with the long-term nature of our business.</w:t>
                                  </w:r>
                                  <w:r>
                                    <w:rPr/>
                                    <w:t xml:space="preserve"> </w:t>
                                  </w:r>
                                </w:p>
                                <w:p>
                                  <w:pPr>
                                    <w:pStyle w:val="TableContents"/>
                                    <w:bidi w:val="0"/>
                                    <w:spacing w:lineRule="atLeast" w:line="188" w:before="160" w:after="283"/>
                                    <w:ind w:left="0" w:right="160" w:hanging="0"/>
                                    <w:jc w:val="left"/>
                                    <w:rPr>
                                      <w:b/>
                                    </w:rPr>
                                  </w:pPr>
                                  <w:r>
                                    <w:rPr>
                                      <w:b/>
                                    </w:rPr>
                                    <w:t>The Total Direct Compensation for Mr. Holliday in 2023 is approximately 12.5% lower than the Summary Compensation Table amount, with the difference driven primarily by the accounting value of annual performance-based equity awards when compared to the notional value approved by the Committee.</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526.1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MARC</w:t>
                              <w:br/>
                              <w:t>HOLLIDAY​</w:t>
                            </w:r>
                          </w:p>
                          <w:p>
                            <w:pPr>
                              <w:pStyle w:val="TableContents"/>
                              <w:bidi w:val="0"/>
                              <w:spacing w:before="128" w:after="283"/>
                              <w:ind w:left="0" w:right="160" w:hanging="0"/>
                              <w:jc w:val="center"/>
                              <w:rPr/>
                            </w:pPr>
                            <w:r>
                              <w:rPr/>
                              <w:drawing>
                                <wp:inline distT="0" distB="0" distL="0" distR="0">
                                  <wp:extent cx="1219200" cy="1457325"/>
                                  <wp:effectExtent l="0" t="0" r="0" b="0"/>
                                  <wp:docPr id="78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271" descr=""/>
                                          <pic:cNvPicPr>
                                            <a:picLocks noChangeAspect="1" noChangeArrowheads="1"/>
                                          </pic:cNvPicPr>
                                        </pic:nvPicPr>
                                        <pic:blipFill>
                                          <a:blip r:embed="rId357"/>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188" w:before="207" w:after="283"/>
                              <w:ind w:left="0" w:right="160" w:hanging="0"/>
                              <w:jc w:val="left"/>
                              <w:rPr>
                                <w:b/>
                              </w:rPr>
                            </w:pPr>
                            <w:r>
                              <w:rPr>
                                <w:b/>
                              </w:rPr>
                              <w:t>Chief Executive Officer, Chairman of the Board and Interim President</w:t>
                            </w:r>
                          </w:p>
                          <w:p>
                            <w:pPr>
                              <w:pStyle w:val="TableContents"/>
                              <w:bidi w:val="0"/>
                              <w:spacing w:lineRule="atLeast" w:line="188" w:before="160" w:after="283"/>
                              <w:ind w:left="0" w:right="160" w:hanging="0"/>
                              <w:jc w:val="left"/>
                              <w:rPr/>
                            </w:pPr>
                            <w:r>
                              <w:rPr>
                                <w:spacing w:val="-2"/>
                              </w:rPr>
                              <w:t>Mr. Holliday’s 2023 compensation exemplifies our pay-for-performance philosophy and recognizes the key role played by our CEO in the extraordinary year we had. Our achievements under Mr. Holliday’s leadership included the successful execution of a number of our strategic goals despite a challenging operating environment, as well as the delivery of strong returns on an absolute TSR basis and also on a relative basis against both the Office REIT Index and our closest NYC peers.</w:t>
                            </w:r>
                            <w:r>
                              <w:rPr/>
                              <w:t xml:space="preserve"> </w:t>
                            </w:r>
                          </w:p>
                          <w:p>
                            <w:pPr>
                              <w:pStyle w:val="TableContents"/>
                              <w:bidi w:val="0"/>
                              <w:spacing w:lineRule="atLeast" w:line="188" w:before="160" w:after="283"/>
                              <w:ind w:left="0" w:right="160" w:hanging="0"/>
                              <w:jc w:val="left"/>
                              <w:rPr/>
                            </w:pPr>
                            <w:r>
                              <w:rPr>
                                <w:spacing w:val="-2"/>
                              </w:rPr>
                              <w:t>Nevertheless, Total Direct Compensation remained substantially consistent year-over-year due to the Committee’s measured, multi-year approach to executive compensation, which aligns with the long-term nature of our business.</w:t>
                            </w:r>
                            <w:r>
                              <w:rPr/>
                              <w:t xml:space="preserve"> </w:t>
                            </w:r>
                          </w:p>
                          <w:p>
                            <w:pPr>
                              <w:pStyle w:val="TableContents"/>
                              <w:bidi w:val="0"/>
                              <w:spacing w:lineRule="atLeast" w:line="188" w:before="160" w:after="283"/>
                              <w:ind w:left="0" w:right="160" w:hanging="0"/>
                              <w:jc w:val="left"/>
                              <w:rPr>
                                <w:b/>
                              </w:rPr>
                            </w:pPr>
                            <w:r>
                              <w:rPr>
                                <w:b/>
                              </w:rPr>
                              <w:t>The Total Direct Compensation for Mr. Holliday in 2023 is approximately 12.5% lower than the Summary Compensation Table amount, with the difference driven primarily by the accounting value of annual performance-based equity awards when compared to the notional value approved by the Committee.</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743">
                <wp:simplePos x="0" y="0"/>
                <wp:positionH relativeFrom="column">
                  <wp:align>left</wp:align>
                </wp:positionH>
                <wp:positionV relativeFrom="line">
                  <wp:posOffset>635</wp:posOffset>
                </wp:positionV>
                <wp:extent cx="4406900" cy="9845675"/>
                <wp:effectExtent l="0" t="0" r="0" b="0"/>
                <wp:wrapSquare wrapText="right"/>
                <wp:docPr id="782" name="Frame432"/>
                <a:graphic xmlns:a="http://schemas.openxmlformats.org/drawingml/2006/main">
                  <a:graphicData uri="http://schemas.microsoft.com/office/word/2010/wordprocessingShape">
                    <wps:wsp>
                      <wps:cNvSpPr txBox="1"/>
                      <wps:spPr>
                        <a:xfrm>
                          <a:off x="0" y="0"/>
                          <a:ext cx="4406900" cy="9845675"/>
                        </a:xfrm>
                        <a:prstGeom prst="rect"/>
                        <a:solidFill>
                          <a:srgbClr val="FFFFFF"/>
                        </a:solidFill>
                      </wps:spPr>
                      <wps:txbx>
                        <w:txbxContent>
                          <w:p>
                            <w:pPr>
                              <w:pStyle w:val="TextBody"/>
                              <w:bidi w:val="0"/>
                              <w:spacing w:lineRule="atLeast" w:line="27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16"/>
                              <w:gridCol w:w="109"/>
                              <w:gridCol w:w="109"/>
                              <w:gridCol w:w="916"/>
                              <w:gridCol w:w="109"/>
                              <w:gridCol w:w="109"/>
                              <w:gridCol w:w="7659"/>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1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91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659"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8%</w:t>
                                  </w:r>
                                </w:p>
                                <w:p>
                                  <w:pPr>
                                    <w:pStyle w:val="TableContents"/>
                                    <w:bidi w:val="0"/>
                                    <w:spacing w:lineRule="atLeast" w:line="220" w:before="0" w:after="0"/>
                                    <w:jc w:val="left"/>
                                    <w:rPr>
                                      <w:b/>
                                      <w:sz w:val="18"/>
                                    </w:rPr>
                                  </w:pPr>
                                  <w:r>
                                    <w:rPr>
                                      <w:b/>
                                      <w:sz w:val="18"/>
                                    </w:rPr>
                                    <w:t>$1,250,000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91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220" w:before="0" w:after="0"/>
                                    <w:jc w:val="left"/>
                                    <w:rPr>
                                      <w:b/>
                                      <w:sz w:val="18"/>
                                    </w:rPr>
                                  </w:pPr>
                                  <w:r>
                                    <w:rPr>
                                      <w:b/>
                                      <w:sz w:val="18"/>
                                    </w:rPr>
                                    <w:t>$1,250,000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65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Base Salary</w:t>
                                  </w:r>
                                </w:p>
                                <w:p>
                                  <w:pPr>
                                    <w:pStyle w:val="TableContents"/>
                                    <w:bidi w:val="0"/>
                                    <w:spacing w:lineRule="atLeast" w:line="185" w:before="0" w:after="0"/>
                                    <w:jc w:val="left"/>
                                    <w:rPr>
                                      <w:spacing w:val="-2"/>
                                    </w:rPr>
                                  </w:pPr>
                                  <w:r>
                                    <w:rPr>
                                      <w:spacing w:val="-2"/>
                                    </w:rPr>
                                    <w:t xml:space="preserve">Mr. Holliday’s base salary was equal to the minimum set forth in his employment agreement. There has been no change to his base salary since it was retroactively reduced in 2018.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18%</w:t>
                                  </w:r>
                                </w:p>
                                <w:p>
                                  <w:pPr>
                                    <w:pStyle w:val="TableContents"/>
                                    <w:bidi w:val="0"/>
                                    <w:spacing w:lineRule="atLeast" w:line="220" w:before="0" w:after="0"/>
                                    <w:jc w:val="left"/>
                                    <w:rPr>
                                      <w:b/>
                                      <w:sz w:val="18"/>
                                    </w:rPr>
                                  </w:pPr>
                                  <w:r>
                                    <w:rPr>
                                      <w:b/>
                                      <w:sz w:val="18"/>
                                    </w:rPr>
                                    <w:t>$2,908,333</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91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15%</w:t>
                                  </w:r>
                                </w:p>
                                <w:p>
                                  <w:pPr>
                                    <w:pStyle w:val="TableContents"/>
                                    <w:bidi w:val="0"/>
                                    <w:spacing w:lineRule="atLeast" w:line="220" w:before="0" w:after="0"/>
                                    <w:jc w:val="left"/>
                                    <w:rPr>
                                      <w:b/>
                                      <w:sz w:val="18"/>
                                    </w:rPr>
                                  </w:pPr>
                                  <w:r>
                                    <w:rPr>
                                      <w:b/>
                                      <w:sz w:val="18"/>
                                    </w:rPr>
                                    <w:t>$2,747,106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65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100% Formulaic Annual Bonus</w:t>
                                  </w:r>
                                </w:p>
                                <w:p>
                                  <w:pPr>
                                    <w:pStyle w:val="TableContents"/>
                                    <w:bidi w:val="0"/>
                                    <w:spacing w:lineRule="atLeast" w:line="185" w:before="0" w:after="0"/>
                                    <w:jc w:val="left"/>
                                    <w:rPr/>
                                  </w:pPr>
                                  <w:r>
                                    <w:rPr>
                                      <w:spacing w:val="-2"/>
                                    </w:rPr>
                                    <w:t xml:space="preserve">Determined formulaically based on performance relative to preset objective bonus criteria established by the Committee in January 2023. The TDC amount reflects the earning of </w:t>
                                  </w:r>
                                  <w:r>
                                    <w:rPr>
                                      <w:b/>
                                    </w:rPr>
                                    <w:t>116%</w:t>
                                  </w:r>
                                  <w:r>
                                    <w:rPr>
                                      <w:spacing w:val="-2"/>
                                    </w:rPr>
                                    <w:t xml:space="preserve"> of the target bonus amount.</w:t>
                                  </w:r>
                                  <w:r>
                                    <w:rPr/>
                                    <w:t xml:space="preserve"> </w:t>
                                  </w:r>
                                </w:p>
                                <w:p>
                                  <w:pPr>
                                    <w:pStyle w:val="TableContents"/>
                                    <w:bidi w:val="0"/>
                                    <w:spacing w:lineRule="atLeast" w:line="185" w:before="45" w:after="283"/>
                                    <w:jc w:val="left"/>
                                    <w:rPr/>
                                  </w:pPr>
                                  <w:r>
                                    <w:rPr>
                                      <w:spacing w:val="-2"/>
                                    </w:rPr>
                                    <w:t>The SCT amount reflects the cash portion of the bonus (</w:t>
                                  </w:r>
                                  <w:r>
                                    <w:rPr>
                                      <w:b/>
                                    </w:rPr>
                                    <w:t>$1,454,167</w:t>
                                  </w:r>
                                  <w:r>
                                    <w:rPr>
                                      <w:spacing w:val="-2"/>
                                    </w:rPr>
                                    <w:t>), plus the grant date value of the portion of the bonus (</w:t>
                                  </w:r>
                                  <w:r>
                                    <w:rPr>
                                      <w:b/>
                                    </w:rPr>
                                    <w:t>$1,142,926</w:t>
                                  </w:r>
                                  <w:r>
                                    <w:rPr>
                                      <w:spacing w:val="-2"/>
                                    </w:rPr>
                                    <w:t>) paid in equity at Mr. Holliday’s election, plus the grant date value of LTIP units issued in 2023 as a true-up for his 2022 annual bonus based on actual 2022 performance (</w:t>
                                  </w:r>
                                  <w:r>
                                    <w:rPr>
                                      <w:b/>
                                    </w:rPr>
                                    <w:t>$150,013</w:t>
                                  </w:r>
                                  <w:r>
                                    <w:rPr>
                                      <w:spacing w:val="-2"/>
                                    </w:rPr>
                                    <w:t>).</w:t>
                                  </w:r>
                                  <w:r>
                                    <w:rPr/>
                                    <w:t xml:space="preserve"> </w:t>
                                  </w:r>
                                </w:p>
                                <w:p>
                                  <w:pPr>
                                    <w:pStyle w:val="TableContents"/>
                                    <w:bidi w:val="0"/>
                                    <w:spacing w:lineRule="atLeast" w:line="185" w:before="45" w:after="283"/>
                                    <w:jc w:val="left"/>
                                    <w:rPr/>
                                  </w:pPr>
                                  <w:r>
                                    <w:rPr>
                                      <w:spacing w:val="-2"/>
                                    </w:rPr>
                                    <w:t xml:space="preserve">Mr. Holliday elected to receive </w:t>
                                  </w:r>
                                  <w:r>
                                    <w:rPr>
                                      <w:b/>
                                    </w:rPr>
                                    <w:t>50%</w:t>
                                  </w:r>
                                  <w:r>
                                    <w:rPr>
                                      <w:spacing w:val="-2"/>
                                    </w:rPr>
                                    <w:t xml:space="preserve"> of the bonus in the form of equity. The corresponding </w:t>
                                  </w:r>
                                  <w:r>
                                    <w:rPr>
                                      <w:b/>
                                    </w:rPr>
                                    <w:t>34,467</w:t>
                                  </w:r>
                                  <w:r>
                                    <w:rPr>
                                      <w:spacing w:val="-2"/>
                                    </w:rPr>
                                    <w:t xml:space="preserve"> LTIP units granted in December 2023 were fully vested upon grant, but remain subject to a three-year no-sell restriction.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1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46%</w:t>
                                  </w:r>
                                </w:p>
                                <w:p>
                                  <w:pPr>
                                    <w:pStyle w:val="TableContents"/>
                                    <w:bidi w:val="0"/>
                                    <w:spacing w:lineRule="atLeast" w:line="220" w:before="0" w:after="0"/>
                                    <w:jc w:val="left"/>
                                    <w:rPr>
                                      <w:b/>
                                      <w:sz w:val="18"/>
                                    </w:rPr>
                                  </w:pPr>
                                  <w:r>
                                    <w:rPr>
                                      <w:b/>
                                      <w:sz w:val="18"/>
                                    </w:rPr>
                                    <w:t>$7,500,000</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left"/>
                                    <w:rPr>
                                      <w:color w:val="1F2668"/>
                                      <w:sz w:val="36"/>
                                    </w:rPr>
                                  </w:pPr>
                                  <w:r>
                                    <w:rPr>
                                      <w:color w:val="1F2668"/>
                                      <w:sz w:val="36"/>
                                    </w:rPr>
                                    <w:t>53%</w:t>
                                  </w:r>
                                </w:p>
                                <w:p>
                                  <w:pPr>
                                    <w:pStyle w:val="TableContents"/>
                                    <w:bidi w:val="0"/>
                                    <w:spacing w:lineRule="atLeast" w:line="220" w:before="0" w:after="0"/>
                                    <w:jc w:val="left"/>
                                    <w:rPr>
                                      <w:b/>
                                      <w:sz w:val="18"/>
                                    </w:rPr>
                                  </w:pPr>
                                  <w:r>
                                    <w:rPr>
                                      <w:b/>
                                      <w:sz w:val="18"/>
                                    </w:rPr>
                                    <w:t>$9,920,005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59" w:type="dxa"/>
                                  <w:tcBorders/>
                                  <w:tcMar>
                                    <w:bottom w:w="0" w:type="dxa"/>
                                  </w:tcMar>
                                  <w:vAlign w:val="center"/>
                                </w:tcPr>
                                <w:p>
                                  <w:pPr>
                                    <w:pStyle w:val="TableContents"/>
                                    <w:bidi w:val="0"/>
                                    <w:spacing w:lineRule="atLeast" w:line="195" w:before="0" w:after="0"/>
                                    <w:jc w:val="left"/>
                                    <w:rPr>
                                      <w:b/>
                                      <w:sz w:val="18"/>
                                    </w:rPr>
                                  </w:pPr>
                                  <w:r>
                                    <w:rPr>
                                      <w:b/>
                                      <w:sz w:val="18"/>
                                    </w:rPr>
                                    <w:t>Performance-Based Equity Awards</w:t>
                                  </w:r>
                                </w:p>
                                <w:p>
                                  <w:pPr>
                                    <w:pStyle w:val="TableContents"/>
                                    <w:bidi w:val="0"/>
                                    <w:spacing w:lineRule="atLeast" w:line="185" w:before="0" w:after="0"/>
                                    <w:jc w:val="left"/>
                                    <w:rPr/>
                                  </w:pPr>
                                  <w:r>
                                    <w:rPr>
                                      <w:spacing w:val="-2"/>
                                    </w:rPr>
                                    <w:t xml:space="preserve">The TDC amount reflects the target notional value of </w:t>
                                  </w:r>
                                  <w:r>
                                    <w:rPr>
                                      <w:b/>
                                    </w:rPr>
                                    <w:t>$7,500,000</w:t>
                                  </w:r>
                                  <w:r>
                                    <w:rPr>
                                      <w:spacing w:val="-2"/>
                                    </w:rPr>
                                    <w:t xml:space="preserve">, consistent with the target amount set forth in Mr. Holliday’s employment agreement. </w:t>
                                  </w:r>
                                  <w:r>
                                    <w:rPr>
                                      <w:b/>
                                    </w:rPr>
                                    <w:t>The SCT amount reflects the grant date value of the awards</w:t>
                                  </w:r>
                                  <w:r>
                                    <w:rPr>
                                      <w:spacing w:val="-2"/>
                                    </w:rPr>
                                    <w:t>.</w:t>
                                  </w:r>
                                  <w:r>
                                    <w:rPr/>
                                    <w:t xml:space="preserve"> </w:t>
                                  </w:r>
                                </w:p>
                                <w:p>
                                  <w:pPr>
                                    <w:pStyle w:val="TableContents"/>
                                    <w:bidi w:val="0"/>
                                    <w:spacing w:lineRule="atLeast" w:line="185" w:before="45" w:after="283"/>
                                    <w:jc w:val="left"/>
                                    <w:rPr/>
                                  </w:pPr>
                                  <w:r>
                                    <w:rPr>
                                      <w:spacing w:val="-2"/>
                                    </w:rPr>
                                    <w:t>The award relates to the following number of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476"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934"/>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653"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934"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104,809</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934" w:type="dxa"/>
                                  <w:tcBorders>
                                    <w:bottom w:val="single" w:sz="2" w:space="0" w:color="4B5088"/>
                                  </w:tcBorders>
                                  <w:tcMar>
                                    <w:bottom w:w="33" w:type="dxa"/>
                                  </w:tcMar>
                                  <w:vAlign w:val="center"/>
                                </w:tcPr>
                                <w:p>
                                  <w:pPr>
                                    <w:pStyle w:val="TableContents"/>
                                    <w:bidi w:val="0"/>
                                    <w:spacing w:before="0" w:after="0"/>
                                    <w:jc w:val="right"/>
                                    <w:rPr/>
                                  </w:pPr>
                                  <w:r>
                                    <w:rPr>
                                      <w:spacing w:val="-2"/>
                                    </w:rPr>
                                    <w:t>223,593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503,085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362,221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306"/>
                              <w:gridCol w:w="109"/>
                              <w:gridCol w:w="109"/>
                              <w:gridCol w:w="1306"/>
                              <w:gridCol w:w="109"/>
                              <w:gridCol w:w="109"/>
                              <w:gridCol w:w="687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30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0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87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in full as of December 31, 2025.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30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28%</w:t>
                                  </w:r>
                                </w:p>
                                <w:p>
                                  <w:pPr>
                                    <w:pStyle w:val="TableContents"/>
                                    <w:bidi w:val="0"/>
                                    <w:spacing w:lineRule="atLeast" w:line="220" w:before="0" w:after="0"/>
                                    <w:jc w:val="left"/>
                                    <w:rPr>
                                      <w:b/>
                                      <w:sz w:val="18"/>
                                    </w:rPr>
                                  </w:pPr>
                                  <w:r>
                                    <w:rPr>
                                      <w:b/>
                                      <w:sz w:val="18"/>
                                    </w:rPr>
                                    <w:t>$4,500,000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0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25%</w:t>
                                  </w:r>
                                </w:p>
                                <w:p>
                                  <w:pPr>
                                    <w:pStyle w:val="TableContents"/>
                                    <w:bidi w:val="0"/>
                                    <w:spacing w:lineRule="atLeast" w:line="220" w:before="0" w:after="0"/>
                                    <w:jc w:val="left"/>
                                    <w:rPr>
                                      <w:b/>
                                      <w:sz w:val="18"/>
                                    </w:rPr>
                                  </w:pPr>
                                  <w:r>
                                    <w:rPr>
                                      <w:b/>
                                      <w:sz w:val="18"/>
                                    </w:rPr>
                                    <w:t>$4,554,596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87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$4,500,000</w:t>
                                  </w:r>
                                  <w:r>
                                    <w:rPr>
                                      <w:spacing w:val="-2"/>
                                    </w:rPr>
                                    <w:t>, equal to the minimum target amount in Mr. Holliday’s employment agreement.</w:t>
                                  </w:r>
                                  <w:r>
                                    <w:rPr/>
                                    <w:t xml:space="preserve"> </w:t>
                                  </w:r>
                                </w:p>
                                <w:p>
                                  <w:pPr>
                                    <w:pStyle w:val="TableContents"/>
                                    <w:bidi w:val="0"/>
                                    <w:spacing w:lineRule="atLeast" w:line="185" w:before="45" w:after="283"/>
                                    <w:jc w:val="left"/>
                                    <w:rPr/>
                                  </w:pPr>
                                  <w:r>
                                    <w:rPr>
                                      <w:spacing w:val="-2"/>
                                    </w:rPr>
                                    <w:t xml:space="preserve">The corresponding </w:t>
                                  </w:r>
                                  <w:r>
                                    <w:rPr>
                                      <w:b/>
                                    </w:rPr>
                                    <w:t>97,096</w:t>
                                  </w:r>
                                  <w:r>
                                    <w:rPr>
                                      <w:spacing w:val="-2"/>
                                    </w:rPr>
                                    <w:t xml:space="preserve"> LTIP units will vest in three equal installments on January 1, 2025, January 1, 2026 and January 1, 2027, subject to continued employment.</w:t>
                                  </w:r>
                                  <w:r>
                                    <w:rPr/>
                                    <w:t xml:space="preserve"> </w:t>
                                  </w:r>
                                </w:p>
                                <w:p>
                                  <w:pPr>
                                    <w:pStyle w:val="TableContents"/>
                                    <w:bidi w:val="0"/>
                                    <w:spacing w:lineRule="atLeast" w:line="185" w:before="45" w:after="283"/>
                                    <w:jc w:val="left"/>
                                    <w:rPr>
                                      <w:b/>
                                    </w:rPr>
                                  </w:pPr>
                                  <w:r>
                                    <w:rPr>
                                      <w:b/>
                                    </w:rPr>
                                    <w:t>The SCT amount reflects the grant date value of the awards</w:t>
                                  </w:r>
                                  <w:r>
                                    <w:rPr>
                                      <w:b w:val="false"/>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30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$16,194,797</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0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$18,508,171</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687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$36,464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75.25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7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16"/>
                        <w:gridCol w:w="109"/>
                        <w:gridCol w:w="109"/>
                        <w:gridCol w:w="916"/>
                        <w:gridCol w:w="109"/>
                        <w:gridCol w:w="109"/>
                        <w:gridCol w:w="7659"/>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1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91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659"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8%</w:t>
                            </w:r>
                          </w:p>
                          <w:p>
                            <w:pPr>
                              <w:pStyle w:val="TableContents"/>
                              <w:bidi w:val="0"/>
                              <w:spacing w:lineRule="atLeast" w:line="220" w:before="0" w:after="0"/>
                              <w:jc w:val="left"/>
                              <w:rPr>
                                <w:b/>
                                <w:sz w:val="18"/>
                              </w:rPr>
                            </w:pPr>
                            <w:r>
                              <w:rPr>
                                <w:b/>
                                <w:sz w:val="18"/>
                              </w:rPr>
                              <w:t>$1,250,000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91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7%</w:t>
                            </w:r>
                          </w:p>
                          <w:p>
                            <w:pPr>
                              <w:pStyle w:val="TableContents"/>
                              <w:bidi w:val="0"/>
                              <w:spacing w:lineRule="atLeast" w:line="220" w:before="0" w:after="0"/>
                              <w:jc w:val="left"/>
                              <w:rPr>
                                <w:b/>
                                <w:sz w:val="18"/>
                              </w:rPr>
                            </w:pPr>
                            <w:r>
                              <w:rPr>
                                <w:b/>
                                <w:sz w:val="18"/>
                              </w:rPr>
                              <w:t>$1,250,000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65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Base Salary</w:t>
                            </w:r>
                          </w:p>
                          <w:p>
                            <w:pPr>
                              <w:pStyle w:val="TableContents"/>
                              <w:bidi w:val="0"/>
                              <w:spacing w:lineRule="atLeast" w:line="185" w:before="0" w:after="0"/>
                              <w:jc w:val="left"/>
                              <w:rPr>
                                <w:spacing w:val="-2"/>
                              </w:rPr>
                            </w:pPr>
                            <w:r>
                              <w:rPr>
                                <w:spacing w:val="-2"/>
                              </w:rPr>
                              <w:t xml:space="preserve">Mr. Holliday’s base salary was equal to the minimum set forth in his employment agreement. There has been no change to his base salary since it was retroactively reduced in 2018.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18%</w:t>
                            </w:r>
                          </w:p>
                          <w:p>
                            <w:pPr>
                              <w:pStyle w:val="TableContents"/>
                              <w:bidi w:val="0"/>
                              <w:spacing w:lineRule="atLeast" w:line="220" w:before="0" w:after="0"/>
                              <w:jc w:val="left"/>
                              <w:rPr>
                                <w:b/>
                                <w:sz w:val="18"/>
                              </w:rPr>
                            </w:pPr>
                            <w:r>
                              <w:rPr>
                                <w:b/>
                                <w:sz w:val="18"/>
                              </w:rPr>
                              <w:t>$2,908,333</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91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15%</w:t>
                            </w:r>
                          </w:p>
                          <w:p>
                            <w:pPr>
                              <w:pStyle w:val="TableContents"/>
                              <w:bidi w:val="0"/>
                              <w:spacing w:lineRule="atLeast" w:line="220" w:before="0" w:after="0"/>
                              <w:jc w:val="left"/>
                              <w:rPr>
                                <w:b/>
                                <w:sz w:val="18"/>
                              </w:rPr>
                            </w:pPr>
                            <w:r>
                              <w:rPr>
                                <w:b/>
                                <w:sz w:val="18"/>
                              </w:rPr>
                              <w:t>$2,747,106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65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100% Formulaic Annual Bonus</w:t>
                            </w:r>
                          </w:p>
                          <w:p>
                            <w:pPr>
                              <w:pStyle w:val="TableContents"/>
                              <w:bidi w:val="0"/>
                              <w:spacing w:lineRule="atLeast" w:line="185" w:before="0" w:after="0"/>
                              <w:jc w:val="left"/>
                              <w:rPr/>
                            </w:pPr>
                            <w:r>
                              <w:rPr>
                                <w:spacing w:val="-2"/>
                              </w:rPr>
                              <w:t xml:space="preserve">Determined formulaically based on performance relative to preset objective bonus criteria established by the Committee in January 2023. The TDC amount reflects the earning of </w:t>
                            </w:r>
                            <w:r>
                              <w:rPr>
                                <w:b/>
                              </w:rPr>
                              <w:t>116%</w:t>
                            </w:r>
                            <w:r>
                              <w:rPr>
                                <w:spacing w:val="-2"/>
                              </w:rPr>
                              <w:t xml:space="preserve"> of the target bonus amount.</w:t>
                            </w:r>
                            <w:r>
                              <w:rPr/>
                              <w:t xml:space="preserve"> </w:t>
                            </w:r>
                          </w:p>
                          <w:p>
                            <w:pPr>
                              <w:pStyle w:val="TableContents"/>
                              <w:bidi w:val="0"/>
                              <w:spacing w:lineRule="atLeast" w:line="185" w:before="45" w:after="283"/>
                              <w:jc w:val="left"/>
                              <w:rPr/>
                            </w:pPr>
                            <w:r>
                              <w:rPr>
                                <w:spacing w:val="-2"/>
                              </w:rPr>
                              <w:t>The SCT amount reflects the cash portion of the bonus (</w:t>
                            </w:r>
                            <w:r>
                              <w:rPr>
                                <w:b/>
                              </w:rPr>
                              <w:t>$1,454,167</w:t>
                            </w:r>
                            <w:r>
                              <w:rPr>
                                <w:spacing w:val="-2"/>
                              </w:rPr>
                              <w:t>), plus the grant date value of the portion of the bonus (</w:t>
                            </w:r>
                            <w:r>
                              <w:rPr>
                                <w:b/>
                              </w:rPr>
                              <w:t>$1,142,926</w:t>
                            </w:r>
                            <w:r>
                              <w:rPr>
                                <w:spacing w:val="-2"/>
                              </w:rPr>
                              <w:t>) paid in equity at Mr. Holliday’s election, plus the grant date value of LTIP units issued in 2023 as a true-up for his 2022 annual bonus based on actual 2022 performance (</w:t>
                            </w:r>
                            <w:r>
                              <w:rPr>
                                <w:b/>
                              </w:rPr>
                              <w:t>$150,013</w:t>
                            </w:r>
                            <w:r>
                              <w:rPr>
                                <w:spacing w:val="-2"/>
                              </w:rPr>
                              <w:t>).</w:t>
                            </w:r>
                            <w:r>
                              <w:rPr/>
                              <w:t xml:space="preserve"> </w:t>
                            </w:r>
                          </w:p>
                          <w:p>
                            <w:pPr>
                              <w:pStyle w:val="TableContents"/>
                              <w:bidi w:val="0"/>
                              <w:spacing w:lineRule="atLeast" w:line="185" w:before="45" w:after="283"/>
                              <w:jc w:val="left"/>
                              <w:rPr/>
                            </w:pPr>
                            <w:r>
                              <w:rPr>
                                <w:spacing w:val="-2"/>
                              </w:rPr>
                              <w:t xml:space="preserve">Mr. Holliday elected to receive </w:t>
                            </w:r>
                            <w:r>
                              <w:rPr>
                                <w:b/>
                              </w:rPr>
                              <w:t>50%</w:t>
                            </w:r>
                            <w:r>
                              <w:rPr>
                                <w:spacing w:val="-2"/>
                              </w:rPr>
                              <w:t xml:space="preserve"> of the bonus in the form of equity. The corresponding </w:t>
                            </w:r>
                            <w:r>
                              <w:rPr>
                                <w:b/>
                              </w:rPr>
                              <w:t>34,467</w:t>
                            </w:r>
                            <w:r>
                              <w:rPr>
                                <w:spacing w:val="-2"/>
                              </w:rPr>
                              <w:t xml:space="preserve"> LTIP units granted in December 2023 were fully vested upon grant, but remain subject to a three-year no-sell restriction.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1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46%</w:t>
                            </w:r>
                          </w:p>
                          <w:p>
                            <w:pPr>
                              <w:pStyle w:val="TableContents"/>
                              <w:bidi w:val="0"/>
                              <w:spacing w:lineRule="atLeast" w:line="220" w:before="0" w:after="0"/>
                              <w:jc w:val="left"/>
                              <w:rPr>
                                <w:b/>
                                <w:sz w:val="18"/>
                              </w:rPr>
                            </w:pPr>
                            <w:r>
                              <w:rPr>
                                <w:b/>
                                <w:sz w:val="18"/>
                              </w:rPr>
                              <w:t>$7,500,000</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left"/>
                              <w:rPr>
                                <w:color w:val="1F2668"/>
                                <w:sz w:val="36"/>
                              </w:rPr>
                            </w:pPr>
                            <w:r>
                              <w:rPr>
                                <w:color w:val="1F2668"/>
                                <w:sz w:val="36"/>
                              </w:rPr>
                              <w:t>53%</w:t>
                            </w:r>
                          </w:p>
                          <w:p>
                            <w:pPr>
                              <w:pStyle w:val="TableContents"/>
                              <w:bidi w:val="0"/>
                              <w:spacing w:lineRule="atLeast" w:line="220" w:before="0" w:after="0"/>
                              <w:jc w:val="left"/>
                              <w:rPr>
                                <w:b/>
                                <w:sz w:val="18"/>
                              </w:rPr>
                            </w:pPr>
                            <w:r>
                              <w:rPr>
                                <w:b/>
                                <w:sz w:val="18"/>
                              </w:rPr>
                              <w:t>$9,920,005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59" w:type="dxa"/>
                            <w:tcBorders/>
                            <w:tcMar>
                              <w:bottom w:w="0" w:type="dxa"/>
                            </w:tcMar>
                            <w:vAlign w:val="center"/>
                          </w:tcPr>
                          <w:p>
                            <w:pPr>
                              <w:pStyle w:val="TableContents"/>
                              <w:bidi w:val="0"/>
                              <w:spacing w:lineRule="atLeast" w:line="195" w:before="0" w:after="0"/>
                              <w:jc w:val="left"/>
                              <w:rPr>
                                <w:b/>
                                <w:sz w:val="18"/>
                              </w:rPr>
                            </w:pPr>
                            <w:r>
                              <w:rPr>
                                <w:b/>
                                <w:sz w:val="18"/>
                              </w:rPr>
                              <w:t>Performance-Based Equity Awards</w:t>
                            </w:r>
                          </w:p>
                          <w:p>
                            <w:pPr>
                              <w:pStyle w:val="TableContents"/>
                              <w:bidi w:val="0"/>
                              <w:spacing w:lineRule="atLeast" w:line="185" w:before="0" w:after="0"/>
                              <w:jc w:val="left"/>
                              <w:rPr/>
                            </w:pPr>
                            <w:r>
                              <w:rPr>
                                <w:spacing w:val="-2"/>
                              </w:rPr>
                              <w:t xml:space="preserve">The TDC amount reflects the target notional value of </w:t>
                            </w:r>
                            <w:r>
                              <w:rPr>
                                <w:b/>
                              </w:rPr>
                              <w:t>$7,500,000</w:t>
                            </w:r>
                            <w:r>
                              <w:rPr>
                                <w:spacing w:val="-2"/>
                              </w:rPr>
                              <w:t xml:space="preserve">, consistent with the target amount set forth in Mr. Holliday’s employment agreement. </w:t>
                            </w:r>
                            <w:r>
                              <w:rPr>
                                <w:b/>
                              </w:rPr>
                              <w:t>The SCT amount reflects the grant date value of the awards</w:t>
                            </w:r>
                            <w:r>
                              <w:rPr>
                                <w:spacing w:val="-2"/>
                              </w:rPr>
                              <w:t>.</w:t>
                            </w:r>
                            <w:r>
                              <w:rPr/>
                              <w:t xml:space="preserve"> </w:t>
                            </w:r>
                          </w:p>
                          <w:p>
                            <w:pPr>
                              <w:pStyle w:val="TableContents"/>
                              <w:bidi w:val="0"/>
                              <w:spacing w:lineRule="atLeast" w:line="185" w:before="45" w:after="283"/>
                              <w:jc w:val="left"/>
                              <w:rPr/>
                            </w:pPr>
                            <w:r>
                              <w:rPr>
                                <w:spacing w:val="-2"/>
                              </w:rPr>
                              <w:t>The award relates to the following number of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476"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934"/>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653"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934"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104,809</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934" w:type="dxa"/>
                            <w:tcBorders>
                              <w:bottom w:val="single" w:sz="2" w:space="0" w:color="4B5088"/>
                            </w:tcBorders>
                            <w:tcMar>
                              <w:bottom w:w="33" w:type="dxa"/>
                            </w:tcMar>
                            <w:vAlign w:val="center"/>
                          </w:tcPr>
                          <w:p>
                            <w:pPr>
                              <w:pStyle w:val="TableContents"/>
                              <w:bidi w:val="0"/>
                              <w:spacing w:before="0" w:after="0"/>
                              <w:jc w:val="right"/>
                              <w:rPr/>
                            </w:pPr>
                            <w:r>
                              <w:rPr>
                                <w:spacing w:val="-2"/>
                              </w:rPr>
                              <w:t>223,593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503,085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362,221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306"/>
                        <w:gridCol w:w="109"/>
                        <w:gridCol w:w="109"/>
                        <w:gridCol w:w="1306"/>
                        <w:gridCol w:w="109"/>
                        <w:gridCol w:w="109"/>
                        <w:gridCol w:w="687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30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0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87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in full as of December 31, 2025.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30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28%</w:t>
                            </w:r>
                          </w:p>
                          <w:p>
                            <w:pPr>
                              <w:pStyle w:val="TableContents"/>
                              <w:bidi w:val="0"/>
                              <w:spacing w:lineRule="atLeast" w:line="220" w:before="0" w:after="0"/>
                              <w:jc w:val="left"/>
                              <w:rPr>
                                <w:b/>
                                <w:sz w:val="18"/>
                              </w:rPr>
                            </w:pPr>
                            <w:r>
                              <w:rPr>
                                <w:b/>
                                <w:sz w:val="18"/>
                              </w:rPr>
                              <w:t>$4,500,000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30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25%</w:t>
                            </w:r>
                          </w:p>
                          <w:p>
                            <w:pPr>
                              <w:pStyle w:val="TableContents"/>
                              <w:bidi w:val="0"/>
                              <w:spacing w:lineRule="atLeast" w:line="220" w:before="0" w:after="0"/>
                              <w:jc w:val="left"/>
                              <w:rPr>
                                <w:b/>
                                <w:sz w:val="18"/>
                              </w:rPr>
                            </w:pPr>
                            <w:r>
                              <w:rPr>
                                <w:b/>
                                <w:sz w:val="18"/>
                              </w:rPr>
                              <w:t>$4,554,596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687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$4,500,000</w:t>
                            </w:r>
                            <w:r>
                              <w:rPr>
                                <w:spacing w:val="-2"/>
                              </w:rPr>
                              <w:t>, equal to the minimum target amount in Mr. Holliday’s employment agreement.</w:t>
                            </w:r>
                            <w:r>
                              <w:rPr/>
                              <w:t xml:space="preserve"> </w:t>
                            </w:r>
                          </w:p>
                          <w:p>
                            <w:pPr>
                              <w:pStyle w:val="TableContents"/>
                              <w:bidi w:val="0"/>
                              <w:spacing w:lineRule="atLeast" w:line="185" w:before="45" w:after="283"/>
                              <w:jc w:val="left"/>
                              <w:rPr/>
                            </w:pPr>
                            <w:r>
                              <w:rPr>
                                <w:spacing w:val="-2"/>
                              </w:rPr>
                              <w:t xml:space="preserve">The corresponding </w:t>
                            </w:r>
                            <w:r>
                              <w:rPr>
                                <w:b/>
                              </w:rPr>
                              <w:t>97,096</w:t>
                            </w:r>
                            <w:r>
                              <w:rPr>
                                <w:spacing w:val="-2"/>
                              </w:rPr>
                              <w:t xml:space="preserve"> LTIP units will vest in three equal installments on January 1, 2025, January 1, 2026 and January 1, 2027, subject to continued employment.</w:t>
                            </w:r>
                            <w:r>
                              <w:rPr/>
                              <w:t xml:space="preserve"> </w:t>
                            </w:r>
                          </w:p>
                          <w:p>
                            <w:pPr>
                              <w:pStyle w:val="TableContents"/>
                              <w:bidi w:val="0"/>
                              <w:spacing w:lineRule="atLeast" w:line="185" w:before="45" w:after="283"/>
                              <w:jc w:val="left"/>
                              <w:rPr>
                                <w:b/>
                              </w:rPr>
                            </w:pPr>
                            <w:r>
                              <w:rPr>
                                <w:b/>
                              </w:rPr>
                              <w:t>The SCT amount reflects the grant date value of the awards</w:t>
                            </w:r>
                            <w:r>
                              <w:rPr>
                                <w:b w:val="false"/>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30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$16,194,797</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30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$18,508,171</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687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$36,464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59</w:t>
            </w:r>
          </w:p>
        </w:tc>
        <w:tc>
          <w:tcPr>
            <w:tcW w:w="154" w:type="dxa"/>
            <w:tcBorders/>
            <w:vAlign w:val="center"/>
          </w:tcPr>
          <w:p>
            <w:pPr>
              <w:pStyle w:val="TableContents"/>
              <w:bidi w:val="0"/>
              <w:spacing w:before="0" w:after="283"/>
              <w:jc w:val="left"/>
              <w:rPr/>
            </w:pPr>
            <w:r>
              <w:rPr/>
              <w:t>​</w:t>
            </w:r>
          </w:p>
        </w:tc>
      </w:tr>
    </w:tbl>
    <w:p>
      <w:pPr>
        <w:pStyle w:val="TextBody"/>
        <w:bidi w:val="0"/>
        <w:spacing w:before="0" w:after="1214"/>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29">
                <wp:simplePos x="0" y="0"/>
                <wp:positionH relativeFrom="column">
                  <wp:align>left</wp:align>
                </wp:positionH>
                <wp:positionV relativeFrom="line">
                  <wp:posOffset>635</wp:posOffset>
                </wp:positionV>
                <wp:extent cx="1790700" cy="6231255"/>
                <wp:effectExtent l="0" t="0" r="0" b="0"/>
                <wp:wrapSquare wrapText="right"/>
                <wp:docPr id="783" name="Frame433"/>
                <a:graphic xmlns:a="http://schemas.openxmlformats.org/drawingml/2006/main">
                  <a:graphicData uri="http://schemas.microsoft.com/office/word/2010/wordprocessingShape">
                    <wps:wsp>
                      <wps:cNvSpPr txBox="1"/>
                      <wps:spPr>
                        <a:xfrm>
                          <a:off x="0" y="0"/>
                          <a:ext cx="1790700" cy="623125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 xml:space="preserve">MATTHEW J. </w:t>
                                    <w:br/>
                                    <w:t>DILIBERTO​</w:t>
                                  </w:r>
                                </w:p>
                                <w:p>
                                  <w:pPr>
                                    <w:pStyle w:val="TableContents"/>
                                    <w:bidi w:val="0"/>
                                    <w:spacing w:before="140" w:after="283"/>
                                    <w:ind w:left="0" w:right="160" w:hanging="0"/>
                                    <w:jc w:val="center"/>
                                    <w:rPr/>
                                  </w:pPr>
                                  <w:r>
                                    <w:rPr/>
                                    <w:drawing>
                                      <wp:inline distT="0" distB="0" distL="0" distR="0">
                                        <wp:extent cx="1219200" cy="1457325"/>
                                        <wp:effectExtent l="0" t="0" r="0" b="0"/>
                                        <wp:docPr id="784"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272" descr=""/>
                                                <pic:cNvPicPr>
                                                  <a:picLocks noChangeAspect="1" noChangeArrowheads="1"/>
                                                </pic:cNvPicPr>
                                              </pic:nvPicPr>
                                              <pic:blipFill>
                                                <a:blip r:embed="rId358"/>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00" w:before="320" w:after="283"/>
                                    <w:ind w:left="0" w:right="160" w:hanging="0"/>
                                    <w:jc w:val="left"/>
                                    <w:rPr>
                                      <w:b/>
                                    </w:rPr>
                                  </w:pPr>
                                  <w:r>
                                    <w:rPr>
                                      <w:b/>
                                    </w:rPr>
                                    <w:t>Chief Financial Officer</w:t>
                                  </w:r>
                                </w:p>
                                <w:p>
                                  <w:pPr>
                                    <w:pStyle w:val="TableContents"/>
                                    <w:bidi w:val="0"/>
                                    <w:spacing w:lineRule="atLeast" w:line="200" w:before="240" w:after="283"/>
                                    <w:ind w:left="0" w:right="160" w:hanging="0"/>
                                    <w:jc w:val="left"/>
                                    <w:rPr/>
                                  </w:pPr>
                                  <w:r>
                                    <w:rPr>
                                      <w:spacing w:val="-2"/>
                                    </w:rPr>
                                    <w:t>Mr. DiLiberto’s 2023 compensation recognizes the Company’s strong financial and operating year as well as Mr. DiLiberto’s pivotal role in managing our balance sheet and liquidity position to succeed in a dynamic, competitive and unpredictable NYC real estate market. In a year that saw continued disruptions of lending markets and an environment of unprecedented inflation and interest rate volatility, Mr. DiLiberto was a vital part of our outstanding TSR performance, as well as our achievement of the operational metrics that drive long-term stockholder value.</w:t>
                                  </w:r>
                                  <w:r>
                                    <w:rPr/>
                                    <w:t xml:space="preserve"> </w:t>
                                  </w:r>
                                </w:p>
                                <w:p>
                                  <w:pPr>
                                    <w:pStyle w:val="TableContents"/>
                                    <w:bidi w:val="0"/>
                                    <w:spacing w:lineRule="atLeast" w:line="200" w:before="240" w:after="283"/>
                                    <w:ind w:left="0" w:right="160" w:hanging="0"/>
                                    <w:jc w:val="left"/>
                                    <w:rPr>
                                      <w:b/>
                                    </w:rPr>
                                  </w:pPr>
                                  <w:r>
                                    <w:rPr>
                                      <w:b/>
                                    </w:rPr>
                                    <w:t>The Total Direct Compensation amount for Mr. DiLiberto in 2023 is approximately 31% higher than the Summary Compensation Table amount for 2023 due primarily to the form and timing of Mr. DiLiberto’s annual bonus, which was paid fully in equity that was granted in January 2024, and therefore will not appear in the Summary Compensation Table until our 2025 proxy statement.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490.6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 xml:space="preserve">MATTHEW J. </w:t>
                              <w:br/>
                              <w:t>DILIBERTO​</w:t>
                            </w:r>
                          </w:p>
                          <w:p>
                            <w:pPr>
                              <w:pStyle w:val="TableContents"/>
                              <w:bidi w:val="0"/>
                              <w:spacing w:before="140" w:after="283"/>
                              <w:ind w:left="0" w:right="160" w:hanging="0"/>
                              <w:jc w:val="center"/>
                              <w:rPr/>
                            </w:pPr>
                            <w:r>
                              <w:rPr/>
                              <w:drawing>
                                <wp:inline distT="0" distB="0" distL="0" distR="0">
                                  <wp:extent cx="1219200" cy="1457325"/>
                                  <wp:effectExtent l="0" t="0" r="0" b="0"/>
                                  <wp:docPr id="78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272" descr=""/>
                                          <pic:cNvPicPr>
                                            <a:picLocks noChangeAspect="1" noChangeArrowheads="1"/>
                                          </pic:cNvPicPr>
                                        </pic:nvPicPr>
                                        <pic:blipFill>
                                          <a:blip r:embed="rId359"/>
                                          <a:stretch>
                                            <a:fillRect/>
                                          </a:stretch>
                                        </pic:blipFill>
                                        <pic:spPr bwMode="auto">
                                          <a:xfrm>
                                            <a:off x="0" y="0"/>
                                            <a:ext cx="1219200" cy="1457325"/>
                                          </a:xfrm>
                                          <a:prstGeom prst="rect">
                                            <a:avLst/>
                                          </a:prstGeom>
                                        </pic:spPr>
                                      </pic:pic>
                                    </a:graphicData>
                                  </a:graphic>
                                </wp:inline>
                              </w:drawing>
                            </w:r>
                            <w:r>
                              <w:rPr/>
                              <w:t xml:space="preserve"> </w:t>
                            </w:r>
                          </w:p>
                          <w:p>
                            <w:pPr>
                              <w:pStyle w:val="TableContents"/>
                              <w:bidi w:val="0"/>
                              <w:spacing w:lineRule="atLeast" w:line="200" w:before="320" w:after="283"/>
                              <w:ind w:left="0" w:right="160" w:hanging="0"/>
                              <w:jc w:val="left"/>
                              <w:rPr>
                                <w:b/>
                              </w:rPr>
                            </w:pPr>
                            <w:r>
                              <w:rPr>
                                <w:b/>
                              </w:rPr>
                              <w:t>Chief Financial Officer</w:t>
                            </w:r>
                          </w:p>
                          <w:p>
                            <w:pPr>
                              <w:pStyle w:val="TableContents"/>
                              <w:bidi w:val="0"/>
                              <w:spacing w:lineRule="atLeast" w:line="200" w:before="240" w:after="283"/>
                              <w:ind w:left="0" w:right="160" w:hanging="0"/>
                              <w:jc w:val="left"/>
                              <w:rPr/>
                            </w:pPr>
                            <w:r>
                              <w:rPr>
                                <w:spacing w:val="-2"/>
                              </w:rPr>
                              <w:t>Mr. DiLiberto’s 2023 compensation recognizes the Company’s strong financial and operating year as well as Mr. DiLiberto’s pivotal role in managing our balance sheet and liquidity position to succeed in a dynamic, competitive and unpredictable NYC real estate market. In a year that saw continued disruptions of lending markets and an environment of unprecedented inflation and interest rate volatility, Mr. DiLiberto was a vital part of our outstanding TSR performance, as well as our achievement of the operational metrics that drive long-term stockholder value.</w:t>
                            </w:r>
                            <w:r>
                              <w:rPr/>
                              <w:t xml:space="preserve"> </w:t>
                            </w:r>
                          </w:p>
                          <w:p>
                            <w:pPr>
                              <w:pStyle w:val="TableContents"/>
                              <w:bidi w:val="0"/>
                              <w:spacing w:lineRule="atLeast" w:line="200" w:before="240" w:after="283"/>
                              <w:ind w:left="0" w:right="160" w:hanging="0"/>
                              <w:jc w:val="left"/>
                              <w:rPr>
                                <w:b/>
                              </w:rPr>
                            </w:pPr>
                            <w:r>
                              <w:rPr>
                                <w:b/>
                              </w:rPr>
                              <w:t>The Total Direct Compensation amount for Mr. DiLiberto in 2023 is approximately 31% higher than the Summary Compensation Table amount for 2023 due primarily to the form and timing of Mr. DiLiberto’s annual bonus, which was paid fully in equity that was granted in January 2024, and therefore will not appear in the Summary Compensation Table until our 2025 proxy statement.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744">
                <wp:simplePos x="0" y="0"/>
                <wp:positionH relativeFrom="column">
                  <wp:align>left</wp:align>
                </wp:positionH>
                <wp:positionV relativeFrom="line">
                  <wp:posOffset>635</wp:posOffset>
                </wp:positionV>
                <wp:extent cx="4406900" cy="9972040"/>
                <wp:effectExtent l="0" t="0" r="0" b="0"/>
                <wp:wrapSquare wrapText="right"/>
                <wp:docPr id="786" name="Frame434"/>
                <a:graphic xmlns:a="http://schemas.openxmlformats.org/drawingml/2006/main">
                  <a:graphicData uri="http://schemas.microsoft.com/office/word/2010/wordprocessingShape">
                    <wps:wsp>
                      <wps:cNvSpPr txBox="1"/>
                      <wps:spPr>
                        <a:xfrm>
                          <a:off x="0" y="0"/>
                          <a:ext cx="4406900" cy="9972040"/>
                        </a:xfrm>
                        <a:prstGeom prst="rect"/>
                        <a:solidFill>
                          <a:srgbClr val="FFFFFF"/>
                        </a:solidFill>
                      </wps:spPr>
                      <wps:txbx>
                        <w:txbxContent>
                          <w:p>
                            <w:pPr>
                              <w:pStyle w:val="TextBody"/>
                              <w:bidi w:val="0"/>
                              <w:spacing w:lineRule="atLeast" w:line="26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16"/>
                              <w:gridCol w:w="109"/>
                              <w:gridCol w:w="109"/>
                              <w:gridCol w:w="781"/>
                              <w:gridCol w:w="109"/>
                              <w:gridCol w:w="109"/>
                              <w:gridCol w:w="7794"/>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1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81"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794"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14%</w:t>
                                  </w:r>
                                </w:p>
                                <w:p>
                                  <w:pPr>
                                    <w:pStyle w:val="TableContents"/>
                                    <w:bidi w:val="0"/>
                                    <w:spacing w:lineRule="atLeast" w:line="220" w:before="0" w:after="0"/>
                                    <w:jc w:val="left"/>
                                    <w:rPr>
                                      <w:b/>
                                      <w:sz w:val="18"/>
                                    </w:rPr>
                                  </w:pPr>
                                  <w:r>
                                    <w:rPr>
                                      <w:b/>
                                      <w:sz w:val="18"/>
                                    </w:rPr>
                                    <w:t>$600,000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20" w:before="0" w:after="0"/>
                                    <w:jc w:val="left"/>
                                    <w:rPr>
                                      <w:b/>
                                      <w:sz w:val="18"/>
                                    </w:rPr>
                                  </w:pPr>
                                  <w:r>
                                    <w:rPr>
                                      <w:b/>
                                      <w:sz w:val="18"/>
                                    </w:rPr>
                                    <w:t>$600,000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9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Base Salary</w:t>
                                  </w:r>
                                </w:p>
                                <w:p>
                                  <w:pPr>
                                    <w:pStyle w:val="TableContents"/>
                                    <w:bidi w:val="0"/>
                                    <w:spacing w:lineRule="atLeast" w:line="185" w:before="0" w:after="0"/>
                                    <w:jc w:val="left"/>
                                    <w:rPr>
                                      <w:spacing w:val="-2"/>
                                    </w:rPr>
                                  </w:pPr>
                                  <w:r>
                                    <w:rPr>
                                      <w:spacing w:val="-2"/>
                                    </w:rPr>
                                    <w:t xml:space="preserve">Mr. DiLiberto’s base salary was equal to the minimum amount set forth in the employment agreement he entered into in March 2023, which reflected a $25,000 market-based increase over his 2022 base salary.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40%</w:t>
                                  </w:r>
                                </w:p>
                                <w:p>
                                  <w:pPr>
                                    <w:pStyle w:val="TableContents"/>
                                    <w:bidi w:val="0"/>
                                    <w:spacing w:lineRule="atLeast" w:line="220" w:before="0" w:after="0"/>
                                    <w:jc w:val="left"/>
                                    <w:rPr>
                                      <w:b/>
                                      <w:sz w:val="18"/>
                                    </w:rPr>
                                  </w:pPr>
                                  <w:r>
                                    <w:rPr>
                                      <w:b/>
                                      <w:sz w:val="18"/>
                                    </w:rPr>
                                    <w:t>$1,700,000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20" w:before="0" w:after="0"/>
                                    <w:jc w:val="left"/>
                                    <w:rPr>
                                      <w:b/>
                                      <w:sz w:val="18"/>
                                    </w:rPr>
                                  </w:pPr>
                                  <w:r>
                                    <w:rPr>
                                      <w:b/>
                                      <w:sz w:val="18"/>
                                    </w:rPr>
                                    <w:t>$622,393</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9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Bonus</w:t>
                                  </w:r>
                                </w:p>
                                <w:p>
                                  <w:pPr>
                                    <w:pStyle w:val="TableContents"/>
                                    <w:bidi w:val="0"/>
                                    <w:spacing w:lineRule="atLeast" w:line="185" w:before="0" w:after="0"/>
                                    <w:jc w:val="left"/>
                                    <w:rPr/>
                                  </w:pPr>
                                  <w:r>
                                    <w:rPr>
                                      <w:spacing w:val="-2"/>
                                    </w:rPr>
                                    <w:t xml:space="preserve">Determined 60% formulaically, with the remaining 40% of his total bonus opportunity determined on a discretionary basis after calculation of the formulaic component. For 2023, Mr. DiLiberto earned </w:t>
                                  </w:r>
                                  <w:r>
                                    <w:rPr>
                                      <w:b/>
                                    </w:rPr>
                                    <w:t>$1,167,000</w:t>
                                  </w:r>
                                  <w:r>
                                    <w:rPr>
                                      <w:spacing w:val="-2"/>
                                    </w:rPr>
                                    <w:t xml:space="preserve"> on a formulaic basis, resulting in a discretionary bonus potential of $778,000, of which he was then awarded </w:t>
                                  </w:r>
                                  <w:r>
                                    <w:rPr>
                                      <w:b/>
                                    </w:rPr>
                                    <w:t>$533,000</w:t>
                                  </w:r>
                                  <w:r>
                                    <w:rPr>
                                      <w:spacing w:val="-2"/>
                                    </w:rPr>
                                    <w:t>, resulting in an aggregate annual bonus of $</w:t>
                                  </w:r>
                                  <w:r>
                                    <w:rPr>
                                      <w:b/>
                                    </w:rPr>
                                    <w:t>1,700,000</w:t>
                                  </w:r>
                                  <w:r>
                                    <w:rPr>
                                      <w:spacing w:val="-2"/>
                                    </w:rPr>
                                    <w:t>.</w:t>
                                  </w:r>
                                  <w:r>
                                    <w:rPr/>
                                    <w:t xml:space="preserve"> </w:t>
                                  </w:r>
                                </w:p>
                                <w:p>
                                  <w:pPr>
                                    <w:pStyle w:val="TableContents"/>
                                    <w:bidi w:val="0"/>
                                    <w:spacing w:lineRule="atLeast" w:line="185" w:before="45" w:after="283"/>
                                    <w:jc w:val="left"/>
                                    <w:rPr/>
                                  </w:pPr>
                                  <w:r>
                                    <w:rPr>
                                      <w:spacing w:val="-2"/>
                                    </w:rPr>
                                    <w:t xml:space="preserve">Mr. DiLiberto received </w:t>
                                  </w:r>
                                  <w:r>
                                    <w:rPr>
                                      <w:b/>
                                    </w:rPr>
                                    <w:t>100%</w:t>
                                  </w:r>
                                  <w:r>
                                    <w:rPr>
                                      <w:spacing w:val="-2"/>
                                    </w:rPr>
                                    <w:t xml:space="preserve"> of the bonus in the form of equity. The corresponding </w:t>
                                  </w:r>
                                  <w:r>
                                    <w:rPr>
                                      <w:b/>
                                    </w:rPr>
                                    <w:t>40,534</w:t>
                                  </w:r>
                                  <w:r>
                                    <w:rPr>
                                      <w:spacing w:val="-2"/>
                                    </w:rPr>
                                    <w:t xml:space="preserve"> LTIP units granted in </w:t>
                                  </w:r>
                                  <w:r>
                                    <w:rPr>
                                      <w:b/>
                                    </w:rPr>
                                    <w:t>January 2024</w:t>
                                  </w:r>
                                  <w:r>
                                    <w:rPr>
                                      <w:spacing w:val="-2"/>
                                    </w:rPr>
                                    <w:t xml:space="preserve"> were fully vested upon grant, but remain subject to a three-year no-sell restriction. Because these LTIP units were granted in 2024, the value of the awards will be reported in next year’s Summary Compensation table.</w:t>
                                  </w:r>
                                  <w:r>
                                    <w:rPr/>
                                    <w:t xml:space="preserve"> </w:t>
                                  </w:r>
                                </w:p>
                                <w:p>
                                  <w:pPr>
                                    <w:pStyle w:val="TableContents"/>
                                    <w:bidi w:val="0"/>
                                    <w:spacing w:lineRule="atLeast" w:line="185" w:before="45" w:after="283"/>
                                    <w:jc w:val="left"/>
                                    <w:rPr/>
                                  </w:pPr>
                                  <w:r>
                                    <w:rPr>
                                      <w:spacing w:val="-2"/>
                                    </w:rPr>
                                    <w:t xml:space="preserve">The SCT amount reflects the grant date value of equity granted </w:t>
                                  </w:r>
                                  <w:r>
                                    <w:rPr>
                                      <w:b/>
                                    </w:rPr>
                                    <w:t>in January 2023</w:t>
                                  </w:r>
                                  <w:r>
                                    <w:rPr>
                                      <w:spacing w:val="-2"/>
                                    </w:rPr>
                                    <w:t xml:space="preserve"> representing </w:t>
                                  </w:r>
                                  <w:r>
                                    <w:rPr>
                                      <w:b/>
                                    </w:rPr>
                                    <w:t>only a portion of his 2022 annual bonus</w:t>
                                  </w:r>
                                  <w:r>
                                    <w:rPr>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1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13%</w:t>
                                  </w:r>
                                </w:p>
                                <w:p>
                                  <w:pPr>
                                    <w:pStyle w:val="TableContents"/>
                                    <w:bidi w:val="0"/>
                                    <w:spacing w:lineRule="atLeast" w:line="220" w:before="0" w:after="0"/>
                                    <w:jc w:val="left"/>
                                    <w:rPr>
                                      <w:b/>
                                      <w:sz w:val="18"/>
                                    </w:rPr>
                                  </w:pPr>
                                  <w:r>
                                    <w:rPr>
                                      <w:b/>
                                      <w:sz w:val="18"/>
                                    </w:rPr>
                                    <w:t>$555,556</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left"/>
                                    <w:rPr>
                                      <w:color w:val="1F2668"/>
                                      <w:sz w:val="36"/>
                                    </w:rPr>
                                  </w:pPr>
                                  <w:r>
                                    <w:rPr>
                                      <w:color w:val="1F2668"/>
                                      <w:sz w:val="36"/>
                                    </w:rPr>
                                    <w:t>24%</w:t>
                                  </w:r>
                                </w:p>
                                <w:p>
                                  <w:pPr>
                                    <w:pStyle w:val="TableContents"/>
                                    <w:bidi w:val="0"/>
                                    <w:spacing w:lineRule="atLeast" w:line="220" w:before="0" w:after="0"/>
                                    <w:jc w:val="left"/>
                                    <w:rPr>
                                      <w:b/>
                                      <w:sz w:val="18"/>
                                    </w:rPr>
                                  </w:pPr>
                                  <w:r>
                                    <w:rPr>
                                      <w:b/>
                                      <w:sz w:val="18"/>
                                    </w:rPr>
                                    <w:t>$778,011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94" w:type="dxa"/>
                                  <w:tcBorders/>
                                  <w:tcMar>
                                    <w:bottom w:w="0" w:type="dxa"/>
                                  </w:tcMar>
                                  <w:vAlign w:val="center"/>
                                </w:tcPr>
                                <w:p>
                                  <w:pPr>
                                    <w:pStyle w:val="TableContents"/>
                                    <w:bidi w:val="0"/>
                                    <w:spacing w:lineRule="atLeast" w:line="195" w:before="0" w:after="0"/>
                                    <w:jc w:val="left"/>
                                    <w:rPr>
                                      <w:b/>
                                      <w:sz w:val="18"/>
                                    </w:rPr>
                                  </w:pPr>
                                  <w:r>
                                    <w:rPr>
                                      <w:b/>
                                      <w:sz w:val="18"/>
                                    </w:rPr>
                                    <w:t>Performance-Based Equity Awards</w:t>
                                  </w:r>
                                </w:p>
                                <w:p>
                                  <w:pPr>
                                    <w:pStyle w:val="TableContents"/>
                                    <w:bidi w:val="0"/>
                                    <w:spacing w:lineRule="atLeast" w:line="185" w:before="0" w:after="0"/>
                                    <w:jc w:val="left"/>
                                    <w:rPr/>
                                  </w:pPr>
                                  <w:r>
                                    <w:rPr>
                                      <w:spacing w:val="-2"/>
                                    </w:rPr>
                                    <w:t xml:space="preserve">The TDC amount reflects the target notional value of </w:t>
                                  </w:r>
                                  <w:r>
                                    <w:rPr>
                                      <w:b/>
                                    </w:rPr>
                                    <w:t>$555,556</w:t>
                                  </w:r>
                                  <w:r>
                                    <w:rPr>
                                      <w:spacing w:val="-2"/>
                                    </w:rPr>
                                    <w:t xml:space="preserve"> approved by the Committee in January 2023. </w:t>
                                  </w:r>
                                  <w:r>
                                    <w:rPr>
                                      <w:b/>
                                    </w:rPr>
                                    <w:t>The SCT amount represents the grant date value of the awards</w:t>
                                  </w:r>
                                  <w:r>
                                    <w:rPr>
                                      <w:spacing w:val="-2"/>
                                    </w:rPr>
                                    <w:t>.</w:t>
                                  </w:r>
                                  <w:r>
                                    <w:rPr/>
                                    <w:t xml:space="preserve"> </w:t>
                                  </w:r>
                                </w:p>
                                <w:p>
                                  <w:pPr>
                                    <w:pStyle w:val="TableContents"/>
                                    <w:bidi w:val="0"/>
                                    <w:spacing w:lineRule="atLeast" w:line="185" w:before="45" w:after="283"/>
                                    <w:jc w:val="left"/>
                                    <w:rPr/>
                                  </w:pPr>
                                  <w:r>
                                    <w:rPr>
                                      <w:spacing w:val="-2"/>
                                    </w:rPr>
                                    <w:t>The award relates to the following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35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816"/>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535"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7,764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16,563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37,265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26,831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86"/>
                              <w:gridCol w:w="109"/>
                              <w:gridCol w:w="109"/>
                              <w:gridCol w:w="1186"/>
                              <w:gridCol w:w="109"/>
                              <w:gridCol w:w="109"/>
                              <w:gridCol w:w="711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50% as of December 31, 2025 and 50% as of December 31, 2026.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33%</w:t>
                                  </w:r>
                                </w:p>
                                <w:p>
                                  <w:pPr>
                                    <w:pStyle w:val="TableContents"/>
                                    <w:bidi w:val="0"/>
                                    <w:spacing w:lineRule="atLeast" w:line="220" w:before="0" w:after="0"/>
                                    <w:jc w:val="left"/>
                                    <w:rPr>
                                      <w:b/>
                                      <w:sz w:val="18"/>
                                    </w:rPr>
                                  </w:pPr>
                                  <w:r>
                                    <w:rPr>
                                      <w:b/>
                                      <w:sz w:val="18"/>
                                    </w:rPr>
                                    <w:t>$1,400,000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38%</w:t>
                                  </w:r>
                                </w:p>
                                <w:p>
                                  <w:pPr>
                                    <w:pStyle w:val="TableContents"/>
                                    <w:bidi w:val="0"/>
                                    <w:spacing w:lineRule="atLeast" w:line="220" w:before="0" w:after="0"/>
                                    <w:jc w:val="left"/>
                                    <w:rPr>
                                      <w:b/>
                                      <w:sz w:val="18"/>
                                    </w:rPr>
                                  </w:pPr>
                                  <w:r>
                                    <w:rPr>
                                      <w:b/>
                                      <w:sz w:val="18"/>
                                    </w:rPr>
                                    <w:t>$1,252,297</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$1,400,000</w:t>
                                  </w:r>
                                  <w:r>
                                    <w:rPr>
                                      <w:spacing w:val="-2"/>
                                    </w:rPr>
                                    <w:t xml:space="preserve">, equal to the minimum target amount set forth in Mr. DiLiberto’s employment agreement. The corresponding </w:t>
                                  </w:r>
                                  <w:r>
                                    <w:rPr>
                                      <w:b/>
                                    </w:rPr>
                                    <w:t>30,208</w:t>
                                  </w:r>
                                  <w:r>
                                    <w:rPr>
                                      <w:spacing w:val="-2"/>
                                    </w:rPr>
                                    <w:t xml:space="preserve"> LTIP units vest in two equal installments on January 1, 2025 and 2026 subject to continued employment.</w:t>
                                  </w:r>
                                  <w:r>
                                    <w:rPr/>
                                    <w:t xml:space="preserve"> </w:t>
                                  </w:r>
                                </w:p>
                                <w:p>
                                  <w:pPr>
                                    <w:pStyle w:val="TableContents"/>
                                    <w:bidi w:val="0"/>
                                    <w:spacing w:lineRule="atLeast" w:line="185" w:before="45" w:after="283"/>
                                    <w:jc w:val="left"/>
                                    <w:rPr>
                                      <w:spacing w:val="-2"/>
                                    </w:rPr>
                                  </w:pPr>
                                  <w:r>
                                    <w:rPr>
                                      <w:spacing w:val="-2"/>
                                    </w:rPr>
                                    <w:t xml:space="preserve">The SCT amount represents the grant date value of equity awards granted in March 2023 in connection with entering into Mr. DiLiberto’s employment agreement.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18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$4,268,756</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8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$3,265,901</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11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$13,200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85.2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6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916"/>
                        <w:gridCol w:w="109"/>
                        <w:gridCol w:w="109"/>
                        <w:gridCol w:w="781"/>
                        <w:gridCol w:w="109"/>
                        <w:gridCol w:w="109"/>
                        <w:gridCol w:w="7794"/>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91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81"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794"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14%</w:t>
                            </w:r>
                          </w:p>
                          <w:p>
                            <w:pPr>
                              <w:pStyle w:val="TableContents"/>
                              <w:bidi w:val="0"/>
                              <w:spacing w:lineRule="atLeast" w:line="220" w:before="0" w:after="0"/>
                              <w:jc w:val="left"/>
                              <w:rPr>
                                <w:b/>
                                <w:sz w:val="18"/>
                              </w:rPr>
                            </w:pPr>
                            <w:r>
                              <w:rPr>
                                <w:b/>
                                <w:sz w:val="18"/>
                              </w:rPr>
                              <w:t>$600,000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20" w:before="0" w:after="0"/>
                              <w:jc w:val="left"/>
                              <w:rPr>
                                <w:b/>
                                <w:sz w:val="18"/>
                              </w:rPr>
                            </w:pPr>
                            <w:r>
                              <w:rPr>
                                <w:b/>
                                <w:sz w:val="18"/>
                              </w:rPr>
                              <w:t>$600,000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9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Base Salary</w:t>
                            </w:r>
                          </w:p>
                          <w:p>
                            <w:pPr>
                              <w:pStyle w:val="TableContents"/>
                              <w:bidi w:val="0"/>
                              <w:spacing w:lineRule="atLeast" w:line="185" w:before="0" w:after="0"/>
                              <w:jc w:val="left"/>
                              <w:rPr>
                                <w:spacing w:val="-2"/>
                              </w:rPr>
                            </w:pPr>
                            <w:r>
                              <w:rPr>
                                <w:spacing w:val="-2"/>
                              </w:rPr>
                              <w:t xml:space="preserve">Mr. DiLiberto’s base salary was equal to the minimum amount set forth in the employment agreement he entered into in March 2023, which reflected a $25,000 market-based increase over his 2022 base salary.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91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40%</w:t>
                            </w:r>
                          </w:p>
                          <w:p>
                            <w:pPr>
                              <w:pStyle w:val="TableContents"/>
                              <w:bidi w:val="0"/>
                              <w:spacing w:lineRule="atLeast" w:line="220" w:before="0" w:after="0"/>
                              <w:jc w:val="left"/>
                              <w:rPr>
                                <w:b/>
                                <w:sz w:val="18"/>
                              </w:rPr>
                            </w:pPr>
                            <w:r>
                              <w:rPr>
                                <w:b/>
                                <w:sz w:val="18"/>
                              </w:rPr>
                              <w:t>$1,700,000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81"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19%</w:t>
                            </w:r>
                          </w:p>
                          <w:p>
                            <w:pPr>
                              <w:pStyle w:val="TableContents"/>
                              <w:bidi w:val="0"/>
                              <w:spacing w:lineRule="atLeast" w:line="220" w:before="0" w:after="0"/>
                              <w:jc w:val="left"/>
                              <w:rPr>
                                <w:b/>
                                <w:sz w:val="18"/>
                              </w:rPr>
                            </w:pPr>
                            <w:r>
                              <w:rPr>
                                <w:b/>
                                <w:sz w:val="18"/>
                              </w:rPr>
                              <w:t>$622,393</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794"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Annual Bonus</w:t>
                            </w:r>
                          </w:p>
                          <w:p>
                            <w:pPr>
                              <w:pStyle w:val="TableContents"/>
                              <w:bidi w:val="0"/>
                              <w:spacing w:lineRule="atLeast" w:line="185" w:before="0" w:after="0"/>
                              <w:jc w:val="left"/>
                              <w:rPr/>
                            </w:pPr>
                            <w:r>
                              <w:rPr>
                                <w:spacing w:val="-2"/>
                              </w:rPr>
                              <w:t xml:space="preserve">Determined 60% formulaically, with the remaining 40% of his total bonus opportunity determined on a discretionary basis after calculation of the formulaic component. For 2023, Mr. DiLiberto earned </w:t>
                            </w:r>
                            <w:r>
                              <w:rPr>
                                <w:b/>
                              </w:rPr>
                              <w:t>$1,167,000</w:t>
                            </w:r>
                            <w:r>
                              <w:rPr>
                                <w:spacing w:val="-2"/>
                              </w:rPr>
                              <w:t xml:space="preserve"> on a formulaic basis, resulting in a discretionary bonus potential of $778,000, of which he was then awarded </w:t>
                            </w:r>
                            <w:r>
                              <w:rPr>
                                <w:b/>
                              </w:rPr>
                              <w:t>$533,000</w:t>
                            </w:r>
                            <w:r>
                              <w:rPr>
                                <w:spacing w:val="-2"/>
                              </w:rPr>
                              <w:t>, resulting in an aggregate annual bonus of $</w:t>
                            </w:r>
                            <w:r>
                              <w:rPr>
                                <w:b/>
                              </w:rPr>
                              <w:t>1,700,000</w:t>
                            </w:r>
                            <w:r>
                              <w:rPr>
                                <w:spacing w:val="-2"/>
                              </w:rPr>
                              <w:t>.</w:t>
                            </w:r>
                            <w:r>
                              <w:rPr/>
                              <w:t xml:space="preserve"> </w:t>
                            </w:r>
                          </w:p>
                          <w:p>
                            <w:pPr>
                              <w:pStyle w:val="TableContents"/>
                              <w:bidi w:val="0"/>
                              <w:spacing w:lineRule="atLeast" w:line="185" w:before="45" w:after="283"/>
                              <w:jc w:val="left"/>
                              <w:rPr/>
                            </w:pPr>
                            <w:r>
                              <w:rPr>
                                <w:spacing w:val="-2"/>
                              </w:rPr>
                              <w:t xml:space="preserve">Mr. DiLiberto received </w:t>
                            </w:r>
                            <w:r>
                              <w:rPr>
                                <w:b/>
                              </w:rPr>
                              <w:t>100%</w:t>
                            </w:r>
                            <w:r>
                              <w:rPr>
                                <w:spacing w:val="-2"/>
                              </w:rPr>
                              <w:t xml:space="preserve"> of the bonus in the form of equity. The corresponding </w:t>
                            </w:r>
                            <w:r>
                              <w:rPr>
                                <w:b/>
                              </w:rPr>
                              <w:t>40,534</w:t>
                            </w:r>
                            <w:r>
                              <w:rPr>
                                <w:spacing w:val="-2"/>
                              </w:rPr>
                              <w:t xml:space="preserve"> LTIP units granted in </w:t>
                            </w:r>
                            <w:r>
                              <w:rPr>
                                <w:b/>
                              </w:rPr>
                              <w:t>January 2024</w:t>
                            </w:r>
                            <w:r>
                              <w:rPr>
                                <w:spacing w:val="-2"/>
                              </w:rPr>
                              <w:t xml:space="preserve"> were fully vested upon grant, but remain subject to a three-year no-sell restriction. Because these LTIP units were granted in 2024, the value of the awards will be reported in next year’s Summary Compensation table.</w:t>
                            </w:r>
                            <w:r>
                              <w:rPr/>
                              <w:t xml:space="preserve"> </w:t>
                            </w:r>
                          </w:p>
                          <w:p>
                            <w:pPr>
                              <w:pStyle w:val="TableContents"/>
                              <w:bidi w:val="0"/>
                              <w:spacing w:lineRule="atLeast" w:line="185" w:before="45" w:after="283"/>
                              <w:jc w:val="left"/>
                              <w:rPr/>
                            </w:pPr>
                            <w:r>
                              <w:rPr>
                                <w:spacing w:val="-2"/>
                              </w:rPr>
                              <w:t xml:space="preserve">The SCT amount reflects the grant date value of equity granted </w:t>
                            </w:r>
                            <w:r>
                              <w:rPr>
                                <w:b/>
                              </w:rPr>
                              <w:t>in January 2023</w:t>
                            </w:r>
                            <w:r>
                              <w:rPr>
                                <w:spacing w:val="-2"/>
                              </w:rPr>
                              <w:t xml:space="preserve"> representing </w:t>
                            </w:r>
                            <w:r>
                              <w:rPr>
                                <w:b/>
                              </w:rPr>
                              <w:t>only a portion of his 2022 annual bonus</w:t>
                            </w:r>
                            <w:r>
                              <w:rPr>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91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13%</w:t>
                            </w:r>
                          </w:p>
                          <w:p>
                            <w:pPr>
                              <w:pStyle w:val="TableContents"/>
                              <w:bidi w:val="0"/>
                              <w:spacing w:lineRule="atLeast" w:line="220" w:before="0" w:after="0"/>
                              <w:jc w:val="left"/>
                              <w:rPr>
                                <w:b/>
                                <w:sz w:val="18"/>
                              </w:rPr>
                            </w:pPr>
                            <w:r>
                              <w:rPr>
                                <w:b/>
                                <w:sz w:val="18"/>
                              </w:rPr>
                              <w:t>$555,556</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left"/>
                              <w:rPr>
                                <w:color w:val="1F2668"/>
                                <w:sz w:val="36"/>
                              </w:rPr>
                            </w:pPr>
                            <w:r>
                              <w:rPr>
                                <w:color w:val="1F2668"/>
                                <w:sz w:val="36"/>
                              </w:rPr>
                              <w:t>24%</w:t>
                            </w:r>
                          </w:p>
                          <w:p>
                            <w:pPr>
                              <w:pStyle w:val="TableContents"/>
                              <w:bidi w:val="0"/>
                              <w:spacing w:lineRule="atLeast" w:line="220" w:before="0" w:after="0"/>
                              <w:jc w:val="left"/>
                              <w:rPr>
                                <w:b/>
                                <w:sz w:val="18"/>
                              </w:rPr>
                            </w:pPr>
                            <w:r>
                              <w:rPr>
                                <w:b/>
                                <w:sz w:val="18"/>
                              </w:rPr>
                              <w:t>$778,011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94" w:type="dxa"/>
                            <w:tcBorders/>
                            <w:tcMar>
                              <w:bottom w:w="0" w:type="dxa"/>
                            </w:tcMar>
                            <w:vAlign w:val="center"/>
                          </w:tcPr>
                          <w:p>
                            <w:pPr>
                              <w:pStyle w:val="TableContents"/>
                              <w:bidi w:val="0"/>
                              <w:spacing w:lineRule="atLeast" w:line="195" w:before="0" w:after="0"/>
                              <w:jc w:val="left"/>
                              <w:rPr>
                                <w:b/>
                                <w:sz w:val="18"/>
                              </w:rPr>
                            </w:pPr>
                            <w:r>
                              <w:rPr>
                                <w:b/>
                                <w:sz w:val="18"/>
                              </w:rPr>
                              <w:t>Performance-Based Equity Awards</w:t>
                            </w:r>
                          </w:p>
                          <w:p>
                            <w:pPr>
                              <w:pStyle w:val="TableContents"/>
                              <w:bidi w:val="0"/>
                              <w:spacing w:lineRule="atLeast" w:line="185" w:before="0" w:after="0"/>
                              <w:jc w:val="left"/>
                              <w:rPr/>
                            </w:pPr>
                            <w:r>
                              <w:rPr>
                                <w:spacing w:val="-2"/>
                              </w:rPr>
                              <w:t xml:space="preserve">The TDC amount reflects the target notional value of </w:t>
                            </w:r>
                            <w:r>
                              <w:rPr>
                                <w:b/>
                              </w:rPr>
                              <w:t>$555,556</w:t>
                            </w:r>
                            <w:r>
                              <w:rPr>
                                <w:spacing w:val="-2"/>
                              </w:rPr>
                              <w:t xml:space="preserve"> approved by the Committee in January 2023. </w:t>
                            </w:r>
                            <w:r>
                              <w:rPr>
                                <w:b/>
                              </w:rPr>
                              <w:t>The SCT amount represents the grant date value of the awards</w:t>
                            </w:r>
                            <w:r>
                              <w:rPr>
                                <w:spacing w:val="-2"/>
                              </w:rPr>
                              <w:t>.</w:t>
                            </w:r>
                            <w:r>
                              <w:rPr/>
                              <w:t xml:space="preserve"> </w:t>
                            </w:r>
                          </w:p>
                          <w:p>
                            <w:pPr>
                              <w:pStyle w:val="TableContents"/>
                              <w:bidi w:val="0"/>
                              <w:spacing w:lineRule="atLeast" w:line="185" w:before="45" w:after="283"/>
                              <w:jc w:val="left"/>
                              <w:rPr/>
                            </w:pPr>
                            <w:r>
                              <w:rPr>
                                <w:spacing w:val="-2"/>
                              </w:rPr>
                              <w:t>The award relates to the following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35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816"/>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535"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7,764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16,563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37,265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26,831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86"/>
                        <w:gridCol w:w="109"/>
                        <w:gridCol w:w="109"/>
                        <w:gridCol w:w="1186"/>
                        <w:gridCol w:w="109"/>
                        <w:gridCol w:w="109"/>
                        <w:gridCol w:w="711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50% as of December 31, 2025 and 50% as of December 31, 2026.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33%</w:t>
                            </w:r>
                          </w:p>
                          <w:p>
                            <w:pPr>
                              <w:pStyle w:val="TableContents"/>
                              <w:bidi w:val="0"/>
                              <w:spacing w:lineRule="atLeast" w:line="220" w:before="0" w:after="0"/>
                              <w:jc w:val="left"/>
                              <w:rPr>
                                <w:b/>
                                <w:sz w:val="18"/>
                              </w:rPr>
                            </w:pPr>
                            <w:r>
                              <w:rPr>
                                <w:b/>
                                <w:sz w:val="18"/>
                              </w:rPr>
                              <w:t>$1,400,000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38%</w:t>
                            </w:r>
                          </w:p>
                          <w:p>
                            <w:pPr>
                              <w:pStyle w:val="TableContents"/>
                              <w:bidi w:val="0"/>
                              <w:spacing w:lineRule="atLeast" w:line="220" w:before="0" w:after="0"/>
                              <w:jc w:val="left"/>
                              <w:rPr>
                                <w:b/>
                                <w:sz w:val="18"/>
                              </w:rPr>
                            </w:pPr>
                            <w:r>
                              <w:rPr>
                                <w:b/>
                                <w:sz w:val="18"/>
                              </w:rPr>
                              <w:t>$1,252,297</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$1,400,000</w:t>
                            </w:r>
                            <w:r>
                              <w:rPr>
                                <w:spacing w:val="-2"/>
                              </w:rPr>
                              <w:t xml:space="preserve">, equal to the minimum target amount set forth in Mr. DiLiberto’s employment agreement. The corresponding </w:t>
                            </w:r>
                            <w:r>
                              <w:rPr>
                                <w:b/>
                              </w:rPr>
                              <w:t>30,208</w:t>
                            </w:r>
                            <w:r>
                              <w:rPr>
                                <w:spacing w:val="-2"/>
                              </w:rPr>
                              <w:t xml:space="preserve"> LTIP units vest in two equal installments on January 1, 2025 and 2026 subject to continued employment.</w:t>
                            </w:r>
                            <w:r>
                              <w:rPr/>
                              <w:t xml:space="preserve"> </w:t>
                            </w:r>
                          </w:p>
                          <w:p>
                            <w:pPr>
                              <w:pStyle w:val="TableContents"/>
                              <w:bidi w:val="0"/>
                              <w:spacing w:lineRule="atLeast" w:line="185" w:before="45" w:after="283"/>
                              <w:jc w:val="left"/>
                              <w:rPr>
                                <w:spacing w:val="-2"/>
                              </w:rPr>
                            </w:pPr>
                            <w:r>
                              <w:rPr>
                                <w:spacing w:val="-2"/>
                              </w:rPr>
                              <w:t xml:space="preserve">The SCT amount represents the grant date value of equity awards granted in March 2023 in connection with entering into Mr. DiLiberto’s employment agreement.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18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$4,268,756</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8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$3,265,901</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11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$13,200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before="0" w:after="1371"/>
        <w:ind w:left="900" w:right="0" w:hanging="0"/>
        <w:jc w:val="left"/>
        <w:rPr>
          <w:caps w:val="false"/>
          <w:smallCaps w:val="false"/>
          <w:color w:val="000000"/>
        </w:rPr>
      </w:pPr>
      <w:r>
        <w:rPr>
          <w:caps w:val="false"/>
          <w:smallCaps w:val="false"/>
          <w:color w:val="000000"/>
        </w:rPr>
        <w:t>​</w:t>
      </w:r>
      <w:r>
        <mc:AlternateContent>
          <mc:Choice Requires="wps">
            <w:drawing>
              <wp:anchor behindDoc="0" distT="0" distB="0" distL="571500" distR="0" simplePos="0" locked="0" layoutInCell="1" allowOverlap="1" relativeHeight="241">
                <wp:simplePos x="0" y="0"/>
                <wp:positionH relativeFrom="column">
                  <wp:align>left</wp:align>
                </wp:positionH>
                <wp:positionV relativeFrom="line">
                  <wp:posOffset>635</wp:posOffset>
                </wp:positionV>
                <wp:extent cx="1790700" cy="6185535"/>
                <wp:effectExtent l="0" t="0" r="0" b="0"/>
                <wp:wrapSquare wrapText="right"/>
                <wp:docPr id="787" name="Frame435"/>
                <a:graphic xmlns:a="http://schemas.openxmlformats.org/drawingml/2006/main">
                  <a:graphicData uri="http://schemas.microsoft.com/office/word/2010/wordprocessingShape">
                    <wps:wsp>
                      <wps:cNvSpPr txBox="1"/>
                      <wps:spPr>
                        <a:xfrm>
                          <a:off x="0" y="0"/>
                          <a:ext cx="1790700" cy="6185535"/>
                        </a:xfrm>
                        <a:prstGeom prst="rect"/>
                        <a:solidFill>
                          <a:srgbClr val="FFFFFF"/>
                        </a:solidFill>
                      </wps:spPr>
                      <wps:txb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 xml:space="preserve">ANDREW S. </w:t>
                                    <w:br/>
                                    <w:t>LEVINE​</w:t>
                                  </w:r>
                                </w:p>
                                <w:p>
                                  <w:pPr>
                                    <w:pStyle w:val="TableContents"/>
                                    <w:bidi w:val="0"/>
                                    <w:spacing w:before="134" w:after="283"/>
                                    <w:ind w:left="0" w:right="160" w:hanging="0"/>
                                    <w:jc w:val="center"/>
                                    <w:rPr/>
                                  </w:pPr>
                                  <w:r>
                                    <w:rPr/>
                                    <w:drawing>
                                      <wp:inline distT="0" distB="0" distL="0" distR="0">
                                        <wp:extent cx="1133475" cy="1257300"/>
                                        <wp:effectExtent l="0" t="0" r="0" b="0"/>
                                        <wp:docPr id="788"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273" descr=""/>
                                                <pic:cNvPicPr>
                                                  <a:picLocks noChangeAspect="1" noChangeArrowheads="1"/>
                                                </pic:cNvPicPr>
                                              </pic:nvPicPr>
                                              <pic:blipFill>
                                                <a:blip r:embed="rId360"/>
                                                <a:stretch>
                                                  <a:fillRect/>
                                                </a:stretch>
                                              </pic:blipFill>
                                              <pic:spPr bwMode="auto">
                                                <a:xfrm>
                                                  <a:off x="0" y="0"/>
                                                  <a:ext cx="1133475" cy="1257300"/>
                                                </a:xfrm>
                                                <a:prstGeom prst="rect">
                                                  <a:avLst/>
                                                </a:prstGeom>
                                              </pic:spPr>
                                            </pic:pic>
                                          </a:graphicData>
                                        </a:graphic>
                                      </wp:inline>
                                    </w:drawing>
                                  </w:r>
                                  <w:r>
                                    <w:rPr/>
                                    <w:t xml:space="preserve"> </w:t>
                                  </w:r>
                                </w:p>
                                <w:p>
                                  <w:pPr>
                                    <w:pStyle w:val="TableContents"/>
                                    <w:bidi w:val="0"/>
                                    <w:spacing w:lineRule="atLeast" w:line="194" w:before="293" w:after="283"/>
                                    <w:ind w:left="0" w:right="160" w:hanging="0"/>
                                    <w:jc w:val="left"/>
                                    <w:rPr>
                                      <w:b/>
                                    </w:rPr>
                                  </w:pPr>
                                  <w:r>
                                    <w:rPr>
                                      <w:b/>
                                    </w:rPr>
                                    <w:t>Chief Legal Officer and General Counsel</w:t>
                                  </w:r>
                                </w:p>
                                <w:p>
                                  <w:pPr>
                                    <w:pStyle w:val="TableContents"/>
                                    <w:bidi w:val="0"/>
                                    <w:spacing w:lineRule="atLeast" w:line="194" w:before="240" w:after="283"/>
                                    <w:ind w:left="0" w:right="160" w:hanging="0"/>
                                    <w:jc w:val="left"/>
                                    <w:rPr/>
                                  </w:pPr>
                                  <w:r>
                                    <w:rPr>
                                      <w:spacing w:val="-2"/>
                                    </w:rPr>
                                    <w:t>Mr. Levine’s 2023 compensation reflects the value delivered by the Company’s sophisticated in-house legal team, led by our General Counsel, which supports the complex and diverse business and corporate initiatives that we undertook during 2023, and which are expected to position the Company for future success in the coming years. In particular, Mr. Levine continued to provide key insight into all aspects of the Company’s strategic decision-making throughout the year. The General Counsel position is a critical member of a senior management team that executed on the Company’s ambitious strategy for 2023 and guided the Company through a challenging operating environment to deliver extraordinary returns to stockholders.</w:t>
                                  </w:r>
                                  <w:r>
                                    <w:rPr/>
                                    <w:t xml:space="preserve"> </w:t>
                                  </w:r>
                                </w:p>
                                <w:p>
                                  <w:pPr>
                                    <w:pStyle w:val="TableContents"/>
                                    <w:bidi w:val="0"/>
                                    <w:spacing w:lineRule="atLeast" w:line="194" w:before="240" w:after="283"/>
                                    <w:ind w:left="0" w:right="160" w:hanging="0"/>
                                    <w:jc w:val="left"/>
                                    <w:rPr>
                                      <w:b/>
                                    </w:rPr>
                                  </w:pPr>
                                  <w:r>
                                    <w:rPr>
                                      <w:b/>
                                    </w:rPr>
                                    <w:t>The Total Direct Compensation approved by the Committee for Mr. Levine for 2023 is substantially consistent with the Summary Compensation Table amounts, with minor differences relating to grant date valuation of equity awards compared to the amounts approved by the Committee.</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1pt;height:487.05pt;mso-wrap-distance-left:45pt;mso-wrap-distance-right:0pt;mso-wrap-distance-top:0pt;mso-wrap-distance-bottom:0pt;margin-top:0pt;mso-position-vertical:top;mso-position-vertical-relative:text;margin-left:45pt;mso-position-horizontal:left;mso-position-horizontal-relative:text">
                <v:textbox>
                  <w:txbxContent>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09" w:type="dxa"/>
                            <w:tcBorders/>
                            <w:shd w:fill="1F2668" w:val="clear"/>
                            <w:vAlign w:val="center"/>
                          </w:tcPr>
                          <w:p>
                            <w:pPr>
                              <w:pStyle w:val="TableContents"/>
                              <w:bidi w:val="0"/>
                              <w:spacing w:lineRule="atLeast" w:line="300" w:before="0" w:after="0"/>
                              <w:ind w:left="0" w:right="160" w:hanging="0"/>
                              <w:jc w:val="left"/>
                              <w:rPr>
                                <w:b/>
                                <w:sz w:val="26"/>
                              </w:rPr>
                            </w:pPr>
                            <w:r>
                              <w:rPr>
                                <w:b/>
                                <w:sz w:val="26"/>
                              </w:rPr>
                              <w:t xml:space="preserve">ANDREW S. </w:t>
                              <w:br/>
                              <w:t>LEVINE​</w:t>
                            </w:r>
                          </w:p>
                          <w:p>
                            <w:pPr>
                              <w:pStyle w:val="TableContents"/>
                              <w:bidi w:val="0"/>
                              <w:spacing w:before="134" w:after="283"/>
                              <w:ind w:left="0" w:right="160" w:hanging="0"/>
                              <w:jc w:val="center"/>
                              <w:rPr/>
                            </w:pPr>
                            <w:r>
                              <w:rPr/>
                              <w:drawing>
                                <wp:inline distT="0" distB="0" distL="0" distR="0">
                                  <wp:extent cx="1133475" cy="1257300"/>
                                  <wp:effectExtent l="0" t="0" r="0" b="0"/>
                                  <wp:docPr id="78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273" descr=""/>
                                          <pic:cNvPicPr>
                                            <a:picLocks noChangeAspect="1" noChangeArrowheads="1"/>
                                          </pic:cNvPicPr>
                                        </pic:nvPicPr>
                                        <pic:blipFill>
                                          <a:blip r:embed="rId361"/>
                                          <a:stretch>
                                            <a:fillRect/>
                                          </a:stretch>
                                        </pic:blipFill>
                                        <pic:spPr bwMode="auto">
                                          <a:xfrm>
                                            <a:off x="0" y="0"/>
                                            <a:ext cx="1133475" cy="1257300"/>
                                          </a:xfrm>
                                          <a:prstGeom prst="rect">
                                            <a:avLst/>
                                          </a:prstGeom>
                                        </pic:spPr>
                                      </pic:pic>
                                    </a:graphicData>
                                  </a:graphic>
                                </wp:inline>
                              </w:drawing>
                            </w:r>
                            <w:r>
                              <w:rPr/>
                              <w:t xml:space="preserve"> </w:t>
                            </w:r>
                          </w:p>
                          <w:p>
                            <w:pPr>
                              <w:pStyle w:val="TableContents"/>
                              <w:bidi w:val="0"/>
                              <w:spacing w:lineRule="atLeast" w:line="194" w:before="293" w:after="283"/>
                              <w:ind w:left="0" w:right="160" w:hanging="0"/>
                              <w:jc w:val="left"/>
                              <w:rPr>
                                <w:b/>
                              </w:rPr>
                            </w:pPr>
                            <w:r>
                              <w:rPr>
                                <w:b/>
                              </w:rPr>
                              <w:t>Chief Legal Officer and General Counsel</w:t>
                            </w:r>
                          </w:p>
                          <w:p>
                            <w:pPr>
                              <w:pStyle w:val="TableContents"/>
                              <w:bidi w:val="0"/>
                              <w:spacing w:lineRule="atLeast" w:line="194" w:before="240" w:after="283"/>
                              <w:ind w:left="0" w:right="160" w:hanging="0"/>
                              <w:jc w:val="left"/>
                              <w:rPr/>
                            </w:pPr>
                            <w:r>
                              <w:rPr>
                                <w:spacing w:val="-2"/>
                              </w:rPr>
                              <w:t>Mr. Levine’s 2023 compensation reflects the value delivered by the Company’s sophisticated in-house legal team, led by our General Counsel, which supports the complex and diverse business and corporate initiatives that we undertook during 2023, and which are expected to position the Company for future success in the coming years. In particular, Mr. Levine continued to provide key insight into all aspects of the Company’s strategic decision-making throughout the year. The General Counsel position is a critical member of a senior management team that executed on the Company’s ambitious strategy for 2023 and guided the Company through a challenging operating environment to deliver extraordinary returns to stockholders.</w:t>
                            </w:r>
                            <w:r>
                              <w:rPr/>
                              <w:t xml:space="preserve"> </w:t>
                            </w:r>
                          </w:p>
                          <w:p>
                            <w:pPr>
                              <w:pStyle w:val="TableContents"/>
                              <w:bidi w:val="0"/>
                              <w:spacing w:lineRule="atLeast" w:line="194" w:before="240" w:after="283"/>
                              <w:ind w:left="0" w:right="160" w:hanging="0"/>
                              <w:jc w:val="left"/>
                              <w:rPr>
                                <w:b/>
                              </w:rPr>
                            </w:pPr>
                            <w:r>
                              <w:rPr>
                                <w:b/>
                              </w:rPr>
                              <w:t>The Total Direct Compensation approved by the Committee for Mr. Levine for 2023 is substantially consistent with the Summary Compensation Table amounts, with minor differences relating to grant date valuation of equity awards compared to the amounts approved by the Committee.</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09" w:type="dxa"/>
                            <w:tcBorders>
                              <w:bottom w:val="single" w:sz="24" w:space="0" w:color="83AD4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03200" distR="0" simplePos="0" locked="0" layoutInCell="1" allowOverlap="1" relativeHeight="745">
                <wp:simplePos x="0" y="0"/>
                <wp:positionH relativeFrom="column">
                  <wp:align>left</wp:align>
                </wp:positionH>
                <wp:positionV relativeFrom="line">
                  <wp:posOffset>635</wp:posOffset>
                </wp:positionV>
                <wp:extent cx="4406900" cy="9391015"/>
                <wp:effectExtent l="0" t="0" r="0" b="0"/>
                <wp:wrapSquare wrapText="right"/>
                <wp:docPr id="790" name="Frame436"/>
                <a:graphic xmlns:a="http://schemas.openxmlformats.org/drawingml/2006/main">
                  <a:graphicData uri="http://schemas.microsoft.com/office/word/2010/wordprocessingShape">
                    <wps:wsp>
                      <wps:cNvSpPr txBox="1"/>
                      <wps:spPr>
                        <a:xfrm>
                          <a:off x="0" y="0"/>
                          <a:ext cx="4406900" cy="9391015"/>
                        </a:xfrm>
                        <a:prstGeom prst="rect"/>
                        <a:solidFill>
                          <a:srgbClr val="FFFFFF"/>
                        </a:solidFill>
                      </wps:spPr>
                      <wps:txbx>
                        <w:txbxContent>
                          <w:p>
                            <w:pPr>
                              <w:pStyle w:val="TextBody"/>
                              <w:bidi w:val="0"/>
                              <w:spacing w:lineRule="atLeast" w:line="27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006"/>
                              <w:gridCol w:w="109"/>
                              <w:gridCol w:w="109"/>
                              <w:gridCol w:w="1006"/>
                              <w:gridCol w:w="109"/>
                              <w:gridCol w:w="109"/>
                              <w:gridCol w:w="7479"/>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00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0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479"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6"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rPr>
                                  </w:pPr>
                                  <w:r>
                                    <w:rPr>
                                      <w:b/>
                                    </w:rPr>
                                    <w:t>$580,000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6"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rPr>
                                  </w:pPr>
                                  <w:r>
                                    <w:rPr>
                                      <w:b/>
                                    </w:rPr>
                                    <w:t>$580,000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79" w:type="dxa"/>
                                  <w:tcBorders>
                                    <w:bottom w:val="single" w:sz="2" w:space="0" w:color="4B5088"/>
                                  </w:tcBorders>
                                  <w:tcMar>
                                    <w:bottom w:w="68" w:type="dxa"/>
                                  </w:tcMar>
                                  <w:vAlign w:val="center"/>
                                </w:tcPr>
                                <w:p>
                                  <w:pPr>
                                    <w:pStyle w:val="TableContents"/>
                                    <w:bidi w:val="0"/>
                                    <w:spacing w:lineRule="atLeast" w:line="200" w:before="0" w:after="0"/>
                                    <w:jc w:val="left"/>
                                    <w:rPr>
                                      <w:b/>
                                    </w:rPr>
                                  </w:pPr>
                                  <w:r>
                                    <w:rPr>
                                      <w:b/>
                                    </w:rPr>
                                    <w:t>Annual Base Salary</w:t>
                                  </w:r>
                                </w:p>
                                <w:p>
                                  <w:pPr>
                                    <w:pStyle w:val="TableContents"/>
                                    <w:bidi w:val="0"/>
                                    <w:spacing w:lineRule="atLeast" w:line="190" w:before="0" w:after="0"/>
                                    <w:jc w:val="left"/>
                                    <w:rPr>
                                      <w:spacing w:val="-2"/>
                                      <w:sz w:val="17"/>
                                    </w:rPr>
                                  </w:pPr>
                                  <w:r>
                                    <w:rPr>
                                      <w:spacing w:val="-2"/>
                                      <w:sz w:val="17"/>
                                    </w:rPr>
                                    <w:t xml:space="preserve">Mr. Levine’s base salary was equal to the minimum set forth in his employment agreement. There has been no change to base salary since 2019.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6"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27%</w:t>
                                  </w:r>
                                </w:p>
                                <w:p>
                                  <w:pPr>
                                    <w:pStyle w:val="TableContents"/>
                                    <w:bidi w:val="0"/>
                                    <w:spacing w:lineRule="atLeast" w:line="200" w:before="0" w:after="0"/>
                                    <w:jc w:val="left"/>
                                    <w:rPr>
                                      <w:b/>
                                      <w:sz w:val="18"/>
                                    </w:rPr>
                                  </w:pPr>
                                  <w:r>
                                    <w:rPr>
                                      <w:b/>
                                      <w:sz w:val="18"/>
                                    </w:rPr>
                                    <w:t>$900,000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6"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24%</w:t>
                                  </w:r>
                                </w:p>
                                <w:p>
                                  <w:pPr>
                                    <w:pStyle w:val="TableContents"/>
                                    <w:bidi w:val="0"/>
                                    <w:spacing w:lineRule="atLeast" w:line="200" w:before="0" w:after="0"/>
                                    <w:jc w:val="left"/>
                                    <w:rPr>
                                      <w:b/>
                                      <w:sz w:val="18"/>
                                    </w:rPr>
                                  </w:pPr>
                                  <w:r>
                                    <w:rPr>
                                      <w:b/>
                                      <w:sz w:val="18"/>
                                    </w:rPr>
                                    <w:t>$815,556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79"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z w:val="18"/>
                                    </w:rPr>
                                    <w:t>Annual Bonus</w:t>
                                  </w:r>
                                </w:p>
                                <w:p>
                                  <w:pPr>
                                    <w:pStyle w:val="TableContents"/>
                                    <w:bidi w:val="0"/>
                                    <w:spacing w:lineRule="atLeast" w:line="190" w:before="0" w:after="0"/>
                                    <w:jc w:val="left"/>
                                    <w:rPr/>
                                  </w:pPr>
                                  <w:r>
                                    <w:rPr>
                                      <w:spacing w:val="-2"/>
                                    </w:rPr>
                                    <w:t>Bonus, while not formulaic, was determined on the basis of the objective criteria used for our formulaic annual bonus program, the achievements of the Company during 2023 and an assessment of Mr. Levine’s performance in areas under his responsibilities.</w:t>
                                  </w:r>
                                  <w:r>
                                    <w:rPr/>
                                    <w:t xml:space="preserve"> </w:t>
                                  </w:r>
                                </w:p>
                                <w:p>
                                  <w:pPr>
                                    <w:pStyle w:val="TableContents"/>
                                    <w:bidi w:val="0"/>
                                    <w:spacing w:lineRule="atLeast" w:line="190" w:before="40" w:after="283"/>
                                    <w:jc w:val="left"/>
                                    <w:rPr/>
                                  </w:pPr>
                                  <w:r>
                                    <w:rPr>
                                      <w:spacing w:val="-2"/>
                                    </w:rPr>
                                    <w:t xml:space="preserve">Mr. Levine received </w:t>
                                  </w:r>
                                  <w:r>
                                    <w:rPr>
                                      <w:b/>
                                    </w:rPr>
                                    <w:t>100%</w:t>
                                  </w:r>
                                  <w:r>
                                    <w:rPr>
                                      <w:spacing w:val="-2"/>
                                    </w:rPr>
                                    <w:t xml:space="preserve"> of the bonus in the form of equity. The corresponding </w:t>
                                  </w:r>
                                  <w:r>
                                    <w:rPr>
                                      <w:b/>
                                    </w:rPr>
                                    <w:t>21,459 LTIP</w:t>
                                  </w:r>
                                  <w:r>
                                    <w:rPr>
                                      <w:spacing w:val="-2"/>
                                    </w:rPr>
                                    <w:t xml:space="preserve"> units granted in </w:t>
                                  </w:r>
                                  <w:r>
                                    <w:rPr>
                                      <w:b/>
                                    </w:rPr>
                                    <w:t>January 2024</w:t>
                                  </w:r>
                                  <w:r>
                                    <w:rPr>
                                      <w:spacing w:val="-2"/>
                                    </w:rPr>
                                    <w:t xml:space="preserve"> were fully vested upon grant, but remain subject to a three-year no-sell restriction. Because these LTIP units were granted in 2024, the value of the awards will be reported in next year’s Summary Compensation table.</w:t>
                                  </w:r>
                                  <w:r>
                                    <w:rPr/>
                                    <w:t xml:space="preserve"> </w:t>
                                  </w:r>
                                </w:p>
                                <w:p>
                                  <w:pPr>
                                    <w:pStyle w:val="TableContents"/>
                                    <w:bidi w:val="0"/>
                                    <w:spacing w:lineRule="atLeast" w:line="190" w:before="40" w:after="283"/>
                                    <w:jc w:val="left"/>
                                    <w:rPr/>
                                  </w:pPr>
                                  <w:r>
                                    <w:rPr>
                                      <w:spacing w:val="-2"/>
                                    </w:rPr>
                                    <w:t xml:space="preserve">The SCT amount reflects the grant date value of equity granted </w:t>
                                  </w:r>
                                  <w:r>
                                    <w:rPr>
                                      <w:b/>
                                    </w:rPr>
                                    <w:t>in January 2023 for 2022 annual bonus</w:t>
                                  </w:r>
                                  <w:r>
                                    <w:rPr>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00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sz w:val="18"/>
                                    </w:rPr>
                                  </w:pPr>
                                  <w:r>
                                    <w:rPr>
                                      <w:b/>
                                      <w:sz w:val="18"/>
                                    </w:rPr>
                                    <w:t>$555,556</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6" w:type="dxa"/>
                                  <w:tcBorders/>
                                  <w:tcMar>
                                    <w:bottom w:w="0" w:type="dxa"/>
                                  </w:tcMar>
                                  <w:vAlign w:val="center"/>
                                </w:tcPr>
                                <w:p>
                                  <w:pPr>
                                    <w:pStyle w:val="TableContents"/>
                                    <w:bidi w:val="0"/>
                                    <w:spacing w:before="0" w:after="0"/>
                                    <w:jc w:val="left"/>
                                    <w:rPr>
                                      <w:color w:val="1F2668"/>
                                      <w:sz w:val="36"/>
                                    </w:rPr>
                                  </w:pPr>
                                  <w:r>
                                    <w:rPr>
                                      <w:color w:val="1F2668"/>
                                      <w:sz w:val="36"/>
                                    </w:rPr>
                                    <w:t>23%</w:t>
                                  </w:r>
                                </w:p>
                                <w:p>
                                  <w:pPr>
                                    <w:pStyle w:val="TableContents"/>
                                    <w:bidi w:val="0"/>
                                    <w:spacing w:lineRule="atLeast" w:line="200" w:before="0" w:after="0"/>
                                    <w:jc w:val="left"/>
                                    <w:rPr>
                                      <w:b/>
                                      <w:sz w:val="18"/>
                                    </w:rPr>
                                  </w:pPr>
                                  <w:r>
                                    <w:rPr>
                                      <w:b/>
                                      <w:sz w:val="18"/>
                                    </w:rPr>
                                    <w:t>$778,011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79" w:type="dxa"/>
                                  <w:tcBorders/>
                                  <w:tcMar>
                                    <w:bottom w:w="0" w:type="dxa"/>
                                  </w:tcMar>
                                  <w:vAlign w:val="center"/>
                                </w:tcPr>
                                <w:p>
                                  <w:pPr>
                                    <w:pStyle w:val="TableContents"/>
                                    <w:bidi w:val="0"/>
                                    <w:spacing w:lineRule="atLeast" w:line="200" w:before="0" w:after="0"/>
                                    <w:jc w:val="left"/>
                                    <w:rPr>
                                      <w:b/>
                                      <w:sz w:val="18"/>
                                    </w:rPr>
                                  </w:pPr>
                                  <w:r>
                                    <w:rPr>
                                      <w:b/>
                                      <w:sz w:val="18"/>
                                    </w:rPr>
                                    <w:t>Performance-Based Equity Awards</w:t>
                                  </w:r>
                                </w:p>
                                <w:p>
                                  <w:pPr>
                                    <w:pStyle w:val="TableContents"/>
                                    <w:bidi w:val="0"/>
                                    <w:spacing w:lineRule="atLeast" w:line="190" w:before="0" w:after="0"/>
                                    <w:jc w:val="left"/>
                                    <w:rPr/>
                                  </w:pPr>
                                  <w:r>
                                    <w:rPr>
                                      <w:spacing w:val="-2"/>
                                    </w:rPr>
                                    <w:t xml:space="preserve">The TDC amount reflects the target notional value of </w:t>
                                  </w:r>
                                  <w:r>
                                    <w:rPr>
                                      <w:b/>
                                    </w:rPr>
                                    <w:t>$555,556</w:t>
                                  </w:r>
                                  <w:r>
                                    <w:rPr>
                                      <w:spacing w:val="-2"/>
                                    </w:rPr>
                                    <w:t xml:space="preserve"> approved by the Committee in January 2023. </w:t>
                                  </w:r>
                                  <w:r>
                                    <w:rPr>
                                      <w:b/>
                                    </w:rPr>
                                    <w:t>The SCT amount represents the grant date value of the awards</w:t>
                                  </w:r>
                                  <w:r>
                                    <w:rPr>
                                      <w:spacing w:val="-2"/>
                                    </w:rPr>
                                    <w:t>.</w:t>
                                  </w:r>
                                  <w:r>
                                    <w:rPr/>
                                    <w:t xml:space="preserve"> </w:t>
                                  </w:r>
                                </w:p>
                                <w:p>
                                  <w:pPr>
                                    <w:pStyle w:val="TableContents"/>
                                    <w:bidi w:val="0"/>
                                    <w:spacing w:lineRule="atLeast" w:line="190" w:before="40" w:after="283"/>
                                    <w:jc w:val="left"/>
                                    <w:rPr/>
                                  </w:pPr>
                                  <w:r>
                                    <w:rPr>
                                      <w:spacing w:val="-2"/>
                                    </w:rPr>
                                    <w:t>The award relates to the following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35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816"/>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535"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7,764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16,563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37,265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26,831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86"/>
                              <w:gridCol w:w="109"/>
                              <w:gridCol w:w="109"/>
                              <w:gridCol w:w="1186"/>
                              <w:gridCol w:w="109"/>
                              <w:gridCol w:w="109"/>
                              <w:gridCol w:w="711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50% as of December 31, 2025 and 50% as of December 31, 2026.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39%</w:t>
                                  </w:r>
                                </w:p>
                                <w:p>
                                  <w:pPr>
                                    <w:pStyle w:val="TableContents"/>
                                    <w:bidi w:val="0"/>
                                    <w:spacing w:lineRule="atLeast" w:line="220" w:before="0" w:after="0"/>
                                    <w:jc w:val="left"/>
                                    <w:rPr>
                                      <w:b/>
                                      <w:sz w:val="18"/>
                                    </w:rPr>
                                  </w:pPr>
                                  <w:r>
                                    <w:rPr>
                                      <w:b/>
                                      <w:sz w:val="18"/>
                                    </w:rPr>
                                    <w:t>$1,300,000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36%</w:t>
                                  </w:r>
                                </w:p>
                                <w:p>
                                  <w:pPr>
                                    <w:pStyle w:val="TableContents"/>
                                    <w:bidi w:val="0"/>
                                    <w:spacing w:lineRule="atLeast" w:line="220" w:before="0" w:after="0"/>
                                    <w:jc w:val="left"/>
                                    <w:rPr>
                                      <w:b/>
                                      <w:sz w:val="18"/>
                                    </w:rPr>
                                  </w:pPr>
                                  <w:r>
                                    <w:rPr>
                                      <w:b/>
                                      <w:sz w:val="18"/>
                                    </w:rPr>
                                    <w:t>$1,245,618</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$1,300,000</w:t>
                                  </w:r>
                                  <w:r>
                                    <w:rPr>
                                      <w:spacing w:val="-2"/>
                                    </w:rPr>
                                    <w:t xml:space="preserve">, equal to the minimum target amount set forth in Mr. Levine’s employment agreement. The corresponding </w:t>
                                  </w:r>
                                  <w:r>
                                    <w:rPr>
                                      <w:b/>
                                    </w:rPr>
                                    <w:t>28,050</w:t>
                                  </w:r>
                                  <w:r>
                                    <w:rPr>
                                      <w:spacing w:val="-2"/>
                                    </w:rPr>
                                    <w:t xml:space="preserve"> LTIP units will vest on January 1, 2025, subject to continued employment.</w:t>
                                  </w:r>
                                  <w:r>
                                    <w:rPr/>
                                    <w:t xml:space="preserve"> </w:t>
                                  </w:r>
                                </w:p>
                                <w:p>
                                  <w:pPr>
                                    <w:pStyle w:val="TableContents"/>
                                    <w:bidi w:val="0"/>
                                    <w:spacing w:lineRule="atLeast" w:line="185" w:before="45" w:after="283"/>
                                    <w:jc w:val="left"/>
                                    <w:rPr>
                                      <w:b/>
                                    </w:rPr>
                                  </w:pPr>
                                  <w:r>
                                    <w:rPr>
                                      <w:b/>
                                    </w:rPr>
                                    <w:t>The SCT amount represents the grant date value of equity award granted in 2023 for 2022 performance</w:t>
                                  </w:r>
                                  <w:r>
                                    <w:rPr>
                                      <w:b w:val="false"/>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18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$3,348,756</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8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$3,432,385</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11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$13,200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7pt;height:739.45pt;mso-wrap-distance-left:16pt;mso-wrap-distance-right:0pt;mso-wrap-distance-top:0pt;mso-wrap-distance-bottom:0pt;margin-top:0pt;mso-position-vertical:top;mso-position-vertical-relative:text;margin-left:16pt;mso-position-horizontal:left;mso-position-horizontal-relative:text">
                <v:textbox>
                  <w:txbxContent>
                    <w:p>
                      <w:pPr>
                        <w:pStyle w:val="TextBody"/>
                        <w:bidi w:val="0"/>
                        <w:spacing w:lineRule="atLeast" w:line="270" w:before="0" w:after="0"/>
                        <w:jc w:val="left"/>
                        <w:rPr>
                          <w:b/>
                          <w:color w:val="83AD40"/>
                          <w:sz w:val="22"/>
                        </w:rPr>
                      </w:pPr>
                      <w:r>
                        <w:rPr>
                          <w:b/>
                          <w:color w:val="83AD40"/>
                          <w:sz w:val="22"/>
                        </w:rPr>
                        <w:t>2023 Performance and Compensation—</w:t>
                        <w:br/>
                        <w:t>Total Direct Compensation vs. Summary Compensation Table</w:t>
                      </w:r>
                      <w:r>
                        <w:rPr>
                          <w:b/>
                          <w:color w:val="000000"/>
                          <w:spacing w:val="4"/>
                          <w:sz w:val="22"/>
                        </w:rPr>
                        <w:t xml:space="preserve"> </w:t>
                      </w:r>
                    </w:p>
                    <w:tbl>
                      <w:tblPr>
                        <w:tblW w:w="10205" w:type="dxa"/>
                        <w:jc w:val="left"/>
                        <w:tblInd w:w="0" w:type="dxa"/>
                        <w:tblLayout w:type="fixed"/>
                        <w:tblCellMar>
                          <w:top w:w="0" w:type="dxa"/>
                          <w:left w:w="0" w:type="dxa"/>
                          <w:bottom w:w="28" w:type="dxa"/>
                          <w:right w:w="0" w:type="dxa"/>
                        </w:tblCellMar>
                      </w:tblPr>
                      <w:tblGrid>
                        <w:gridCol w:w="124"/>
                        <w:gridCol w:w="1006"/>
                        <w:gridCol w:w="109"/>
                        <w:gridCol w:w="109"/>
                        <w:gridCol w:w="1006"/>
                        <w:gridCol w:w="109"/>
                        <w:gridCol w:w="109"/>
                        <w:gridCol w:w="7479"/>
                        <w:gridCol w:w="154"/>
                      </w:tblGrid>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006" w:type="dxa"/>
                            <w:tcBorders>
                              <w:bottom w:val="single" w:sz="8" w:space="0" w:color="1F2668"/>
                            </w:tcBorders>
                            <w:shd w:fill="E9F9D8" w:val="clear"/>
                            <w:tcMar>
                              <w:bottom w:w="50" w:type="dxa"/>
                            </w:tcMar>
                            <w:vAlign w:val="center"/>
                          </w:tcPr>
                          <w:p>
                            <w:pPr>
                              <w:pStyle w:val="TableContents"/>
                              <w:bidi w:val="0"/>
                              <w:spacing w:before="0" w:after="0"/>
                              <w:jc w:val="left"/>
                              <w:rPr>
                                <w:spacing w:val="2"/>
                              </w:rPr>
                            </w:pPr>
                            <w:r>
                              <w:rPr>
                                <w:spacing w:val="2"/>
                              </w:rPr>
                              <w:t xml:space="preserve">TDC </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006"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SCT </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479" w:type="dxa"/>
                            <w:tcBorders>
                              <w:bottom w:val="single" w:sz="8" w:space="0" w:color="1F2668"/>
                            </w:tcBorders>
                            <w:tcMar>
                              <w:bottom w:w="50" w:type="dxa"/>
                            </w:tcMar>
                            <w:vAlign w:val="center"/>
                          </w:tcPr>
                          <w:p>
                            <w:pPr>
                              <w:pStyle w:val="TableContents"/>
                              <w:bidi w:val="0"/>
                              <w:spacing w:before="0" w:after="0"/>
                              <w:jc w:val="left"/>
                              <w:rPr>
                                <w:spacing w:val="2"/>
                              </w:rPr>
                            </w:pPr>
                            <w:r>
                              <w:rPr>
                                <w:spacing w:val="2"/>
                              </w:rPr>
                              <w:t xml:space="preserve">Element of Compensation </w:t>
                            </w:r>
                          </w:p>
                        </w:tc>
                        <w:tc>
                          <w:tcPr>
                            <w:tcW w:w="154" w:type="dxa"/>
                            <w:tcBorders>
                              <w:bottom w:val="single" w:sz="8" w:space="0" w:color="1F266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6"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rPr>
                            </w:pPr>
                            <w:r>
                              <w:rPr>
                                <w:b/>
                              </w:rPr>
                              <w:t>$580,000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6"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rPr>
                            </w:pPr>
                            <w:r>
                              <w:rPr>
                                <w:b/>
                              </w:rPr>
                              <w:t>$580,000</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79" w:type="dxa"/>
                            <w:tcBorders>
                              <w:bottom w:val="single" w:sz="2" w:space="0" w:color="4B5088"/>
                            </w:tcBorders>
                            <w:tcMar>
                              <w:bottom w:w="68" w:type="dxa"/>
                            </w:tcMar>
                            <w:vAlign w:val="center"/>
                          </w:tcPr>
                          <w:p>
                            <w:pPr>
                              <w:pStyle w:val="TableContents"/>
                              <w:bidi w:val="0"/>
                              <w:spacing w:lineRule="atLeast" w:line="200" w:before="0" w:after="0"/>
                              <w:jc w:val="left"/>
                              <w:rPr>
                                <w:b/>
                              </w:rPr>
                            </w:pPr>
                            <w:r>
                              <w:rPr>
                                <w:b/>
                              </w:rPr>
                              <w:t>Annual Base Salary</w:t>
                            </w:r>
                          </w:p>
                          <w:p>
                            <w:pPr>
                              <w:pStyle w:val="TableContents"/>
                              <w:bidi w:val="0"/>
                              <w:spacing w:lineRule="atLeast" w:line="190" w:before="0" w:after="0"/>
                              <w:jc w:val="left"/>
                              <w:rPr>
                                <w:spacing w:val="-2"/>
                                <w:sz w:val="17"/>
                              </w:rPr>
                            </w:pPr>
                            <w:r>
                              <w:rPr>
                                <w:spacing w:val="-2"/>
                                <w:sz w:val="17"/>
                              </w:rPr>
                              <w:t xml:space="preserve">Mr. Levine’s base salary was equal to the minimum set forth in his employment agreement. There has been no change to base salary since 2019.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006" w:type="dxa"/>
                            <w:tcBorders>
                              <w:bottom w:val="single" w:sz="2" w:space="0" w:color="4B5088"/>
                            </w:tcBorders>
                            <w:shd w:fill="E9F9D8" w:val="clear"/>
                            <w:tcMar>
                              <w:bottom w:w="68" w:type="dxa"/>
                            </w:tcMar>
                            <w:vAlign w:val="center"/>
                          </w:tcPr>
                          <w:p>
                            <w:pPr>
                              <w:pStyle w:val="TableContents"/>
                              <w:bidi w:val="0"/>
                              <w:spacing w:before="0" w:after="0"/>
                              <w:jc w:val="left"/>
                              <w:rPr>
                                <w:color w:val="1F2668"/>
                                <w:sz w:val="36"/>
                              </w:rPr>
                            </w:pPr>
                            <w:r>
                              <w:rPr>
                                <w:color w:val="1F2668"/>
                                <w:sz w:val="36"/>
                              </w:rPr>
                              <w:t>27%</w:t>
                            </w:r>
                          </w:p>
                          <w:p>
                            <w:pPr>
                              <w:pStyle w:val="TableContents"/>
                              <w:bidi w:val="0"/>
                              <w:spacing w:lineRule="atLeast" w:line="200" w:before="0" w:after="0"/>
                              <w:jc w:val="left"/>
                              <w:rPr>
                                <w:b/>
                                <w:sz w:val="18"/>
                              </w:rPr>
                            </w:pPr>
                            <w:r>
                              <w:rPr>
                                <w:b/>
                                <w:sz w:val="18"/>
                              </w:rPr>
                              <w:t>$900,000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06" w:type="dxa"/>
                            <w:tcBorders>
                              <w:bottom w:val="single" w:sz="2" w:space="0" w:color="4B5088"/>
                            </w:tcBorders>
                            <w:tcMar>
                              <w:bottom w:w="68" w:type="dxa"/>
                            </w:tcMar>
                            <w:vAlign w:val="center"/>
                          </w:tcPr>
                          <w:p>
                            <w:pPr>
                              <w:pStyle w:val="TableContents"/>
                              <w:bidi w:val="0"/>
                              <w:spacing w:before="0" w:after="0"/>
                              <w:jc w:val="left"/>
                              <w:rPr>
                                <w:color w:val="1F2668"/>
                                <w:sz w:val="36"/>
                              </w:rPr>
                            </w:pPr>
                            <w:r>
                              <w:rPr>
                                <w:color w:val="1F2668"/>
                                <w:sz w:val="36"/>
                              </w:rPr>
                              <w:t>24%</w:t>
                            </w:r>
                          </w:p>
                          <w:p>
                            <w:pPr>
                              <w:pStyle w:val="TableContents"/>
                              <w:bidi w:val="0"/>
                              <w:spacing w:lineRule="atLeast" w:line="200" w:before="0" w:after="0"/>
                              <w:jc w:val="left"/>
                              <w:rPr>
                                <w:b/>
                                <w:sz w:val="18"/>
                              </w:rPr>
                            </w:pPr>
                            <w:r>
                              <w:rPr>
                                <w:b/>
                                <w:sz w:val="18"/>
                              </w:rPr>
                              <w:t>$815,556</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479" w:type="dxa"/>
                            <w:tcBorders>
                              <w:bottom w:val="single" w:sz="2" w:space="0" w:color="4B5088"/>
                            </w:tcBorders>
                            <w:tcMar>
                              <w:bottom w:w="68" w:type="dxa"/>
                            </w:tcMar>
                            <w:vAlign w:val="center"/>
                          </w:tcPr>
                          <w:p>
                            <w:pPr>
                              <w:pStyle w:val="TableContents"/>
                              <w:bidi w:val="0"/>
                              <w:spacing w:lineRule="atLeast" w:line="200" w:before="0" w:after="0"/>
                              <w:jc w:val="left"/>
                              <w:rPr>
                                <w:b/>
                                <w:sz w:val="18"/>
                              </w:rPr>
                            </w:pPr>
                            <w:r>
                              <w:rPr>
                                <w:b/>
                                <w:sz w:val="18"/>
                              </w:rPr>
                              <w:t>Annual Bonus</w:t>
                            </w:r>
                          </w:p>
                          <w:p>
                            <w:pPr>
                              <w:pStyle w:val="TableContents"/>
                              <w:bidi w:val="0"/>
                              <w:spacing w:lineRule="atLeast" w:line="190" w:before="0" w:after="0"/>
                              <w:jc w:val="left"/>
                              <w:rPr/>
                            </w:pPr>
                            <w:r>
                              <w:rPr>
                                <w:spacing w:val="-2"/>
                              </w:rPr>
                              <w:t>Bonus, while not formulaic, was determined on the basis of the objective criteria used for our formulaic annual bonus program, the achievements of the Company during 2023 and an assessment of Mr. Levine’s performance in areas under his responsibilities.</w:t>
                            </w:r>
                            <w:r>
                              <w:rPr/>
                              <w:t xml:space="preserve"> </w:t>
                            </w:r>
                          </w:p>
                          <w:p>
                            <w:pPr>
                              <w:pStyle w:val="TableContents"/>
                              <w:bidi w:val="0"/>
                              <w:spacing w:lineRule="atLeast" w:line="190" w:before="40" w:after="283"/>
                              <w:jc w:val="left"/>
                              <w:rPr/>
                            </w:pPr>
                            <w:r>
                              <w:rPr>
                                <w:spacing w:val="-2"/>
                              </w:rPr>
                              <w:t xml:space="preserve">Mr. Levine received </w:t>
                            </w:r>
                            <w:r>
                              <w:rPr>
                                <w:b/>
                              </w:rPr>
                              <w:t>100%</w:t>
                            </w:r>
                            <w:r>
                              <w:rPr>
                                <w:spacing w:val="-2"/>
                              </w:rPr>
                              <w:t xml:space="preserve"> of the bonus in the form of equity. The corresponding </w:t>
                            </w:r>
                            <w:r>
                              <w:rPr>
                                <w:b/>
                              </w:rPr>
                              <w:t>21,459 LTIP</w:t>
                            </w:r>
                            <w:r>
                              <w:rPr>
                                <w:spacing w:val="-2"/>
                              </w:rPr>
                              <w:t xml:space="preserve"> units granted in </w:t>
                            </w:r>
                            <w:r>
                              <w:rPr>
                                <w:b/>
                              </w:rPr>
                              <w:t>January 2024</w:t>
                            </w:r>
                            <w:r>
                              <w:rPr>
                                <w:spacing w:val="-2"/>
                              </w:rPr>
                              <w:t xml:space="preserve"> were fully vested upon grant, but remain subject to a three-year no-sell restriction. Because these LTIP units were granted in 2024, the value of the awards will be reported in next year’s Summary Compensation table.</w:t>
                            </w:r>
                            <w:r>
                              <w:rPr/>
                              <w:t xml:space="preserve"> </w:t>
                            </w:r>
                          </w:p>
                          <w:p>
                            <w:pPr>
                              <w:pStyle w:val="TableContents"/>
                              <w:bidi w:val="0"/>
                              <w:spacing w:lineRule="atLeast" w:line="190" w:before="40" w:after="283"/>
                              <w:jc w:val="left"/>
                              <w:rPr/>
                            </w:pPr>
                            <w:r>
                              <w:rPr>
                                <w:spacing w:val="-2"/>
                              </w:rPr>
                              <w:t xml:space="preserve">The SCT amount reflects the grant date value of equity granted </w:t>
                            </w:r>
                            <w:r>
                              <w:rPr>
                                <w:b/>
                              </w:rPr>
                              <w:t>in January 2023 for 2022 annual bonus</w:t>
                            </w:r>
                            <w:r>
                              <w:rPr>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shd w:fill="E9F9D8" w:val="clear"/>
                            <w:tcMar>
                              <w:bottom w:w="0" w:type="dxa"/>
                            </w:tcMar>
                            <w:vAlign w:val="center"/>
                          </w:tcPr>
                          <w:p>
                            <w:pPr>
                              <w:pStyle w:val="TableContents"/>
                              <w:bidi w:val="0"/>
                              <w:spacing w:before="0" w:after="283"/>
                              <w:jc w:val="left"/>
                              <w:rPr/>
                            </w:pPr>
                            <w:r>
                              <w:rPr/>
                              <w:t>​</w:t>
                            </w:r>
                          </w:p>
                        </w:tc>
                        <w:tc>
                          <w:tcPr>
                            <w:tcW w:w="1006" w:type="dxa"/>
                            <w:tcBorders/>
                            <w:shd w:fill="E9F9D8" w:val="clear"/>
                            <w:tcMar>
                              <w:bottom w:w="0" w:type="dxa"/>
                            </w:tcMar>
                            <w:vAlign w:val="center"/>
                          </w:tcPr>
                          <w:p>
                            <w:pPr>
                              <w:pStyle w:val="TableContents"/>
                              <w:bidi w:val="0"/>
                              <w:spacing w:before="0" w:after="0"/>
                              <w:jc w:val="left"/>
                              <w:rPr>
                                <w:color w:val="1F2668"/>
                                <w:sz w:val="36"/>
                              </w:rPr>
                            </w:pPr>
                            <w:r>
                              <w:rPr>
                                <w:color w:val="1F2668"/>
                                <w:sz w:val="36"/>
                              </w:rPr>
                              <w:t>17%</w:t>
                            </w:r>
                          </w:p>
                          <w:p>
                            <w:pPr>
                              <w:pStyle w:val="TableContents"/>
                              <w:bidi w:val="0"/>
                              <w:spacing w:lineRule="atLeast" w:line="200" w:before="0" w:after="0"/>
                              <w:jc w:val="left"/>
                              <w:rPr>
                                <w:b/>
                                <w:sz w:val="18"/>
                              </w:rPr>
                            </w:pPr>
                            <w:r>
                              <w:rPr>
                                <w:b/>
                                <w:sz w:val="18"/>
                              </w:rPr>
                              <w:t>$555,556</w:t>
                            </w:r>
                          </w:p>
                        </w:tc>
                        <w:tc>
                          <w:tcPr>
                            <w:tcW w:w="109" w:type="dxa"/>
                            <w:tcBorders/>
                            <w:shd w:fill="E9F9D8"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6" w:type="dxa"/>
                            <w:tcBorders/>
                            <w:tcMar>
                              <w:bottom w:w="0" w:type="dxa"/>
                            </w:tcMar>
                            <w:vAlign w:val="center"/>
                          </w:tcPr>
                          <w:p>
                            <w:pPr>
                              <w:pStyle w:val="TableContents"/>
                              <w:bidi w:val="0"/>
                              <w:spacing w:before="0" w:after="0"/>
                              <w:jc w:val="left"/>
                              <w:rPr>
                                <w:color w:val="1F2668"/>
                                <w:sz w:val="36"/>
                              </w:rPr>
                            </w:pPr>
                            <w:r>
                              <w:rPr>
                                <w:color w:val="1F2668"/>
                                <w:sz w:val="36"/>
                              </w:rPr>
                              <w:t>23%</w:t>
                            </w:r>
                          </w:p>
                          <w:p>
                            <w:pPr>
                              <w:pStyle w:val="TableContents"/>
                              <w:bidi w:val="0"/>
                              <w:spacing w:lineRule="atLeast" w:line="200" w:before="0" w:after="0"/>
                              <w:jc w:val="left"/>
                              <w:rPr>
                                <w:b/>
                                <w:sz w:val="18"/>
                              </w:rPr>
                            </w:pPr>
                            <w:r>
                              <w:rPr>
                                <w:b/>
                                <w:sz w:val="18"/>
                              </w:rPr>
                              <w:t>$778,011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79" w:type="dxa"/>
                            <w:tcBorders/>
                            <w:tcMar>
                              <w:bottom w:w="0" w:type="dxa"/>
                            </w:tcMar>
                            <w:vAlign w:val="center"/>
                          </w:tcPr>
                          <w:p>
                            <w:pPr>
                              <w:pStyle w:val="TableContents"/>
                              <w:bidi w:val="0"/>
                              <w:spacing w:lineRule="atLeast" w:line="200" w:before="0" w:after="0"/>
                              <w:jc w:val="left"/>
                              <w:rPr>
                                <w:b/>
                                <w:sz w:val="18"/>
                              </w:rPr>
                            </w:pPr>
                            <w:r>
                              <w:rPr>
                                <w:b/>
                                <w:sz w:val="18"/>
                              </w:rPr>
                              <w:t>Performance-Based Equity Awards</w:t>
                            </w:r>
                          </w:p>
                          <w:p>
                            <w:pPr>
                              <w:pStyle w:val="TableContents"/>
                              <w:bidi w:val="0"/>
                              <w:spacing w:lineRule="atLeast" w:line="190" w:before="0" w:after="0"/>
                              <w:jc w:val="left"/>
                              <w:rPr/>
                            </w:pPr>
                            <w:r>
                              <w:rPr>
                                <w:spacing w:val="-2"/>
                              </w:rPr>
                              <w:t xml:space="preserve">The TDC amount reflects the target notional value of </w:t>
                            </w:r>
                            <w:r>
                              <w:rPr>
                                <w:b/>
                              </w:rPr>
                              <w:t>$555,556</w:t>
                            </w:r>
                            <w:r>
                              <w:rPr>
                                <w:spacing w:val="-2"/>
                              </w:rPr>
                              <w:t xml:space="preserve"> approved by the Committee in January 2023. </w:t>
                            </w:r>
                            <w:r>
                              <w:rPr>
                                <w:b/>
                              </w:rPr>
                              <w:t>The SCT amount represents the grant date value of the awards</w:t>
                            </w:r>
                            <w:r>
                              <w:rPr>
                                <w:spacing w:val="-2"/>
                              </w:rPr>
                              <w:t>.</w:t>
                            </w:r>
                            <w:r>
                              <w:rPr/>
                              <w:t xml:space="preserve"> </w:t>
                            </w:r>
                          </w:p>
                          <w:p>
                            <w:pPr>
                              <w:pStyle w:val="TableContents"/>
                              <w:bidi w:val="0"/>
                              <w:spacing w:lineRule="atLeast" w:line="190" w:before="40" w:after="283"/>
                              <w:jc w:val="left"/>
                              <w:rPr/>
                            </w:pPr>
                            <w:r>
                              <w:rPr>
                                <w:spacing w:val="-2"/>
                              </w:rPr>
                              <w:t>The award relates to the following LTIP units:</w:t>
                            </w:r>
                            <w:r>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635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142"/>
                        <w:gridCol w:w="109"/>
                        <w:gridCol w:w="109"/>
                        <w:gridCol w:w="816"/>
                        <w:gridCol w:w="109"/>
                        <w:gridCol w:w="109"/>
                        <w:gridCol w:w="1153"/>
                        <w:gridCol w:w="109"/>
                        <w:gridCol w:w="109"/>
                        <w:gridCol w:w="1770"/>
                        <w:gridCol w:w="154"/>
                      </w:tblGrid>
                      <w:tr>
                        <w:trPr/>
                        <w:tc>
                          <w:tcPr>
                            <w:tcW w:w="124"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c>
                          <w:tcPr>
                            <w:tcW w:w="5535" w:type="dxa"/>
                            <w:gridSpan w:val="10"/>
                            <w:tcBorders>
                              <w:top w:val="single" w:sz="16" w:space="0" w:color="1F2668"/>
                              <w:bottom w:val="single" w:sz="16" w:space="0" w:color="1F2668"/>
                            </w:tcBorders>
                            <w:tcMar>
                              <w:top w:w="57" w:type="dxa"/>
                              <w:bottom w:w="28" w:type="dxa"/>
                            </w:tcMar>
                            <w:vAlign w:val="center"/>
                          </w:tcPr>
                          <w:p>
                            <w:pPr>
                              <w:pStyle w:val="TableContents"/>
                              <w:bidi w:val="0"/>
                              <w:spacing w:before="0" w:after="0"/>
                              <w:jc w:val="center"/>
                              <w:rPr>
                                <w:spacing w:val="2"/>
                              </w:rPr>
                            </w:pPr>
                            <w:r>
                              <w:rPr>
                                <w:spacing w:val="2"/>
                              </w:rPr>
                              <w:t xml:space="preserve">2023 Performance-Based Award— </w:t>
                              <w:br/>
                              <w:t xml:space="preserve">Number of LTIP Units Granted </w:t>
                            </w:r>
                          </w:p>
                        </w:tc>
                        <w:tc>
                          <w:tcPr>
                            <w:tcW w:w="154" w:type="dxa"/>
                            <w:tcBorders>
                              <w:top w:val="single" w:sz="16" w:space="0" w:color="1F2668"/>
                              <w:bottom w:val="single" w:sz="16" w:space="0" w:color="1F2668"/>
                            </w:tcBorders>
                            <w:tcMar>
                              <w:top w:w="28" w:type="dxa"/>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42" w:type="dxa"/>
                            <w:tcBorders>
                              <w:bottom w:val="single" w:sz="12" w:space="0" w:color="4B5088"/>
                            </w:tcBorders>
                            <w:tcMar>
                              <w:bottom w:w="33" w:type="dxa"/>
                            </w:tcMar>
                            <w:vAlign w:val="center"/>
                          </w:tcPr>
                          <w:p>
                            <w:pPr>
                              <w:pStyle w:val="TableContents"/>
                              <w:bidi w:val="0"/>
                              <w:spacing w:before="0" w:after="0"/>
                              <w:jc w:val="right"/>
                              <w:rPr/>
                            </w:pPr>
                            <w:r>
                              <w:rPr>
                                <w:spacing w:val="2"/>
                              </w:rPr>
                              <w:t>Threshold</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816" w:type="dxa"/>
                            <w:tcBorders>
                              <w:bottom w:val="single" w:sz="12" w:space="0" w:color="4B5088"/>
                            </w:tcBorders>
                            <w:tcMar>
                              <w:bottom w:w="33" w:type="dxa"/>
                            </w:tcMar>
                            <w:vAlign w:val="center"/>
                          </w:tcPr>
                          <w:p>
                            <w:pPr>
                              <w:pStyle w:val="TableContents"/>
                              <w:bidi w:val="0"/>
                              <w:spacing w:before="0" w:after="0"/>
                              <w:jc w:val="right"/>
                              <w:rPr/>
                            </w:pPr>
                            <w:r>
                              <w:rPr>
                                <w:spacing w:val="2"/>
                              </w:rPr>
                              <w:t>Target</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153" w:type="dxa"/>
                            <w:tcBorders>
                              <w:bottom w:val="single" w:sz="12" w:space="0" w:color="4B5088"/>
                            </w:tcBorders>
                            <w:tcMar>
                              <w:bottom w:w="33" w:type="dxa"/>
                            </w:tcMar>
                            <w:vAlign w:val="center"/>
                          </w:tcPr>
                          <w:p>
                            <w:pPr>
                              <w:pStyle w:val="TableContents"/>
                              <w:bidi w:val="0"/>
                              <w:spacing w:before="0" w:after="0"/>
                              <w:jc w:val="right"/>
                              <w:rPr/>
                            </w:pPr>
                            <w:r>
                              <w:rPr>
                                <w:spacing w:val="2"/>
                              </w:rPr>
                              <w:t>Maximum</w:t>
                            </w:r>
                            <w:r>
                              <w:rPr/>
                              <w:t xml:space="preserve"> </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09" w:type="dxa"/>
                            <w:tcBorders>
                              <w:bottom w:val="single" w:sz="12" w:space="0" w:color="4B5088"/>
                            </w:tcBorders>
                            <w:tcMar>
                              <w:bottom w:w="28" w:type="dxa"/>
                            </w:tcMar>
                            <w:vAlign w:val="center"/>
                          </w:tcPr>
                          <w:p>
                            <w:pPr>
                              <w:pStyle w:val="TableContents"/>
                              <w:bidi w:val="0"/>
                              <w:spacing w:before="0" w:after="283"/>
                              <w:jc w:val="left"/>
                              <w:rPr/>
                            </w:pPr>
                            <w:r>
                              <w:rPr/>
                              <w:t>​</w:t>
                            </w:r>
                          </w:p>
                        </w:tc>
                        <w:tc>
                          <w:tcPr>
                            <w:tcW w:w="1770" w:type="dxa"/>
                            <w:tcBorders>
                              <w:bottom w:val="single" w:sz="12" w:space="0" w:color="4B5088"/>
                            </w:tcBorders>
                            <w:tcMar>
                              <w:bottom w:w="33" w:type="dxa"/>
                            </w:tcMar>
                            <w:vAlign w:val="center"/>
                          </w:tcPr>
                          <w:p>
                            <w:pPr>
                              <w:pStyle w:val="TableContents"/>
                              <w:bidi w:val="0"/>
                              <w:spacing w:before="0" w:after="0"/>
                              <w:jc w:val="right"/>
                              <w:rPr/>
                            </w:pPr>
                            <w:r>
                              <w:rPr>
                                <w:spacing w:val="2"/>
                              </w:rPr>
                              <w:t xml:space="preserve">Projected </w:t>
                              <w:br/>
                              <w:t xml:space="preserve">Earned </w:t>
                              <w:br/>
                              <w:t>as of 12/31/2023</w:t>
                            </w:r>
                            <w:r>
                              <w:rPr/>
                              <w:t xml:space="preserve"> </w:t>
                            </w:r>
                          </w:p>
                        </w:tc>
                        <w:tc>
                          <w:tcPr>
                            <w:tcW w:w="154" w:type="dxa"/>
                            <w:tcBorders>
                              <w:bottom w:val="single" w:sz="12" w:space="0" w:color="4B5088"/>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1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42" w:type="dxa"/>
                            <w:tcBorders>
                              <w:bottom w:val="single" w:sz="2" w:space="0" w:color="4B5088"/>
                            </w:tcBorders>
                            <w:tcMar>
                              <w:bottom w:w="33" w:type="dxa"/>
                            </w:tcMar>
                            <w:vAlign w:val="center"/>
                          </w:tcPr>
                          <w:p>
                            <w:pPr>
                              <w:pStyle w:val="TableContents"/>
                              <w:bidi w:val="0"/>
                              <w:spacing w:before="0" w:after="0"/>
                              <w:jc w:val="right"/>
                              <w:rPr/>
                            </w:pPr>
                            <w:r>
                              <w:rPr>
                                <w:spacing w:val="-2"/>
                              </w:rPr>
                              <w:t>7,764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816" w:type="dxa"/>
                            <w:tcBorders>
                              <w:bottom w:val="single" w:sz="2" w:space="0" w:color="4B5088"/>
                            </w:tcBorders>
                            <w:tcMar>
                              <w:bottom w:w="33" w:type="dxa"/>
                            </w:tcMar>
                            <w:vAlign w:val="center"/>
                          </w:tcPr>
                          <w:p>
                            <w:pPr>
                              <w:pStyle w:val="TableContents"/>
                              <w:bidi w:val="0"/>
                              <w:spacing w:before="0" w:after="0"/>
                              <w:jc w:val="right"/>
                              <w:rPr/>
                            </w:pPr>
                            <w:r>
                              <w:rPr>
                                <w:spacing w:val="-2"/>
                              </w:rPr>
                              <w:t>16,563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153" w:type="dxa"/>
                            <w:tcBorders>
                              <w:bottom w:val="single" w:sz="2" w:space="0" w:color="4B5088"/>
                            </w:tcBorders>
                            <w:tcMar>
                              <w:bottom w:w="33" w:type="dxa"/>
                            </w:tcMar>
                            <w:vAlign w:val="center"/>
                          </w:tcPr>
                          <w:p>
                            <w:pPr>
                              <w:pStyle w:val="TableContents"/>
                              <w:bidi w:val="0"/>
                              <w:spacing w:before="0" w:after="0"/>
                              <w:jc w:val="right"/>
                              <w:rPr/>
                            </w:pPr>
                            <w:r>
                              <w:rPr>
                                <w:spacing w:val="-2"/>
                              </w:rPr>
                              <w:t>37,265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770" w:type="dxa"/>
                            <w:tcBorders>
                              <w:bottom w:val="single" w:sz="2" w:space="0" w:color="4B5088"/>
                            </w:tcBorders>
                            <w:tcMar>
                              <w:bottom w:w="33" w:type="dxa"/>
                            </w:tcMar>
                            <w:vAlign w:val="center"/>
                          </w:tcPr>
                          <w:p>
                            <w:pPr>
                              <w:pStyle w:val="TableContents"/>
                              <w:bidi w:val="0"/>
                              <w:spacing w:before="0" w:after="0"/>
                              <w:jc w:val="right"/>
                              <w:rPr/>
                            </w:pPr>
                            <w:r>
                              <w:rPr>
                                <w:spacing w:val="-2"/>
                              </w:rPr>
                              <w:t>26,831</w:t>
                            </w:r>
                            <w:r>
                              <w:rPr/>
                              <w:t xml:space="preserve"> </w:t>
                            </w:r>
                          </w:p>
                        </w:tc>
                        <w:tc>
                          <w:tcPr>
                            <w:tcW w:w="154" w:type="dxa"/>
                            <w:tcBorders>
                              <w:bottom w:val="single" w:sz="2" w:space="0" w:color="4B5088"/>
                            </w:tcBorders>
                            <w:tcMar>
                              <w:bottom w:w="28"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28" w:type="dxa"/>
                          <w:right w:w="0" w:type="dxa"/>
                        </w:tblCellMar>
                      </w:tblPr>
                      <w:tblGrid>
                        <w:gridCol w:w="124"/>
                        <w:gridCol w:w="1186"/>
                        <w:gridCol w:w="109"/>
                        <w:gridCol w:w="109"/>
                        <w:gridCol w:w="1186"/>
                        <w:gridCol w:w="109"/>
                        <w:gridCol w:w="109"/>
                        <w:gridCol w:w="7119"/>
                        <w:gridCol w:w="154"/>
                      </w:tblGrid>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33" w:type="dxa"/>
                            </w:tcM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33" w:type="dxa"/>
                            </w:tcMar>
                            <w:vAlign w:val="center"/>
                          </w:tcPr>
                          <w:p>
                            <w:pPr>
                              <w:pStyle w:val="TableContents"/>
                              <w:bidi w:val="0"/>
                              <w:spacing w:lineRule="atLeast" w:line="185" w:before="0" w:after="0"/>
                              <w:jc w:val="left"/>
                              <w:rPr>
                                <w:spacing w:val="-2"/>
                              </w:rPr>
                            </w:pPr>
                            <w:r>
                              <w:rPr>
                                <w:spacing w:val="-2"/>
                              </w:rPr>
                              <w:t xml:space="preserve">The actual number of LTIP units earned will be determined based on Company performance measured after the end of the full performance period ending December 31, 2025, based on our absolute and relative TSR, with earned LTIP units vesting 50% as of December 31, 2025 and 50% as of December 31, 2026.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2" w:space="0" w:color="4B5088"/>
                            </w:tcBorders>
                            <w:shd w:fill="E9F9D8" w:val="clear"/>
                            <w:vAlign w:val="center"/>
                          </w:tcPr>
                          <w:p>
                            <w:pPr>
                              <w:pStyle w:val="TableContents"/>
                              <w:bidi w:val="0"/>
                              <w:spacing w:before="0" w:after="283"/>
                              <w:jc w:val="left"/>
                              <w:rPr/>
                            </w:pPr>
                            <w:r>
                              <w:rPr/>
                              <w:t>​</w:t>
                            </w:r>
                          </w:p>
                        </w:tc>
                        <w:tc>
                          <w:tcPr>
                            <w:tcW w:w="1186" w:type="dxa"/>
                            <w:tcBorders>
                              <w:bottom w:val="single" w:sz="2" w:space="0" w:color="4B5088"/>
                            </w:tcBorders>
                            <w:shd w:fill="E9F9D8" w:val="clear"/>
                            <w:tcMar>
                              <w:bottom w:w="82" w:type="dxa"/>
                            </w:tcMar>
                            <w:vAlign w:val="center"/>
                          </w:tcPr>
                          <w:p>
                            <w:pPr>
                              <w:pStyle w:val="TableContents"/>
                              <w:bidi w:val="0"/>
                              <w:spacing w:before="0" w:after="0"/>
                              <w:jc w:val="left"/>
                              <w:rPr>
                                <w:color w:val="1F2668"/>
                                <w:sz w:val="36"/>
                              </w:rPr>
                            </w:pPr>
                            <w:r>
                              <w:rPr>
                                <w:color w:val="1F2668"/>
                                <w:sz w:val="36"/>
                              </w:rPr>
                              <w:t>39%</w:t>
                            </w:r>
                          </w:p>
                          <w:p>
                            <w:pPr>
                              <w:pStyle w:val="TableContents"/>
                              <w:bidi w:val="0"/>
                              <w:spacing w:lineRule="atLeast" w:line="220" w:before="0" w:after="0"/>
                              <w:jc w:val="left"/>
                              <w:rPr>
                                <w:b/>
                                <w:sz w:val="18"/>
                              </w:rPr>
                            </w:pPr>
                            <w:r>
                              <w:rPr>
                                <w:b/>
                                <w:sz w:val="18"/>
                              </w:rPr>
                              <w:t>$1,300,000</w:t>
                            </w:r>
                          </w:p>
                        </w:tc>
                        <w:tc>
                          <w:tcPr>
                            <w:tcW w:w="109" w:type="dxa"/>
                            <w:tcBorders>
                              <w:bottom w:val="single" w:sz="2" w:space="0" w:color="4B5088"/>
                            </w:tcBorders>
                            <w:shd w:fill="E9F9D8" w:val="clear"/>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1186" w:type="dxa"/>
                            <w:tcBorders>
                              <w:bottom w:val="single" w:sz="2" w:space="0" w:color="4B5088"/>
                            </w:tcBorders>
                            <w:tcMar>
                              <w:bottom w:w="82" w:type="dxa"/>
                            </w:tcMar>
                            <w:vAlign w:val="center"/>
                          </w:tcPr>
                          <w:p>
                            <w:pPr>
                              <w:pStyle w:val="TableContents"/>
                              <w:bidi w:val="0"/>
                              <w:spacing w:before="0" w:after="0"/>
                              <w:jc w:val="left"/>
                              <w:rPr>
                                <w:color w:val="1F2668"/>
                                <w:sz w:val="36"/>
                              </w:rPr>
                            </w:pPr>
                            <w:r>
                              <w:rPr>
                                <w:color w:val="1F2668"/>
                                <w:sz w:val="36"/>
                              </w:rPr>
                              <w:t>36%</w:t>
                            </w:r>
                          </w:p>
                          <w:p>
                            <w:pPr>
                              <w:pStyle w:val="TableContents"/>
                              <w:bidi w:val="0"/>
                              <w:spacing w:lineRule="atLeast" w:line="220" w:before="0" w:after="0"/>
                              <w:jc w:val="left"/>
                              <w:rPr>
                                <w:b/>
                                <w:sz w:val="18"/>
                              </w:rPr>
                            </w:pPr>
                            <w:r>
                              <w:rPr>
                                <w:b/>
                                <w:sz w:val="18"/>
                              </w:rPr>
                              <w:t>$1,245,618</w:t>
                            </w:r>
                          </w:p>
                        </w:tc>
                        <w:tc>
                          <w:tcPr>
                            <w:tcW w:w="109" w:type="dxa"/>
                            <w:tcBorders>
                              <w:bottom w:val="single" w:sz="2" w:space="0" w:color="4B5088"/>
                            </w:tcBorders>
                            <w:vAlign w:val="center"/>
                          </w:tcPr>
                          <w:p>
                            <w:pPr>
                              <w:pStyle w:val="TableContents"/>
                              <w:bidi w:val="0"/>
                              <w:spacing w:before="0" w:after="283"/>
                              <w:jc w:val="left"/>
                              <w:rPr/>
                            </w:pPr>
                            <w:r>
                              <w:rPr/>
                              <w:t>​</w:t>
                            </w:r>
                          </w:p>
                        </w:tc>
                        <w:tc>
                          <w:tcPr>
                            <w:tcW w:w="109" w:type="dxa"/>
                            <w:tcBorders>
                              <w:bottom w:val="single" w:sz="2" w:space="0" w:color="4B5088"/>
                            </w:tcBorders>
                            <w:vAlign w:val="center"/>
                          </w:tcPr>
                          <w:p>
                            <w:pPr>
                              <w:pStyle w:val="TableContents"/>
                              <w:bidi w:val="0"/>
                              <w:spacing w:before="0" w:after="283"/>
                              <w:jc w:val="left"/>
                              <w:rPr/>
                            </w:pPr>
                            <w:r>
                              <w:rPr/>
                              <w:t>​</w:t>
                            </w:r>
                          </w:p>
                        </w:tc>
                        <w:tc>
                          <w:tcPr>
                            <w:tcW w:w="7119" w:type="dxa"/>
                            <w:tcBorders>
                              <w:bottom w:val="single" w:sz="2" w:space="0" w:color="4B5088"/>
                            </w:tcBorders>
                            <w:tcMar>
                              <w:bottom w:w="82" w:type="dxa"/>
                            </w:tcMar>
                            <w:vAlign w:val="center"/>
                          </w:tcPr>
                          <w:p>
                            <w:pPr>
                              <w:pStyle w:val="TableContents"/>
                              <w:bidi w:val="0"/>
                              <w:spacing w:lineRule="atLeast" w:line="195" w:before="0" w:after="0"/>
                              <w:jc w:val="left"/>
                              <w:rPr>
                                <w:b/>
                                <w:sz w:val="18"/>
                              </w:rPr>
                            </w:pPr>
                            <w:r>
                              <w:rPr>
                                <w:b/>
                                <w:sz w:val="18"/>
                              </w:rPr>
                              <w:t>Time-Based Equity Awards</w:t>
                            </w:r>
                          </w:p>
                          <w:p>
                            <w:pPr>
                              <w:pStyle w:val="TableContents"/>
                              <w:bidi w:val="0"/>
                              <w:spacing w:lineRule="atLeast" w:line="185" w:before="0" w:after="0"/>
                              <w:jc w:val="left"/>
                              <w:rPr/>
                            </w:pPr>
                            <w:r>
                              <w:rPr>
                                <w:spacing w:val="-2"/>
                              </w:rPr>
                              <w:t xml:space="preserve">The Committee granted time-based awards in January 2024 based on the Company’s 2023 performance. The awards had a target value of </w:t>
                            </w:r>
                            <w:r>
                              <w:rPr>
                                <w:b/>
                              </w:rPr>
                              <w:t>$1,300,000</w:t>
                            </w:r>
                            <w:r>
                              <w:rPr>
                                <w:spacing w:val="-2"/>
                              </w:rPr>
                              <w:t xml:space="preserve">, equal to the minimum target amount set forth in Mr. Levine’s employment agreement. The corresponding </w:t>
                            </w:r>
                            <w:r>
                              <w:rPr>
                                <w:b/>
                              </w:rPr>
                              <w:t>28,050</w:t>
                            </w:r>
                            <w:r>
                              <w:rPr>
                                <w:spacing w:val="-2"/>
                              </w:rPr>
                              <w:t xml:space="preserve"> LTIP units will vest on January 1, 2025, subject to continued employment.</w:t>
                            </w:r>
                            <w:r>
                              <w:rPr/>
                              <w:t xml:space="preserve"> </w:t>
                            </w:r>
                          </w:p>
                          <w:p>
                            <w:pPr>
                              <w:pStyle w:val="TableContents"/>
                              <w:bidi w:val="0"/>
                              <w:spacing w:lineRule="atLeast" w:line="185" w:before="45" w:after="283"/>
                              <w:jc w:val="left"/>
                              <w:rPr>
                                <w:b/>
                              </w:rPr>
                            </w:pPr>
                            <w:r>
                              <w:rPr>
                                <w:b/>
                              </w:rPr>
                              <w:t>The SCT amount represents the grant date value of equity award granted in 2023 for 2022 performance</w:t>
                            </w:r>
                            <w:r>
                              <w:rPr>
                                <w:b w:val="false"/>
                                <w:spacing w:val="-2"/>
                              </w:rPr>
                              <w:t xml:space="preserve">. </w:t>
                            </w:r>
                          </w:p>
                        </w:tc>
                        <w:tc>
                          <w:tcPr>
                            <w:tcW w:w="154" w:type="dxa"/>
                            <w:tcBorders>
                              <w:bottom w:val="single" w:sz="2" w:space="0" w:color="4B5088"/>
                            </w:tcBorders>
                            <w:vAlign w:val="center"/>
                          </w:tcPr>
                          <w:p>
                            <w:pPr>
                              <w:pStyle w:val="TableContents"/>
                              <w:bidi w:val="0"/>
                              <w:spacing w:before="0" w:after="283"/>
                              <w:jc w:val="left"/>
                              <w:rPr/>
                            </w:pPr>
                            <w:r>
                              <w:rPr/>
                              <w:t>​</w:t>
                            </w:r>
                          </w:p>
                        </w:tc>
                      </w:tr>
                      <w:tr>
                        <w:trPr/>
                        <w:tc>
                          <w:tcPr>
                            <w:tcW w:w="124" w:type="dxa"/>
                            <w:tcBorders>
                              <w:bottom w:val="single" w:sz="8" w:space="0" w:color="1F2668"/>
                            </w:tcBorders>
                            <w:shd w:fill="E9F9D8" w:val="clear"/>
                            <w:vAlign w:val="center"/>
                          </w:tcPr>
                          <w:p>
                            <w:pPr>
                              <w:pStyle w:val="TableContents"/>
                              <w:bidi w:val="0"/>
                              <w:spacing w:before="0" w:after="283"/>
                              <w:jc w:val="left"/>
                              <w:rPr/>
                            </w:pPr>
                            <w:r>
                              <w:rPr/>
                              <w:t>​</w:t>
                            </w:r>
                          </w:p>
                        </w:tc>
                        <w:tc>
                          <w:tcPr>
                            <w:tcW w:w="1186" w:type="dxa"/>
                            <w:tcBorders>
                              <w:bottom w:val="single" w:sz="8" w:space="0" w:color="1F2668"/>
                            </w:tcBorders>
                            <w:shd w:fill="E9F9D8" w:val="clear"/>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$3,348,756</w:t>
                            </w:r>
                          </w:p>
                        </w:tc>
                        <w:tc>
                          <w:tcPr>
                            <w:tcW w:w="109" w:type="dxa"/>
                            <w:tcBorders>
                              <w:bottom w:val="single" w:sz="8" w:space="0" w:color="1F2668"/>
                            </w:tcBorders>
                            <w:shd w:fill="E9F9D8" w:val="clear"/>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1186" w:type="dxa"/>
                            <w:tcBorders>
                              <w:bottom w:val="single" w:sz="8" w:space="0" w:color="1F2668"/>
                            </w:tcBorders>
                            <w:tcMar>
                              <w:bottom w:w="82" w:type="dxa"/>
                            </w:tcMar>
                            <w:vAlign w:val="center"/>
                          </w:tcPr>
                          <w:p>
                            <w:pPr>
                              <w:pStyle w:val="TableContents"/>
                              <w:bidi w:val="0"/>
                              <w:spacing w:before="0" w:after="0"/>
                              <w:jc w:val="left"/>
                              <w:rPr>
                                <w:color w:val="1F2668"/>
                                <w:sz w:val="36"/>
                              </w:rPr>
                            </w:pPr>
                            <w:r>
                              <w:rPr>
                                <w:color w:val="1F2668"/>
                                <w:sz w:val="36"/>
                              </w:rPr>
                              <w:t>100%</w:t>
                            </w:r>
                          </w:p>
                          <w:p>
                            <w:pPr>
                              <w:pStyle w:val="TableContents"/>
                              <w:bidi w:val="0"/>
                              <w:spacing w:lineRule="atLeast" w:line="220" w:before="0" w:after="0"/>
                              <w:jc w:val="left"/>
                              <w:rPr>
                                <w:b/>
                              </w:rPr>
                            </w:pPr>
                            <w:r>
                              <w:rPr>
                                <w:b/>
                              </w:rPr>
                              <w:t>$3,432,385</w:t>
                            </w:r>
                          </w:p>
                        </w:tc>
                        <w:tc>
                          <w:tcPr>
                            <w:tcW w:w="109" w:type="dxa"/>
                            <w:tcBorders>
                              <w:bottom w:val="single" w:sz="8" w:space="0" w:color="1F2668"/>
                            </w:tcBorders>
                            <w:vAlign w:val="center"/>
                          </w:tcPr>
                          <w:p>
                            <w:pPr>
                              <w:pStyle w:val="TableContents"/>
                              <w:bidi w:val="0"/>
                              <w:spacing w:before="0" w:after="283"/>
                              <w:jc w:val="left"/>
                              <w:rPr/>
                            </w:pPr>
                            <w:r>
                              <w:rPr/>
                              <w:t>​</w:t>
                            </w:r>
                          </w:p>
                        </w:tc>
                        <w:tc>
                          <w:tcPr>
                            <w:tcW w:w="109" w:type="dxa"/>
                            <w:tcBorders>
                              <w:bottom w:val="single" w:sz="8" w:space="0" w:color="1F2668"/>
                            </w:tcBorders>
                            <w:vAlign w:val="center"/>
                          </w:tcPr>
                          <w:p>
                            <w:pPr>
                              <w:pStyle w:val="TableContents"/>
                              <w:bidi w:val="0"/>
                              <w:spacing w:before="0" w:after="283"/>
                              <w:jc w:val="left"/>
                              <w:rPr/>
                            </w:pPr>
                            <w:r>
                              <w:rPr/>
                              <w:t>​</w:t>
                            </w:r>
                          </w:p>
                        </w:tc>
                        <w:tc>
                          <w:tcPr>
                            <w:tcW w:w="7119" w:type="dxa"/>
                            <w:tcBorders>
                              <w:bottom w:val="single" w:sz="8" w:space="0" w:color="1F2668"/>
                            </w:tcBorders>
                            <w:tcMar>
                              <w:bottom w:w="82" w:type="dxa"/>
                            </w:tcMar>
                            <w:vAlign w:val="center"/>
                          </w:tcPr>
                          <w:p>
                            <w:pPr>
                              <w:pStyle w:val="TableContents"/>
                              <w:bidi w:val="0"/>
                              <w:spacing w:lineRule="atLeast" w:line="185" w:before="0" w:after="0"/>
                              <w:jc w:val="left"/>
                              <w:rPr>
                                <w:sz w:val="17"/>
                              </w:rPr>
                            </w:pPr>
                            <w:r>
                              <w:rPr>
                                <w:spacing w:val="-2"/>
                                <w:sz w:val="17"/>
                              </w:rPr>
                              <w:t>Both totals include $13,200 of “Other Compensation,” as reflected in the Summary Compensation Table.</w:t>
                            </w:r>
                            <w:r>
                              <w:rPr>
                                <w:sz w:val="17"/>
                              </w:rPr>
                              <w:t xml:space="preserve"> </w:t>
                            </w:r>
                          </w:p>
                        </w:tc>
                        <w:tc>
                          <w:tcPr>
                            <w:tcW w:w="154" w:type="dxa"/>
                            <w:tcBorders>
                              <w:bottom w:val="single" w:sz="8" w:space="0" w:color="1F2668"/>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Other Compensation Policies and Information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How We Determine Executive Compensation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determines compensation for our named executive officers and is currently comprised of three of our independent directors, Lauren B. Dillard (Chair), Carol N. Brown and Edwin T. Burton, III. If our full slate of director nominees is elected at the Annual Meeting, then following the Annual Meeting, Committee membership will be as follows: Lauren B. Dillard (Interim Chair), John H. Alschuler, and Carol N. Brown. Ms. Dillard will chair the Compensation Committee on an interim basis following the Annual Meeting, pending the appointment of a replacement chairperson.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Committee receives input from a number of sources each year to inform its final compensation determinations for our named executive officers. These final determinations are made solely by the Committee.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1597"/>
        <w:gridCol w:w="109"/>
        <w:gridCol w:w="109"/>
        <w:gridCol w:w="7211"/>
        <w:gridCol w:w="155"/>
      </w:tblGrid>
      <w:tr>
        <w:trPr/>
        <w:tc>
          <w:tcPr>
            <w:tcW w:w="124" w:type="dxa"/>
            <w:tcBorders/>
            <w:shd w:fill="1F2668" w:val="clear"/>
            <w:vAlign w:val="center"/>
          </w:tcPr>
          <w:p>
            <w:pPr>
              <w:pStyle w:val="TableContents"/>
              <w:bidi w:val="0"/>
              <w:spacing w:before="0" w:after="283"/>
              <w:jc w:val="left"/>
              <w:rPr/>
            </w:pPr>
            <w:r>
              <w:rPr/>
              <w:t>​</w:t>
            </w:r>
          </w:p>
        </w:tc>
        <w:tc>
          <w:tcPr>
            <w:tcW w:w="1597" w:type="dxa"/>
            <w:tcBorders/>
            <w:shd w:fill="1F2668" w:val="clear"/>
            <w:vAlign w:val="center"/>
          </w:tcPr>
          <w:p>
            <w:pPr>
              <w:pStyle w:val="TableContents"/>
              <w:bidi w:val="0"/>
              <w:spacing w:before="0" w:after="283"/>
              <w:jc w:val="left"/>
              <w:rPr/>
            </w:pPr>
            <w:r>
              <w:rPr/>
              <w:t>Results</w:t>
            </w:r>
          </w:p>
        </w:tc>
        <w:tc>
          <w:tcPr>
            <w:tcW w:w="109" w:type="dxa"/>
            <w:tcBorders/>
            <w:shd w:fill="1F2668" w:val="clear"/>
            <w:vAlign w:val="center"/>
          </w:tcPr>
          <w:p>
            <w:pPr>
              <w:pStyle w:val="TableContents"/>
              <w:bidi w:val="0"/>
              <w:spacing w:before="0" w:after="283"/>
              <w:jc w:val="left"/>
              <w:rPr/>
            </w:pPr>
            <w:r>
              <w:rPr/>
              <w:t>​</w:t>
            </w:r>
          </w:p>
        </w:tc>
        <w:tc>
          <w:tcPr>
            <w:tcW w:w="109" w:type="dxa"/>
            <w:tcBorders/>
            <w:shd w:fill="1F2668" w:val="clear"/>
            <w:vAlign w:val="center"/>
          </w:tcPr>
          <w:p>
            <w:pPr>
              <w:pStyle w:val="TableContents"/>
              <w:bidi w:val="0"/>
              <w:spacing w:before="0" w:after="283"/>
              <w:jc w:val="left"/>
              <w:rPr/>
            </w:pPr>
            <w:r>
              <w:rPr/>
              <w:t>​</w:t>
            </w:r>
          </w:p>
        </w:tc>
        <w:tc>
          <w:tcPr>
            <w:tcW w:w="7211" w:type="dxa"/>
            <w:tcBorders/>
            <w:shd w:fill="1F2668" w:val="clear"/>
            <w:vAlign w:val="center"/>
          </w:tcPr>
          <w:p>
            <w:pPr>
              <w:pStyle w:val="TableContents"/>
              <w:bidi w:val="0"/>
              <w:spacing w:before="0" w:after="283"/>
              <w:jc w:val="left"/>
              <w:rPr/>
            </w:pPr>
            <w:r>
              <w:rPr/>
              <w:t xml:space="preserve">The Committee considers and analyzes the data and information provided by its independent compensation advisor, our CEO and FTI Consulting, as well as input from members of the Board of Directors and stockholders, and then makes final compensation decisions for our named executive officers in its sole discretion </w:t>
            </w:r>
          </w:p>
        </w:tc>
        <w:tc>
          <w:tcPr>
            <w:tcW w:w="155" w:type="dxa"/>
            <w:tcBorders/>
            <w:shd w:fill="1F2668"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97" w:type="dxa"/>
            <w:tcBorders>
              <w:bottom w:val="single" w:sz="2" w:space="0" w:color="FFFFFF"/>
            </w:tcBorders>
            <w:tcMar>
              <w:bottom w:w="43" w:type="dxa"/>
            </w:tcMar>
            <w:vAlign w:val="center"/>
          </w:tcPr>
          <w:p>
            <w:pPr>
              <w:pStyle w:val="TableContents"/>
              <w:bidi w:val="0"/>
              <w:spacing w:before="0" w:after="0"/>
              <w:jc w:val="left"/>
              <w:rPr>
                <w:b/>
                <w:color w:val="1F2668"/>
              </w:rPr>
            </w:pPr>
            <w:r>
              <w:rPr>
                <w:b/>
                <w:color w:val="1F2668"/>
              </w:rPr>
              <w:t>Stockholder Engagement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1" w:type="dxa"/>
            <w:tcBorders>
              <w:bottom w:val="single" w:sz="2" w:space="0" w:color="83AD40"/>
            </w:tcBorders>
            <w:tcMar>
              <w:bottom w:w="43" w:type="dxa"/>
            </w:tcMar>
            <w:vAlign w:val="center"/>
          </w:tcPr>
          <w:p>
            <w:pPr>
              <w:pStyle w:val="TableContents"/>
              <w:bidi w:val="0"/>
              <w:spacing w:lineRule="atLeast" w:line="205" w:before="0" w:after="0"/>
              <w:ind w:left="170" w:right="0" w:hanging="0"/>
              <w:jc w:val="left"/>
              <w:rPr>
                <w:spacing w:val="-2"/>
              </w:rPr>
            </w:pPr>
            <w:r>
              <w:rPr>
                <w:spacing w:val="-2"/>
              </w:rPr>
              <w:t xml:space="preserve">The Committee Chair engages with a significant number of stockholders holding a substantial percentage of outstanding shares and considers all feedback it receives on current and prior compensation practices </w:t>
            </w:r>
            <w:r>
              <mc:AlternateContent>
                <mc:Choice Requires="wps">
                  <w:drawing>
                    <wp:anchor behindDoc="0" distT="0" distB="0" distL="0" distR="0" simplePos="0" locked="0" layoutInCell="1" allowOverlap="1" relativeHeight="746">
                      <wp:simplePos x="0" y="0"/>
                      <wp:positionH relativeFrom="column">
                        <wp:align>left</wp:align>
                      </wp:positionH>
                      <wp:positionV relativeFrom="line">
                        <wp:posOffset>635</wp:posOffset>
                      </wp:positionV>
                      <wp:extent cx="107950" cy="350520"/>
                      <wp:effectExtent l="0" t="0" r="0" b="0"/>
                      <wp:wrapSquare wrapText="right"/>
                      <wp:docPr id="791" name="Frame4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97" w:type="dxa"/>
            <w:tcBorders>
              <w:bottom w:val="single" w:sz="2" w:space="0" w:color="FFFFFF"/>
            </w:tcBorders>
            <w:tcMar>
              <w:bottom w:w="43" w:type="dxa"/>
            </w:tcMar>
            <w:vAlign w:val="center"/>
          </w:tcPr>
          <w:p>
            <w:pPr>
              <w:pStyle w:val="TableContents"/>
              <w:bidi w:val="0"/>
              <w:spacing w:before="0" w:after="0"/>
              <w:jc w:val="left"/>
              <w:rPr>
                <w:b/>
                <w:color w:val="1F2668"/>
              </w:rPr>
            </w:pPr>
            <w:r>
              <w:rPr>
                <w:b/>
                <w:color w:val="1F2668"/>
              </w:rPr>
              <w:t>Full Board</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1" w:type="dxa"/>
            <w:tcBorders>
              <w:bottom w:val="single" w:sz="2" w:space="0" w:color="83AD40"/>
            </w:tcBorders>
            <w:tcMar>
              <w:bottom w:w="43" w:type="dxa"/>
            </w:tcMar>
            <w:vAlign w:val="center"/>
          </w:tcPr>
          <w:p>
            <w:pPr>
              <w:pStyle w:val="TableContents"/>
              <w:bidi w:val="0"/>
              <w:spacing w:lineRule="atLeast" w:line="205" w:before="0" w:after="0"/>
              <w:ind w:left="170" w:right="0" w:hanging="0"/>
              <w:jc w:val="left"/>
              <w:rPr>
                <w:spacing w:val="-2"/>
              </w:rPr>
            </w:pPr>
            <w:r>
              <w:rPr>
                <w:spacing w:val="-2"/>
              </w:rPr>
              <w:t xml:space="preserve">The Committee regularly reports to the full Board to ensure management accountability with business objectives and alignment with stockholders </w:t>
            </w:r>
            <w:r>
              <mc:AlternateContent>
                <mc:Choice Requires="wps">
                  <w:drawing>
                    <wp:anchor behindDoc="0" distT="0" distB="0" distL="0" distR="0" simplePos="0" locked="0" layoutInCell="1" allowOverlap="1" relativeHeight="747">
                      <wp:simplePos x="0" y="0"/>
                      <wp:positionH relativeFrom="column">
                        <wp:align>left</wp:align>
                      </wp:positionH>
                      <wp:positionV relativeFrom="line">
                        <wp:posOffset>635</wp:posOffset>
                      </wp:positionV>
                      <wp:extent cx="107950" cy="350520"/>
                      <wp:effectExtent l="0" t="0" r="0" b="0"/>
                      <wp:wrapSquare wrapText="right"/>
                      <wp:docPr id="792" name="Frame4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597" w:type="dxa"/>
            <w:tcBorders>
              <w:bottom w:val="single" w:sz="2" w:space="0" w:color="FFFFFF"/>
            </w:tcBorders>
            <w:tcMar>
              <w:bottom w:w="77" w:type="dxa"/>
            </w:tcMar>
            <w:vAlign w:val="center"/>
          </w:tcPr>
          <w:p>
            <w:pPr>
              <w:pStyle w:val="TableContents"/>
              <w:bidi w:val="0"/>
              <w:spacing w:lineRule="atLeast" w:line="205" w:before="0" w:after="0"/>
              <w:jc w:val="left"/>
              <w:rPr>
                <w:b/>
                <w:color w:val="1F2668"/>
              </w:rPr>
            </w:pPr>
            <w:r>
              <w:rPr>
                <w:b/>
                <w:color w:val="1F2668"/>
              </w:rPr>
              <w:t>Committee and Chief</w:t>
              <w:br/>
              <w:t>Executive Officer</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11" w:type="dxa"/>
            <w:tcBorders>
              <w:bottom w:val="single" w:sz="2" w:space="0" w:color="83AD40"/>
            </w:tcBorders>
            <w:tcMar>
              <w:bottom w:w="77" w:type="dxa"/>
            </w:tcMar>
            <w:vAlign w:val="center"/>
          </w:tcPr>
          <w:p>
            <w:pPr>
              <w:pStyle w:val="TableContents"/>
              <w:bidi w:val="0"/>
              <w:spacing w:lineRule="atLeast" w:line="205" w:before="0" w:after="0"/>
              <w:ind w:left="170" w:right="0" w:hanging="0"/>
              <w:jc w:val="left"/>
              <w:rPr/>
            </w:pPr>
            <w:r>
              <w:rPr>
                <w:spacing w:val="-2"/>
              </w:rPr>
              <w:t>The Committee reviews named executive officer’s annual performance targets and criteria, the Company’s absolute and relative TSR, the individual NEO’s execution of the Company’s long-term strategy, peer benchmarking and other market data provided by independent compensation consultants in formulating compensation recommendations</w:t>
            </w:r>
            <w:r>
              <w:rPr/>
              <w:t xml:space="preserve"> </w:t>
            </w:r>
            <w:r>
              <mc:AlternateContent>
                <mc:Choice Requires="wps">
                  <w:drawing>
                    <wp:anchor behindDoc="0" distT="0" distB="0" distL="0" distR="0" simplePos="0" locked="0" layoutInCell="1" allowOverlap="1" relativeHeight="748">
                      <wp:simplePos x="0" y="0"/>
                      <wp:positionH relativeFrom="column">
                        <wp:align>left</wp:align>
                      </wp:positionH>
                      <wp:positionV relativeFrom="line">
                        <wp:posOffset>635</wp:posOffset>
                      </wp:positionV>
                      <wp:extent cx="107950" cy="350520"/>
                      <wp:effectExtent l="0" t="0" r="0" b="0"/>
                      <wp:wrapSquare wrapText="right"/>
                      <wp:docPr id="793" name="Frame4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155" w:after="0"/>
              <w:ind w:left="170" w:right="0" w:hanging="0"/>
              <w:jc w:val="left"/>
              <w:rPr>
                <w:spacing w:val="-2"/>
              </w:rPr>
            </w:pPr>
            <w:r>
              <w:rPr>
                <w:spacing w:val="-2"/>
              </w:rPr>
              <w:t xml:space="preserve">At the request of the Committee, our CEO also receives and reviews this market data and provides recommendations for the Committee’s consideration regarding the compensation of other named executive officers </w:t>
            </w:r>
            <w:r>
              <mc:AlternateContent>
                <mc:Choice Requires="wps">
                  <w:drawing>
                    <wp:anchor behindDoc="0" distT="98425" distB="0" distL="0" distR="0" simplePos="0" locked="0" layoutInCell="1" allowOverlap="1" relativeHeight="749">
                      <wp:simplePos x="0" y="0"/>
                      <wp:positionH relativeFrom="column">
                        <wp:align>left</wp:align>
                      </wp:positionH>
                      <wp:positionV relativeFrom="line">
                        <wp:align>top</wp:align>
                      </wp:positionV>
                      <wp:extent cx="107950" cy="350520"/>
                      <wp:effectExtent l="0" t="0" r="0" b="0"/>
                      <wp:wrapSquare wrapText="right"/>
                      <wp:docPr id="794" name="Frame4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75pt;mso-wrap-distance-bottom:0pt;margin-top:7.75pt;mso-position-vertical:top;mso-position-vertical-relative:text;margin-left:0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12" w:space="0" w:color="83AD40"/>
            </w:tcBorders>
            <w:tcMar>
              <w:bottom w:w="28" w:type="dxa"/>
            </w:tcMar>
            <w:vAlign w:val="center"/>
          </w:tcPr>
          <w:p>
            <w:pPr>
              <w:pStyle w:val="TableContents"/>
              <w:bidi w:val="0"/>
              <w:spacing w:before="0" w:after="283"/>
              <w:jc w:val="left"/>
              <w:rPr/>
            </w:pPr>
            <w:r>
              <w:rPr/>
              <w:t>​</w:t>
            </w:r>
          </w:p>
        </w:tc>
        <w:tc>
          <w:tcPr>
            <w:tcW w:w="1597" w:type="dxa"/>
            <w:tcBorders>
              <w:bottom w:val="single" w:sz="12" w:space="0" w:color="83AD40"/>
            </w:tcBorders>
            <w:tcMar>
              <w:bottom w:w="99" w:type="dxa"/>
            </w:tcMar>
            <w:vAlign w:val="center"/>
          </w:tcPr>
          <w:p>
            <w:pPr>
              <w:pStyle w:val="TableContents"/>
              <w:bidi w:val="0"/>
              <w:spacing w:before="0" w:after="0"/>
              <w:jc w:val="left"/>
              <w:rPr>
                <w:b/>
                <w:color w:val="1F2668"/>
              </w:rPr>
            </w:pPr>
            <w:r>
              <w:rPr>
                <w:b/>
                <w:color w:val="1F2668"/>
              </w:rPr>
              <w:t>Consultants</w:t>
            </w:r>
          </w:p>
        </w:tc>
        <w:tc>
          <w:tcPr>
            <w:tcW w:w="109" w:type="dxa"/>
            <w:tcBorders>
              <w:bottom w:val="single" w:sz="12" w:space="0" w:color="83AD40"/>
            </w:tcBorders>
            <w:tcMar>
              <w:bottom w:w="28" w:type="dxa"/>
            </w:tcMar>
            <w:vAlign w:val="center"/>
          </w:tcPr>
          <w:p>
            <w:pPr>
              <w:pStyle w:val="TableContents"/>
              <w:bidi w:val="0"/>
              <w:spacing w:before="0" w:after="283"/>
              <w:jc w:val="left"/>
              <w:rPr/>
            </w:pPr>
            <w:r>
              <w:rPr/>
              <w:t>​</w:t>
            </w:r>
          </w:p>
        </w:tc>
        <w:tc>
          <w:tcPr>
            <w:tcW w:w="109" w:type="dxa"/>
            <w:tcBorders>
              <w:bottom w:val="single" w:sz="12" w:space="0" w:color="83AD40"/>
            </w:tcBorders>
            <w:tcMar>
              <w:bottom w:w="28" w:type="dxa"/>
            </w:tcMar>
            <w:vAlign w:val="center"/>
          </w:tcPr>
          <w:p>
            <w:pPr>
              <w:pStyle w:val="TableContents"/>
              <w:bidi w:val="0"/>
              <w:spacing w:before="0" w:after="283"/>
              <w:jc w:val="left"/>
              <w:rPr/>
            </w:pPr>
            <w:r>
              <w:rPr/>
              <w:t>​</w:t>
            </w:r>
          </w:p>
        </w:tc>
        <w:tc>
          <w:tcPr>
            <w:tcW w:w="7211" w:type="dxa"/>
            <w:tcBorders>
              <w:bottom w:val="single" w:sz="12" w:space="0" w:color="83AD40"/>
            </w:tcBorders>
            <w:tcMar>
              <w:bottom w:w="99" w:type="dxa"/>
            </w:tcMar>
            <w:vAlign w:val="center"/>
          </w:tcPr>
          <w:p>
            <w:pPr>
              <w:pStyle w:val="TableContents"/>
              <w:bidi w:val="0"/>
              <w:spacing w:lineRule="atLeast" w:line="170" w:before="0" w:after="0"/>
              <w:jc w:val="left"/>
              <w:rPr/>
            </w:pPr>
            <w:r>
              <w:rPr>
                <w:spacing w:val="-2"/>
              </w:rPr>
              <w:t>Gressle &amp; McGinley LLC</w:t>
            </w:r>
            <w:r>
              <w:rPr/>
              <w:t xml:space="preserve"> </w:t>
            </w:r>
          </w:p>
          <w:p>
            <w:pPr>
              <w:pStyle w:val="TableContents"/>
              <w:bidi w:val="0"/>
              <w:spacing w:lineRule="atLeast" w:line="205" w:before="35" w:after="0"/>
              <w:ind w:left="410" w:right="0" w:hanging="0"/>
              <w:jc w:val="left"/>
              <w:rPr/>
            </w:pPr>
            <w:r>
              <w:rPr>
                <w:spacing w:val="-2"/>
              </w:rPr>
              <w:t>Retained as the Committee’s independent outside compensation adviser and regularly participates in compensation committee meetings</w:t>
            </w:r>
            <w:r>
              <w:rPr/>
              <w:t xml:space="preserve"> </w:t>
            </w:r>
            <w:r>
              <mc:AlternateContent>
                <mc:Choice Requires="wps">
                  <w:drawing>
                    <wp:anchor behindDoc="0" distT="22225" distB="0" distL="107950" distR="0" simplePos="0" locked="0" layoutInCell="1" allowOverlap="1" relativeHeight="750">
                      <wp:simplePos x="0" y="0"/>
                      <wp:positionH relativeFrom="column">
                        <wp:align>left</wp:align>
                      </wp:positionH>
                      <wp:positionV relativeFrom="line">
                        <wp:align>top</wp:align>
                      </wp:positionV>
                      <wp:extent cx="152400" cy="350520"/>
                      <wp:effectExtent l="0" t="0" r="0" b="0"/>
                      <wp:wrapSquare wrapText="right"/>
                      <wp:docPr id="795" name="Frame44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35" w:after="0"/>
              <w:ind w:left="410" w:right="0" w:hanging="0"/>
              <w:jc w:val="left"/>
              <w:rPr/>
            </w:pPr>
            <w:r>
              <w:rPr>
                <w:spacing w:val="-2"/>
              </w:rPr>
              <w:t>Provides updates and relevant data throughout the year on market conditions in light of our goals and objectives, including current market and peer group pay practices and then-existing policies of certain of our institutional investors, ISS, Glass Lewis and other governance groups</w:t>
            </w:r>
            <w:r>
              <w:rPr/>
              <w:t xml:space="preserve"> </w:t>
            </w:r>
            <w:r>
              <mc:AlternateContent>
                <mc:Choice Requires="wps">
                  <w:drawing>
                    <wp:anchor behindDoc="0" distT="22225" distB="0" distL="107950" distR="0" simplePos="0" locked="0" layoutInCell="1" allowOverlap="1" relativeHeight="751">
                      <wp:simplePos x="0" y="0"/>
                      <wp:positionH relativeFrom="column">
                        <wp:align>left</wp:align>
                      </wp:positionH>
                      <wp:positionV relativeFrom="line">
                        <wp:align>top</wp:align>
                      </wp:positionV>
                      <wp:extent cx="152400" cy="350520"/>
                      <wp:effectExtent l="0" t="0" r="0" b="0"/>
                      <wp:wrapSquare wrapText="right"/>
                      <wp:docPr id="796" name="Frame44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5" w:before="35" w:after="0"/>
              <w:ind w:left="410" w:right="0" w:hanging="0"/>
              <w:jc w:val="left"/>
              <w:rPr/>
            </w:pPr>
            <w:r>
              <w:rPr>
                <w:spacing w:val="-2"/>
              </w:rPr>
              <w:t>Offers the Committee independent analysis and recommendations concerning executive compensation</w:t>
            </w:r>
            <w:r>
              <w:rPr/>
              <w:t xml:space="preserve"> </w:t>
            </w:r>
            <w:r>
              <mc:AlternateContent>
                <mc:Choice Requires="wps">
                  <w:drawing>
                    <wp:anchor behindDoc="0" distT="22225" distB="0" distL="107950" distR="0" simplePos="0" locked="0" layoutInCell="1" allowOverlap="1" relativeHeight="752">
                      <wp:simplePos x="0" y="0"/>
                      <wp:positionH relativeFrom="column">
                        <wp:align>left</wp:align>
                      </wp:positionH>
                      <wp:positionV relativeFrom="line">
                        <wp:align>top</wp:align>
                      </wp:positionV>
                      <wp:extent cx="152400" cy="350520"/>
                      <wp:effectExtent l="0" t="0" r="0" b="0"/>
                      <wp:wrapSquare wrapText="right"/>
                      <wp:docPr id="797" name="Frame443"/>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35" w:after="0"/>
              <w:ind w:left="410" w:right="0" w:hanging="0"/>
              <w:jc w:val="left"/>
              <w:rPr/>
            </w:pPr>
            <w:r>
              <w:rPr>
                <w:spacing w:val="-2"/>
              </w:rPr>
              <w:t>Does not provide any additional services to the Company</w:t>
            </w:r>
            <w:r>
              <w:rPr/>
              <w:t xml:space="preserve"> </w:t>
            </w:r>
            <w:r>
              <mc:AlternateContent>
                <mc:Choice Requires="wps">
                  <w:drawing>
                    <wp:anchor behindDoc="0" distT="22225" distB="0" distL="107950" distR="0" simplePos="0" locked="0" layoutInCell="1" allowOverlap="1" relativeHeight="753">
                      <wp:simplePos x="0" y="0"/>
                      <wp:positionH relativeFrom="column">
                        <wp:align>left</wp:align>
                      </wp:positionH>
                      <wp:positionV relativeFrom="line">
                        <wp:align>top</wp:align>
                      </wp:positionV>
                      <wp:extent cx="152400" cy="350520"/>
                      <wp:effectExtent l="0" t="0" r="0" b="0"/>
                      <wp:wrapSquare wrapText="right"/>
                      <wp:docPr id="798" name="Frame444"/>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17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17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55" w:after="283"/>
              <w:jc w:val="left"/>
              <w:rPr/>
            </w:pPr>
            <w:r>
              <w:rPr>
                <w:spacing w:val="-2"/>
              </w:rPr>
              <w:t>FTI Consulting</w:t>
            </w:r>
            <w:r>
              <w:rPr/>
              <w:t xml:space="preserve"> </w:t>
            </w:r>
          </w:p>
          <w:p>
            <w:pPr>
              <w:pStyle w:val="TableContents"/>
              <w:bidi w:val="0"/>
              <w:spacing w:lineRule="atLeast" w:line="205" w:before="35" w:after="0"/>
              <w:ind w:left="410" w:right="0" w:hanging="0"/>
              <w:jc w:val="left"/>
              <w:rPr/>
            </w:pPr>
            <w:r>
              <w:rPr>
                <w:spacing w:val="-2"/>
              </w:rPr>
              <w:t>Retained by management as a general business advisor, including for compensation matters, and in connection with the preparation of the Pay Versus Performance disclosure in this proxy statement (FTI Consulting had relationships with certain officers of the Company during 2023)</w:t>
            </w:r>
            <w:r>
              <w:rPr/>
              <w:t xml:space="preserve"> </w:t>
            </w:r>
            <w:r>
              <mc:AlternateContent>
                <mc:Choice Requires="wps">
                  <w:drawing>
                    <wp:anchor behindDoc="0" distT="22225" distB="0" distL="107950" distR="0" simplePos="0" locked="0" layoutInCell="1" allowOverlap="1" relativeHeight="754">
                      <wp:simplePos x="0" y="0"/>
                      <wp:positionH relativeFrom="column">
                        <wp:align>left</wp:align>
                      </wp:positionH>
                      <wp:positionV relativeFrom="line">
                        <wp:align>top</wp:align>
                      </wp:positionV>
                      <wp:extent cx="152400" cy="350520"/>
                      <wp:effectExtent l="0" t="0" r="0" b="0"/>
                      <wp:wrapSquare wrapText="right"/>
                      <wp:docPr id="799" name="Frame445"/>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05"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8.5pt;mso-wrap-distance-right:0pt;mso-wrap-distance-top:1.75pt;mso-wrap-distance-bottom:0pt;margin-top:1.75pt;mso-position-vertical:top;mso-position-vertical-relative:text;margin-left:8.5pt;mso-position-horizontal:left;mso-position-horizontal-relative:text">
                      <v:textbox>
                        <w:txbxContent>
                          <w:p>
                            <w:pPr>
                              <w:pStyle w:val="TextBody"/>
                              <w:bidi w:val="0"/>
                              <w:spacing w:lineRule="atLeast" w:line="205"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12" w:space="0" w:color="83AD40"/>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Compensation Practices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4364"/>
        <w:gridCol w:w="109"/>
        <w:gridCol w:w="109"/>
        <w:gridCol w:w="109"/>
        <w:gridCol w:w="4459"/>
        <w:gridCol w:w="155"/>
      </w:tblGrid>
      <w:tr>
        <w:trPr/>
        <w:tc>
          <w:tcPr>
            <w:tcW w:w="4364" w:type="dxa"/>
            <w:tcBorders/>
            <w:vAlign w:val="center"/>
          </w:tcPr>
          <w:p>
            <w:pPr>
              <w:pStyle w:val="TableContents"/>
              <w:bidi w:val="0"/>
              <w:spacing w:before="0" w:after="0"/>
              <w:jc w:val="left"/>
              <w:rPr>
                <w:color w:val="1F2668"/>
              </w:rPr>
            </w:pPr>
            <w:r>
              <w:rPr>
                <w:color w:val="1F2668"/>
              </w:rPr>
              <w:t xml:space="preserve">WHAT WE DO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59" w:type="dxa"/>
            <w:tcBorders/>
            <w:vAlign w:val="center"/>
          </w:tcPr>
          <w:p>
            <w:pPr>
              <w:pStyle w:val="TableContents"/>
              <w:bidi w:val="0"/>
              <w:spacing w:before="0" w:after="0"/>
              <w:jc w:val="left"/>
              <w:rPr/>
            </w:pPr>
            <w:r>
              <w:rPr/>
              <w:t xml:space="preserve">WHAT WE DON’T DO </w:t>
            </w:r>
          </w:p>
        </w:tc>
        <w:tc>
          <w:tcPr>
            <w:tcW w:w="155" w:type="dxa"/>
            <w:tcBorders/>
            <w:vAlign w:val="center"/>
          </w:tcPr>
          <w:p>
            <w:pPr>
              <w:pStyle w:val="TableContents"/>
              <w:bidi w:val="0"/>
              <w:spacing w:before="0" w:after="283"/>
              <w:jc w:val="left"/>
              <w:rPr/>
            </w:pPr>
            <w:r>
              <w:rPr/>
              <w:t>​</w:t>
            </w:r>
          </w:p>
        </w:tc>
      </w:tr>
      <w:tr>
        <w:trPr/>
        <w:tc>
          <w:tcPr>
            <w:tcW w:w="4364" w:type="dxa"/>
            <w:tcBorders>
              <w:bottom w:val="single" w:sz="6" w:space="0" w:color="83AD40"/>
            </w:tcBorders>
            <w:tcMar>
              <w:bottom w:w="120" w:type="dxa"/>
            </w:tcMar>
            <w:vAlign w:val="center"/>
          </w:tcPr>
          <w:p>
            <w:pPr>
              <w:pStyle w:val="TableContents"/>
              <w:bidi w:val="0"/>
              <w:spacing w:lineRule="atLeast" w:line="220" w:before="0" w:after="0"/>
              <w:ind w:left="240" w:right="0" w:hanging="0"/>
              <w:jc w:val="left"/>
              <w:rPr/>
            </w:pPr>
            <w:r>
              <w:rPr>
                <w:spacing w:val="-2"/>
              </w:rPr>
              <w:t>Pay for performance and create alignment with stockholders</w:t>
            </w:r>
            <w:r>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152400" cy="175260"/>
                      <wp:effectExtent l="0" t="0" r="0" b="0"/>
                      <wp:wrapSquare wrapText="right"/>
                      <wp:docPr id="800" name="Frame44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801"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274" descr=""/>
                                                <pic:cNvPicPr>
                                                  <a:picLocks noChangeAspect="1" noChangeArrowheads="1"/>
                                                </pic:cNvPicPr>
                                              </pic:nvPicPr>
                                              <pic:blipFill>
                                                <a:blip r:embed="rId362"/>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80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274" descr=""/>
                                          <pic:cNvPicPr>
                                            <a:picLocks noChangeAspect="1" noChangeArrowheads="1"/>
                                          </pic:cNvPicPr>
                                        </pic:nvPicPr>
                                        <pic:blipFill>
                                          <a:blip r:embed="rId363"/>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73" w:after="0"/>
              <w:ind w:left="240" w:right="0" w:hanging="0"/>
              <w:jc w:val="left"/>
              <w:rPr/>
            </w:pPr>
            <w:r>
              <w:rPr>
                <w:spacing w:val="-2"/>
              </w:rPr>
              <w:t>Include robust hurdles in our incentive plans</w:t>
            </w:r>
            <w:r>
              <w:rPr/>
              <w:t xml:space="preserve"> </w:t>
            </w:r>
            <w:r>
              <mc:AlternateContent>
                <mc:Choice Requires="wps">
                  <w:drawing>
                    <wp:anchor behindDoc="0" distT="63500" distB="0" distL="0" distR="0" simplePos="0" locked="0" layoutInCell="1" allowOverlap="1" relativeHeight="245">
                      <wp:simplePos x="0" y="0"/>
                      <wp:positionH relativeFrom="column">
                        <wp:align>left</wp:align>
                      </wp:positionH>
                      <wp:positionV relativeFrom="line">
                        <wp:align>top</wp:align>
                      </wp:positionV>
                      <wp:extent cx="152400" cy="175260"/>
                      <wp:effectExtent l="0" t="0" r="0" b="0"/>
                      <wp:wrapSquare wrapText="right"/>
                      <wp:docPr id="803" name="Frame44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85725" cy="76200"/>
                                        <wp:effectExtent l="0" t="0" r="0" b="0"/>
                                        <wp:docPr id="80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Image275" descr=""/>
                                                <pic:cNvPicPr>
                                                  <a:picLocks noChangeAspect="1" noChangeArrowheads="1"/>
                                                </pic:cNvPicPr>
                                              </pic:nvPicPr>
                                              <pic:blipFill>
                                                <a:blip r:embed="rId364"/>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85725" cy="76200"/>
                                  <wp:effectExtent l="0" t="0" r="0" b="0"/>
                                  <wp:docPr id="80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275" descr=""/>
                                          <pic:cNvPicPr>
                                            <a:picLocks noChangeAspect="1" noChangeArrowheads="1"/>
                                          </pic:cNvPicPr>
                                        </pic:nvPicPr>
                                        <pic:blipFill>
                                          <a:blip r:embed="rId365"/>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Pay a vast majority of total compensation for our CEO and other named executive officers in equity</w:t>
            </w:r>
            <w:r>
              <w:rPr/>
              <w:t xml:space="preserve"> </w:t>
            </w:r>
            <w:r>
              <mc:AlternateContent>
                <mc:Choice Requires="wps">
                  <w:drawing>
                    <wp:anchor behindDoc="0" distT="63500" distB="0" distL="0" distR="0" simplePos="0" locked="0" layoutInCell="1" allowOverlap="1" relativeHeight="247">
                      <wp:simplePos x="0" y="0"/>
                      <wp:positionH relativeFrom="column">
                        <wp:align>left</wp:align>
                      </wp:positionH>
                      <wp:positionV relativeFrom="line">
                        <wp:align>top</wp:align>
                      </wp:positionV>
                      <wp:extent cx="152400" cy="175260"/>
                      <wp:effectExtent l="0" t="0" r="0" b="0"/>
                      <wp:wrapSquare wrapText="right"/>
                      <wp:docPr id="806" name="Frame44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80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Image276" descr=""/>
                                                <pic:cNvPicPr>
                                                  <a:picLocks noChangeAspect="1" noChangeArrowheads="1"/>
                                                </pic:cNvPicPr>
                                              </pic:nvPicPr>
                                              <pic:blipFill>
                                                <a:blip r:embed="rId366"/>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808"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276" descr=""/>
                                          <pic:cNvPicPr>
                                            <a:picLocks noChangeAspect="1" noChangeArrowheads="1"/>
                                          </pic:cNvPicPr>
                                        </pic:nvPicPr>
                                        <pic:blipFill>
                                          <a:blip r:embed="rId367"/>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Follow robust equity ownership guidelines for our directors and named executive officers</w:t>
            </w:r>
            <w:r>
              <w:rPr/>
              <w:t xml:space="preserve"> </w:t>
            </w:r>
            <w:r>
              <mc:AlternateContent>
                <mc:Choice Requires="wps">
                  <w:drawing>
                    <wp:anchor behindDoc="0" distT="63500" distB="0" distL="0" distR="0" simplePos="0" locked="0" layoutInCell="1" allowOverlap="1" relativeHeight="249">
                      <wp:simplePos x="0" y="0"/>
                      <wp:positionH relativeFrom="column">
                        <wp:align>left</wp:align>
                      </wp:positionH>
                      <wp:positionV relativeFrom="line">
                        <wp:align>top</wp:align>
                      </wp:positionV>
                      <wp:extent cx="152400" cy="175260"/>
                      <wp:effectExtent l="0" t="0" r="0" b="0"/>
                      <wp:wrapSquare wrapText="right"/>
                      <wp:docPr id="809" name="Frame44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81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277" descr=""/>
                                                <pic:cNvPicPr>
                                                  <a:picLocks noChangeAspect="1" noChangeArrowheads="1"/>
                                                </pic:cNvPicPr>
                                              </pic:nvPicPr>
                                              <pic:blipFill>
                                                <a:blip r:embed="rId368"/>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81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277" descr=""/>
                                          <pic:cNvPicPr>
                                            <a:picLocks noChangeAspect="1" noChangeArrowheads="1"/>
                                          </pic:cNvPicPr>
                                        </pic:nvPicPr>
                                        <pic:blipFill>
                                          <a:blip r:embed="rId369"/>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pPr>
            <w:r>
              <w:rPr>
                <w:spacing w:val="-2"/>
              </w:rPr>
              <w:t>Impose a clawback policy with respect to incentive payments</w:t>
            </w:r>
            <w:r>
              <w:rPr/>
              <w:t xml:space="preserve"> </w:t>
            </w:r>
            <w:r>
              <mc:AlternateContent>
                <mc:Choice Requires="wps">
                  <w:drawing>
                    <wp:anchor behindDoc="0" distT="63500" distB="0" distL="0" distR="0" simplePos="0" locked="0" layoutInCell="1" allowOverlap="1" relativeHeight="251">
                      <wp:simplePos x="0" y="0"/>
                      <wp:positionH relativeFrom="column">
                        <wp:align>left</wp:align>
                      </wp:positionH>
                      <wp:positionV relativeFrom="line">
                        <wp:align>top</wp:align>
                      </wp:positionV>
                      <wp:extent cx="152400" cy="175260"/>
                      <wp:effectExtent l="0" t="0" r="0" b="0"/>
                      <wp:wrapSquare wrapText="right"/>
                      <wp:docPr id="812" name="Frame45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81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 name="Image278" descr=""/>
                                                <pic:cNvPicPr>
                                                  <a:picLocks noChangeAspect="1" noChangeArrowheads="1"/>
                                                </pic:cNvPicPr>
                                              </pic:nvPicPr>
                                              <pic:blipFill>
                                                <a:blip r:embed="rId370"/>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814"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278" descr=""/>
                                          <pic:cNvPicPr>
                                            <a:picLocks noChangeAspect="1" noChangeArrowheads="1"/>
                                          </pic:cNvPicPr>
                                        </pic:nvPicPr>
                                        <pic:blipFill>
                                          <a:blip r:embed="rId371"/>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60" w:after="0"/>
              <w:ind w:left="240" w:right="0" w:hanging="0"/>
              <w:jc w:val="left"/>
              <w:rPr>
                <w:spacing w:val="-2"/>
              </w:rPr>
            </w:pPr>
            <w:r>
              <w:rPr>
                <w:spacing w:val="-2"/>
              </w:rPr>
              <w:t xml:space="preserve">Require a double trigger for cash severance and accelerated vesting in connection with a change in control </w:t>
            </w:r>
            <w:r>
              <mc:AlternateContent>
                <mc:Choice Requires="wps">
                  <w:drawing>
                    <wp:anchor behindDoc="0" distT="63500" distB="0" distL="0" distR="0" simplePos="0" locked="0" layoutInCell="1" allowOverlap="1" relativeHeight="252">
                      <wp:simplePos x="0" y="0"/>
                      <wp:positionH relativeFrom="column">
                        <wp:align>left</wp:align>
                      </wp:positionH>
                      <wp:positionV relativeFrom="line">
                        <wp:align>top</wp:align>
                      </wp:positionV>
                      <wp:extent cx="152400" cy="175260"/>
                      <wp:effectExtent l="0" t="0" r="0" b="0"/>
                      <wp:wrapSquare wrapText="right"/>
                      <wp:docPr id="815" name="Frame45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85725" cy="76200"/>
                                        <wp:effectExtent l="0" t="0" r="0" b="0"/>
                                        <wp:docPr id="816"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279" descr=""/>
                                                <pic:cNvPicPr>
                                                  <a:picLocks noChangeAspect="1" noChangeArrowheads="1"/>
                                                </pic:cNvPicPr>
                                              </pic:nvPicPr>
                                              <pic:blipFill>
                                                <a:blip r:embed="rId372"/>
                                                <a:stretch>
                                                  <a:fillRect/>
                                                </a:stretch>
                                              </pic:blipFill>
                                              <pic:spPr bwMode="auto">
                                                <a:xfrm>
                                                  <a:off x="0" y="0"/>
                                                  <a:ext cx="85725" cy="762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85725" cy="76200"/>
                                  <wp:effectExtent l="0" t="0" r="0" b="0"/>
                                  <wp:docPr id="81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 name="Image279" descr=""/>
                                          <pic:cNvPicPr>
                                            <a:picLocks noChangeAspect="1" noChangeArrowheads="1"/>
                                          </pic:cNvPicPr>
                                        </pic:nvPicPr>
                                        <pic:blipFill>
                                          <a:blip r:embed="rId373"/>
                                          <a:stretch>
                                            <a:fillRect/>
                                          </a:stretch>
                                        </pic:blipFill>
                                        <pic:spPr bwMode="auto">
                                          <a:xfrm>
                                            <a:off x="0" y="0"/>
                                            <a:ext cx="85725" cy="762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109" w:type="dxa"/>
            <w:tcBorders>
              <w:bottom w:val="single" w:sz="2" w:space="0" w:color="83AD40"/>
            </w:tcBorders>
            <w:shd w:fill="83AD40" w:val="clear"/>
            <w:tcMar>
              <w:bottom w:w="28" w:type="dxa"/>
            </w:tcMar>
            <w:vAlign w:val="center"/>
          </w:tcPr>
          <w:p>
            <w:pPr>
              <w:pStyle w:val="TableContents"/>
              <w:bidi w:val="0"/>
              <w:spacing w:before="0" w:after="283"/>
              <w:jc w:val="left"/>
              <w:rPr/>
            </w:pPr>
            <w:r>
              <w:rPr/>
              <w:t>​</w:t>
            </w:r>
          </w:p>
        </w:tc>
        <w:tc>
          <w:tcPr>
            <w:tcW w:w="109" w:type="dxa"/>
            <w:tcBorders>
              <w:bottom w:val="single" w:sz="6" w:space="0" w:color="83AD40"/>
            </w:tcBorders>
            <w:tcMar>
              <w:bottom w:w="28" w:type="dxa"/>
            </w:tcMar>
            <w:vAlign w:val="center"/>
          </w:tcPr>
          <w:p>
            <w:pPr>
              <w:pStyle w:val="TableContents"/>
              <w:bidi w:val="0"/>
              <w:spacing w:before="0" w:after="283"/>
              <w:jc w:val="left"/>
              <w:rPr/>
            </w:pPr>
            <w:r>
              <w:rPr/>
              <w:t>​</w:t>
            </w:r>
          </w:p>
        </w:tc>
        <w:tc>
          <w:tcPr>
            <w:tcW w:w="4459" w:type="dxa"/>
            <w:tcBorders>
              <w:bottom w:val="single" w:sz="6" w:space="0" w:color="83AD40"/>
            </w:tcBorders>
            <w:tcMar>
              <w:bottom w:w="120" w:type="dxa"/>
            </w:tcMar>
            <w:vAlign w:val="center"/>
          </w:tcPr>
          <w:p>
            <w:pPr>
              <w:pStyle w:val="TableContents"/>
              <w:bidi w:val="0"/>
              <w:spacing w:lineRule="atLeast" w:line="220" w:before="0" w:after="0"/>
              <w:ind w:left="240" w:right="0" w:hanging="0"/>
              <w:jc w:val="left"/>
              <w:rPr/>
            </w:pPr>
            <w:r>
              <w:rPr>
                <w:spacing w:val="-2"/>
              </w:rPr>
              <w:t>No dividends or distributions paid on unearned equity awards subject to performance-based vesting</w:t>
            </w:r>
            <w:r>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152400" cy="175260"/>
                      <wp:effectExtent l="0" t="0" r="0" b="0"/>
                      <wp:wrapSquare wrapText="right"/>
                      <wp:docPr id="818" name="Frame45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81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280" descr=""/>
                                                <pic:cNvPicPr>
                                                  <a:picLocks noChangeAspect="1" noChangeArrowheads="1"/>
                                                </pic:cNvPicPr>
                                              </pic:nvPicPr>
                                              <pic:blipFill>
                                                <a:blip r:embed="rId374"/>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82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280" descr=""/>
                                          <pic:cNvPicPr>
                                            <a:picLocks noChangeAspect="1" noChangeArrowheads="1"/>
                                          </pic:cNvPicPr>
                                        </pic:nvPicPr>
                                        <pic:blipFill>
                                          <a:blip r:embed="rId375"/>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240" w:right="0" w:hanging="0"/>
              <w:jc w:val="left"/>
              <w:rPr/>
            </w:pPr>
            <w:r>
              <w:rPr>
                <w:spacing w:val="-2"/>
              </w:rPr>
              <w:t>No signing bonuses for NEOs upon entering into employment agreements</w:t>
            </w:r>
            <w:r>
              <w:rPr/>
              <w:t xml:space="preserve"> </w:t>
            </w:r>
            <w:r>
              <mc:AlternateContent>
                <mc:Choice Requires="wps">
                  <w:drawing>
                    <wp:anchor behindDoc="0" distT="63500" distB="0" distL="0" distR="0" simplePos="0" locked="0" layoutInCell="1" allowOverlap="1" relativeHeight="219">
                      <wp:simplePos x="0" y="0"/>
                      <wp:positionH relativeFrom="column">
                        <wp:align>left</wp:align>
                      </wp:positionH>
                      <wp:positionV relativeFrom="line">
                        <wp:align>top</wp:align>
                      </wp:positionV>
                      <wp:extent cx="152400" cy="175260"/>
                      <wp:effectExtent l="0" t="0" r="0" b="0"/>
                      <wp:wrapSquare wrapText="right"/>
                      <wp:docPr id="821" name="Frame45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822"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 name="Image281" descr=""/>
                                                <pic:cNvPicPr>
                                                  <a:picLocks noChangeAspect="1" noChangeArrowheads="1"/>
                                                </pic:cNvPicPr>
                                              </pic:nvPicPr>
                                              <pic:blipFill>
                                                <a:blip r:embed="rId376"/>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823"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281" descr=""/>
                                          <pic:cNvPicPr>
                                            <a:picLocks noChangeAspect="1" noChangeArrowheads="1"/>
                                          </pic:cNvPicPr>
                                        </pic:nvPicPr>
                                        <pic:blipFill>
                                          <a:blip r:embed="rId377"/>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3" w:after="0"/>
              <w:ind w:left="240" w:right="0" w:hanging="0"/>
              <w:jc w:val="left"/>
              <w:rPr/>
            </w:pPr>
            <w:r>
              <w:rPr>
                <w:spacing w:val="-2"/>
              </w:rPr>
              <w:t>No excise tax gross-up provisions</w:t>
            </w:r>
            <w:r>
              <w:rPr/>
              <w:t xml:space="preserve"> </w:t>
            </w:r>
            <w:r>
              <mc:AlternateContent>
                <mc:Choice Requires="wps">
                  <w:drawing>
                    <wp:anchor behindDoc="0" distT="63500" distB="0" distL="0" distR="0" simplePos="0" locked="0" layoutInCell="1" allowOverlap="1" relativeHeight="206">
                      <wp:simplePos x="0" y="0"/>
                      <wp:positionH relativeFrom="column">
                        <wp:align>left</wp:align>
                      </wp:positionH>
                      <wp:positionV relativeFrom="line">
                        <wp:align>top</wp:align>
                      </wp:positionV>
                      <wp:extent cx="152400" cy="175260"/>
                      <wp:effectExtent l="0" t="0" r="0" b="0"/>
                      <wp:wrapSquare wrapText="right"/>
                      <wp:docPr id="824" name="Frame45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66675" cy="66675"/>
                                        <wp:effectExtent l="0" t="0" r="0" b="0"/>
                                        <wp:docPr id="82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282" descr=""/>
                                                <pic:cNvPicPr>
                                                  <a:picLocks noChangeAspect="1" noChangeArrowheads="1"/>
                                                </pic:cNvPicPr>
                                              </pic:nvPicPr>
                                              <pic:blipFill>
                                                <a:blip r:embed="rId378"/>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66675" cy="66675"/>
                                  <wp:effectExtent l="0" t="0" r="0" b="0"/>
                                  <wp:docPr id="82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282" descr=""/>
                                          <pic:cNvPicPr>
                                            <a:picLocks noChangeAspect="1" noChangeArrowheads="1"/>
                                          </pic:cNvPicPr>
                                        </pic:nvPicPr>
                                        <pic:blipFill>
                                          <a:blip r:embed="rId379"/>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3" w:after="0"/>
              <w:ind w:left="240" w:right="0" w:hanging="0"/>
              <w:jc w:val="left"/>
              <w:rPr/>
            </w:pPr>
            <w:r>
              <w:rPr>
                <w:spacing w:val="-2"/>
              </w:rPr>
              <w:t>No repricing of stock options</w:t>
            </w:r>
            <w:r>
              <w:rPr/>
              <w:t xml:space="preserve"> </w:t>
            </w:r>
            <w:r>
              <mc:AlternateContent>
                <mc:Choice Requires="wps">
                  <w:drawing>
                    <wp:anchor behindDoc="0" distT="63500" distB="0" distL="0" distR="0" simplePos="0" locked="0" layoutInCell="1" allowOverlap="1" relativeHeight="208">
                      <wp:simplePos x="0" y="0"/>
                      <wp:positionH relativeFrom="column">
                        <wp:align>left</wp:align>
                      </wp:positionH>
                      <wp:positionV relativeFrom="line">
                        <wp:align>top</wp:align>
                      </wp:positionV>
                      <wp:extent cx="152400" cy="175260"/>
                      <wp:effectExtent l="0" t="0" r="0" b="0"/>
                      <wp:wrapSquare wrapText="right"/>
                      <wp:docPr id="827" name="Frame45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66675" cy="66675"/>
                                        <wp:effectExtent l="0" t="0" r="0" b="0"/>
                                        <wp:docPr id="828"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283" descr=""/>
                                                <pic:cNvPicPr>
                                                  <a:picLocks noChangeAspect="1" noChangeArrowheads="1"/>
                                                </pic:cNvPicPr>
                                              </pic:nvPicPr>
                                              <pic:blipFill>
                                                <a:blip r:embed="rId380"/>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66675" cy="66675"/>
                                  <wp:effectExtent l="0" t="0" r="0" b="0"/>
                                  <wp:docPr id="829"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283" descr=""/>
                                          <pic:cNvPicPr>
                                            <a:picLocks noChangeAspect="1" noChangeArrowheads="1"/>
                                          </pic:cNvPicPr>
                                        </pic:nvPicPr>
                                        <pic:blipFill>
                                          <a:blip r:embed="rId381"/>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240" w:right="0" w:hanging="0"/>
              <w:jc w:val="left"/>
              <w:rPr/>
            </w:pPr>
            <w:r>
              <w:rPr>
                <w:spacing w:val="-2"/>
              </w:rPr>
              <w:t>No single trigger cash severance or accelerated vesting in connection with a change in control</w:t>
            </w:r>
            <w:r>
              <w:rPr/>
              <w:t xml:space="preserve"> </w:t>
            </w:r>
            <w:r>
              <mc:AlternateContent>
                <mc:Choice Requires="wps">
                  <w:drawing>
                    <wp:anchor behindDoc="0" distT="63500" distB="0" distL="0" distR="0" simplePos="0" locked="0" layoutInCell="1" allowOverlap="1" relativeHeight="210">
                      <wp:simplePos x="0" y="0"/>
                      <wp:positionH relativeFrom="column">
                        <wp:align>left</wp:align>
                      </wp:positionH>
                      <wp:positionV relativeFrom="line">
                        <wp:align>top</wp:align>
                      </wp:positionV>
                      <wp:extent cx="152400" cy="175260"/>
                      <wp:effectExtent l="0" t="0" r="0" b="0"/>
                      <wp:wrapSquare wrapText="right"/>
                      <wp:docPr id="830" name="Frame45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220" w:before="0" w:after="283"/>
                                    <w:jc w:val="left"/>
                                    <w:rPr/>
                                  </w:pPr>
                                  <w:r>
                                    <w:rPr/>
                                    <w:drawing>
                                      <wp:inline distT="0" distB="0" distL="0" distR="0">
                                        <wp:extent cx="66675" cy="66675"/>
                                        <wp:effectExtent l="0" t="0" r="0" b="0"/>
                                        <wp:docPr id="831"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284" descr=""/>
                                                <pic:cNvPicPr>
                                                  <a:picLocks noChangeAspect="1" noChangeArrowheads="1"/>
                                                </pic:cNvPicPr>
                                              </pic:nvPicPr>
                                              <pic:blipFill>
                                                <a:blip r:embed="rId382"/>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drawing>
                                <wp:inline distT="0" distB="0" distL="0" distR="0">
                                  <wp:extent cx="66675" cy="66675"/>
                                  <wp:effectExtent l="0" t="0" r="0" b="0"/>
                                  <wp:docPr id="83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Image284" descr=""/>
                                          <pic:cNvPicPr>
                                            <a:picLocks noChangeAspect="1" noChangeArrowheads="1"/>
                                          </pic:cNvPicPr>
                                        </pic:nvPicPr>
                                        <pic:blipFill>
                                          <a:blip r:embed="rId383"/>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53" w:after="0"/>
              <w:ind w:left="240" w:right="0" w:hanging="0"/>
              <w:jc w:val="left"/>
              <w:rPr/>
            </w:pPr>
            <w:r>
              <w:rPr>
                <w:spacing w:val="-2"/>
              </w:rPr>
              <w:t>Don’t allow directors or officers to hedge our securities</w:t>
            </w:r>
            <w:r>
              <w:rPr/>
              <w:t xml:space="preserve"> </w:t>
            </w:r>
            <w:r>
              <mc:AlternateContent>
                <mc:Choice Requires="wps">
                  <w:drawing>
                    <wp:anchor behindDoc="0" distT="63500" distB="0" distL="0" distR="0" simplePos="0" locked="0" layoutInCell="1" allowOverlap="1" relativeHeight="212">
                      <wp:simplePos x="0" y="0"/>
                      <wp:positionH relativeFrom="column">
                        <wp:align>left</wp:align>
                      </wp:positionH>
                      <wp:positionV relativeFrom="line">
                        <wp:align>top</wp:align>
                      </wp:positionV>
                      <wp:extent cx="152400" cy="175260"/>
                      <wp:effectExtent l="0" t="0" r="0" b="0"/>
                      <wp:wrapSquare wrapText="right"/>
                      <wp:docPr id="833" name="Frame45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extBody"/>
                                    <w:bidi w:val="0"/>
                                    <w:spacing w:lineRule="atLeast" w:line="180" w:before="0" w:after="283"/>
                                    <w:jc w:val="left"/>
                                    <w:rPr/>
                                  </w:pPr>
                                  <w:r>
                                    <w:rPr/>
                                    <w:drawing>
                                      <wp:inline distT="0" distB="0" distL="0" distR="0">
                                        <wp:extent cx="66675" cy="66675"/>
                                        <wp:effectExtent l="0" t="0" r="0" b="0"/>
                                        <wp:docPr id="83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285" descr=""/>
                                                <pic:cNvPicPr>
                                                  <a:picLocks noChangeAspect="1" noChangeArrowheads="1"/>
                                                </pic:cNvPicPr>
                                              </pic:nvPicPr>
                                              <pic:blipFill>
                                                <a:blip r:embed="rId384"/>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3.8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drawing>
                                <wp:inline distT="0" distB="0" distL="0" distR="0">
                                  <wp:extent cx="66675" cy="66675"/>
                                  <wp:effectExtent l="0" t="0" r="0" b="0"/>
                                  <wp:docPr id="83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Image285" descr=""/>
                                          <pic:cNvPicPr>
                                            <a:picLocks noChangeAspect="1" noChangeArrowheads="1"/>
                                          </pic:cNvPicPr>
                                        </pic:nvPicPr>
                                        <pic:blipFill>
                                          <a:blip r:embed="rId385"/>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bottom w:val="single" w:sz="6" w:space="0" w:color="83AD40"/>
            </w:tcBorders>
            <w:tcMar>
              <w:bottom w:w="28" w:type="dxa"/>
            </w:tcMar>
            <w:vAlign w:val="center"/>
          </w:tcPr>
          <w:p>
            <w:pPr>
              <w:pStyle w:val="TableContents"/>
              <w:bidi w:val="0"/>
              <w:spacing w:before="0" w:after="283"/>
              <w:jc w:val="left"/>
              <w:rPr/>
            </w:pPr>
            <w:r>
              <w:rPr/>
              <w:t>​</w:t>
            </w:r>
          </w:p>
        </w:tc>
      </w:tr>
    </w:tbl>
    <w:p>
      <w:pPr>
        <w:pStyle w:val="TextBody"/>
        <w:bidi w:val="0"/>
        <w:spacing w:lineRule="atLeast" w:line="260" w:before="230"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Peer Group Benchmarking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2023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2023, but rather to confirm that our Chief Executive Officer’s total compensation for 2023 was within an appropriate range of the total compensation, considering relative size and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Committee reviewed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However, among the top 15 New York City real estate companies—in terms of Manhattan office-space ownership—only a handful of those companies, including SL Green, are public.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560" w:after="154"/>
        <w:ind w:left="90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With respect to size, we ranked at or above the median of our selected peers with respect to total enterprise value and total revenue as of December 31, 2023. The following companies were included in the peer group that the Committee reviewed: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Peer Group</w:t>
      </w:r>
      <w:r>
        <w:rPr>
          <w:rFonts w:ascii="Arial;Helvetica;sans-serif" w:hAnsi="Arial;Helvetica;sans-serif"/>
          <w:b/>
          <w:i w:val="false"/>
          <w:caps w:val="false"/>
          <w:smallCaps w:val="false"/>
          <w:color w:val="000000"/>
          <w:spacing w:val="4"/>
          <w:sz w:val="22"/>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6305550" cy="2428875"/>
            <wp:effectExtent l="0" t="0" r="0" b="0"/>
            <wp:docPr id="83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286" descr=""/>
                    <pic:cNvPicPr>
                      <a:picLocks noChangeAspect="1" noChangeArrowheads="1"/>
                    </pic:cNvPicPr>
                  </pic:nvPicPr>
                  <pic:blipFill>
                    <a:blip r:embed="rId386"/>
                    <a:stretch>
                      <a:fillRect/>
                    </a:stretch>
                  </pic:blipFill>
                  <pic:spPr bwMode="auto">
                    <a:xfrm>
                      <a:off x="0" y="0"/>
                      <a:ext cx="6305550"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96"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Source: S&amp;P Capital IQ. Data as of December 31, 2023.</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the market for talent and compensation, the Committee views SLG as most comparable to real estate companies and companies in complex financial services-related industries such as top performing hedge funds, international investors, large private firms and others that may have equal or greater financial resources, including access to cost-efficient capital. Many of these most direct competitors are private companies, however, and are not required to publicly disclose their compensation arrangements, though the Committee believes that the top real estate principals of these non-REIT companies typically receive substantially higher compensation than their counterparts at public REITs. Nonetheless, to ensure the rigor of our compensation program benchmarking, we have limited our peer group to companies for which there is sufficient publicly available information to thoroughly and completely evaluate the comparability of any given peer company.</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124"/>
        <w:gridCol w:w="9027"/>
        <w:gridCol w:w="154"/>
      </w:tblGrid>
      <w:tr>
        <w:trPr/>
        <w:tc>
          <w:tcPr>
            <w:tcW w:w="124" w:type="dxa"/>
            <w:tcBorders/>
            <w:shd w:fill="E9F9D8" w:val="clear"/>
            <w:vAlign w:val="center"/>
          </w:tcPr>
          <w:p>
            <w:pPr>
              <w:pStyle w:val="TableContents"/>
              <w:bidi w:val="0"/>
              <w:spacing w:before="0" w:after="283"/>
              <w:jc w:val="left"/>
              <w:rPr/>
            </w:pPr>
            <w:r>
              <w:rPr/>
              <w:t>​</w:t>
            </w:r>
          </w:p>
        </w:tc>
        <w:tc>
          <w:tcPr>
            <w:tcW w:w="9027" w:type="dxa"/>
            <w:tcBorders/>
            <w:shd w:fill="E9F9D8" w:val="clear"/>
            <w:vAlign w:val="center"/>
          </w:tcPr>
          <w:p>
            <w:pPr>
              <w:pStyle w:val="TableContents"/>
              <w:bidi w:val="0"/>
              <w:spacing w:lineRule="atLeast" w:line="220" w:before="0" w:after="0"/>
              <w:jc w:val="left"/>
              <w:rPr/>
            </w:pPr>
            <w:r>
              <w:rPr>
                <w:spacing w:val="-2"/>
              </w:rPr>
              <w:t>Given limited publicly available information on the private companies with which we most directly compete for real estate talent, we have elected to include only public REITs in our compensation peer group.</w:t>
            </w:r>
            <w:r>
              <w:rPr/>
              <w:t xml:space="preserve"> </w:t>
            </w:r>
          </w:p>
        </w:tc>
        <w:tc>
          <w:tcPr>
            <w:tcW w:w="154" w:type="dxa"/>
            <w:tcBorders/>
            <w:shd w:fill="E9F9D8" w:val="clear"/>
            <w:vAlign w:val="center"/>
          </w:tcPr>
          <w:p>
            <w:pPr>
              <w:pStyle w:val="TableContents"/>
              <w:bidi w:val="0"/>
              <w:spacing w:before="0" w:after="283"/>
              <w:jc w:val="left"/>
              <w:rPr/>
            </w:pPr>
            <w:r>
              <w:rPr/>
              <w:t>​</w:t>
            </w:r>
          </w:p>
        </w:tc>
      </w:tr>
    </w:tbl>
    <w:p>
      <w:pPr>
        <w:pStyle w:val="TextBody"/>
        <w:bidi w:val="0"/>
        <w:spacing w:lineRule="atLeast" w:line="260" w:before="358" w:after="283"/>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Analysis of Risk Associated with Our Executive Compensation Plans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setting compensation, we consider the risks to our stockholders and to achievement of our goals that may be inherent in the executive compensation program. We concluded that it is not reasonably likely that our compensation policies and practices will have a material adverse effect on 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reaching our conclusion, we considered the following aspects of our executive compensation plans and policies among others: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78"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evaluate performance based upon the achievement of a variety of business objectives and goals.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3030" distB="0" distL="0" distR="0" simplePos="0" locked="0" layoutInCell="1" allowOverlap="1" relativeHeight="755">
                <wp:simplePos x="0" y="0"/>
                <wp:positionH relativeFrom="column">
                  <wp:align>left</wp:align>
                </wp:positionH>
                <wp:positionV relativeFrom="line">
                  <wp:align>top</wp:align>
                </wp:positionV>
                <wp:extent cx="127000" cy="350520"/>
                <wp:effectExtent l="0" t="0" r="0" b="0"/>
                <wp:wrapSquare wrapText="right"/>
                <wp:docPr id="837"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9pt;mso-wrap-distance-bottom:0pt;margin-top:8.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58"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use a balanced equity compensation mix comprised of performance-based and time-based full value equity awards. This approach lessens the likelihood that executives will take unreasonable risks to keep their equity awards “in-the-money,” as may be the case with equity compensation programs that rely solely on leveraged market-based equity compensation vehicles such as stock options.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6830" distB="0" distL="0" distR="0" simplePos="0" locked="0" layoutInCell="1" allowOverlap="1" relativeHeight="756">
                <wp:simplePos x="0" y="0"/>
                <wp:positionH relativeFrom="column">
                  <wp:align>left</wp:align>
                </wp:positionH>
                <wp:positionV relativeFrom="line">
                  <wp:align>top</wp:align>
                </wp:positionV>
                <wp:extent cx="127000" cy="350520"/>
                <wp:effectExtent l="0" t="0" r="0" b="0"/>
                <wp:wrapSquare wrapText="right"/>
                <wp:docPr id="838"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58"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provide a significant portion of incentive compensation in the form of long-term incentive awards. The amounts that ultimately may be earned are tied to how we perform over a multi-year period, which focuses management on sustaining our long-term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6830" distB="0" distL="0" distR="0" simplePos="0" locked="0" layoutInCell="1" allowOverlap="1" relativeHeight="757">
                <wp:simplePos x="0" y="0"/>
                <wp:positionH relativeFrom="column">
                  <wp:align>left</wp:align>
                </wp:positionH>
                <wp:positionV relativeFrom="line">
                  <wp:align>top</wp:align>
                </wp:positionV>
                <wp:extent cx="127000" cy="350520"/>
                <wp:effectExtent l="0" t="0" r="0" b="0"/>
                <wp:wrapSquare wrapText="right"/>
                <wp:docPr id="839"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58"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structure payouts under our performance-based awards based on achieving a minimum level of performance, so that some compensation is awarded at levels below full target achievement rather than an “all-or-nothing” approach.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6830" distB="0" distL="0" distR="0" simplePos="0" locked="0" layoutInCell="1" allowOverlap="1" relativeHeight="758">
                <wp:simplePos x="0" y="0"/>
                <wp:positionH relativeFrom="column">
                  <wp:align>left</wp:align>
                </wp:positionH>
                <wp:positionV relativeFrom="line">
                  <wp:align>top</wp:align>
                </wp:positionV>
                <wp:extent cx="127000" cy="350520"/>
                <wp:effectExtent l="0" t="0" r="0" b="0"/>
                <wp:wrapSquare wrapText="right"/>
                <wp:docPr id="840"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58"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provide a significant portion of each executive’s annual compensation in the form of equity-based compensation. In addition, executives are required to maintain sizable holdings of equity in the Company under the terms of our equity ownership guidelines. This practice aligns an appropriate portion of our executives’ personal wealth to our long-term performance.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6830" distB="0" distL="0" distR="0" simplePos="0" locked="0" layoutInCell="1" allowOverlap="1" relativeHeight="759">
                <wp:simplePos x="0" y="0"/>
                <wp:positionH relativeFrom="column">
                  <wp:align>left</wp:align>
                </wp:positionH>
                <wp:positionV relativeFrom="line">
                  <wp:align>top</wp:align>
                </wp:positionV>
                <wp:extent cx="127000" cy="350520"/>
                <wp:effectExtent l="0" t="0" r="0" b="0"/>
                <wp:wrapSquare wrapText="right"/>
                <wp:docPr id="841"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adopted a policy for recoupment of incentive payments made to our executives, including our named executive officers, which requires recovery of incentive-based compensation that is earned, granted or vested based on the achievement of financial reporting measures in the event of a required accounting restatement.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760">
                <wp:simplePos x="0" y="0"/>
                <wp:positionH relativeFrom="column">
                  <wp:align>left</wp:align>
                </wp:positionH>
                <wp:positionV relativeFrom="line">
                  <wp:posOffset>635</wp:posOffset>
                </wp:positionV>
                <wp:extent cx="127000" cy="350520"/>
                <wp:effectExtent l="0" t="0" r="0" b="0"/>
                <wp:wrapSquare wrapText="right"/>
                <wp:docPr id="842"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Accordingly, although a significant portion of our executives’ compensation is performance-based and “at-risk,” we believe our executive compensation programs are appropriately structured and do not pose a material risk to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Executive and Director Equity Ownership Guidelines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furtherance of the Committee’s ongoing efforts to foster an ownership culture among our senior leadership team, we adopted equity ownership guidelines for our named executive officers and non-employee directors, as set forth below:</w:t>
      </w:r>
      <w:r>
        <w:rPr>
          <w:rFonts w:ascii="Arial;Helvetica;sans-serif" w:hAnsi="Arial;Helvetica;sans-serif"/>
          <w:b w:val="false"/>
          <w:i w:val="false"/>
          <w:caps w:val="false"/>
          <w:smallCaps w:val="false"/>
          <w:color w:val="000000"/>
          <w:spacing w:val="4"/>
          <w:sz w:val="18"/>
        </w:rPr>
        <w:t xml:space="preserve"> </w:t>
      </w:r>
    </w:p>
    <w:tbl>
      <w:tblPr>
        <w:tblW w:w="6316" w:type="dxa"/>
        <w:jc w:val="left"/>
        <w:tblInd w:w="900" w:type="dxa"/>
        <w:tblLayout w:type="fixed"/>
        <w:tblCellMar>
          <w:top w:w="0" w:type="dxa"/>
          <w:left w:w="0" w:type="dxa"/>
          <w:bottom w:w="63" w:type="dxa"/>
          <w:right w:w="0" w:type="dxa"/>
        </w:tblCellMar>
      </w:tblPr>
      <w:tblGrid>
        <w:gridCol w:w="3255"/>
        <w:gridCol w:w="109"/>
        <w:gridCol w:w="109"/>
        <w:gridCol w:w="435"/>
        <w:gridCol w:w="435"/>
        <w:gridCol w:w="1381"/>
        <w:gridCol w:w="438"/>
        <w:gridCol w:w="154"/>
      </w:tblGrid>
      <w:tr>
        <w:trPr/>
        <w:tc>
          <w:tcPr>
            <w:tcW w:w="3255" w:type="dxa"/>
            <w:tcBorders>
              <w:bottom w:val="single" w:sz="2" w:space="0" w:color="1F2668"/>
            </w:tcBorders>
            <w:vAlign w:val="center"/>
          </w:tcPr>
          <w:p>
            <w:pPr>
              <w:pStyle w:val="TableContents"/>
              <w:bidi w:val="0"/>
              <w:spacing w:before="0" w:after="283"/>
              <w:jc w:val="left"/>
              <w:rPr>
                <w:spacing w:val="2"/>
              </w:rPr>
            </w:pPr>
            <w:r>
              <w:rPr>
                <w:spacing w:val="2"/>
              </w:rPr>
              <w:t xml:space="preserve">Named Executive Officers and </w:t>
              <w:br/>
              <w:t xml:space="preserve">Non-Employee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89" w:type="dxa"/>
            <w:gridSpan w:val="4"/>
            <w:tcBorders>
              <w:bottom w:val="single" w:sz="2" w:space="0" w:color="1F2668"/>
            </w:tcBorders>
            <w:vAlign w:val="center"/>
          </w:tcPr>
          <w:p>
            <w:pPr>
              <w:pStyle w:val="TableContents"/>
              <w:bidi w:val="0"/>
              <w:spacing w:before="0" w:after="0"/>
              <w:jc w:val="right"/>
              <w:rPr/>
            </w:pPr>
            <w:r>
              <w:rPr>
                <w:spacing w:val="2"/>
              </w:rPr>
              <w:t xml:space="preserve">Multiple of Base Salary or </w:t>
              <w:br/>
              <w:t>Annual Cash Retainer</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Chief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5" w:type="dxa"/>
            <w:tcBorders>
              <w:bottom w:val="single" w:sz="2" w:space="0" w:color="4B5088"/>
            </w:tcBorders>
            <w:tcMar>
              <w:bottom w:w="28" w:type="dxa"/>
            </w:tcMar>
            <w:vAlign w:val="center"/>
          </w:tcPr>
          <w:p>
            <w:pPr>
              <w:pStyle w:val="TableContents"/>
              <w:bidi w:val="0"/>
              <w:spacing w:before="0" w:after="283"/>
              <w:jc w:val="left"/>
              <w:rPr/>
            </w:pPr>
            <w:r>
              <w:rPr/>
              <w:t>​</w:t>
            </w:r>
          </w:p>
        </w:tc>
        <w:tc>
          <w:tcPr>
            <w:tcW w:w="435" w:type="dxa"/>
            <w:tcBorders>
              <w:bottom w:val="single" w:sz="2" w:space="0" w:color="4B5088"/>
            </w:tcBorders>
            <w:tcMar>
              <w:bottom w:w="70" w:type="dxa"/>
            </w:tcMar>
            <w:vAlign w:val="center"/>
          </w:tcPr>
          <w:p>
            <w:pPr>
              <w:pStyle w:val="TableContents"/>
              <w:bidi w:val="0"/>
              <w:spacing w:before="0" w:after="283"/>
              <w:jc w:val="right"/>
              <w:rPr/>
            </w:pPr>
            <w:r>
              <w:rPr/>
              <w:t>​</w:t>
            </w:r>
          </w:p>
        </w:tc>
        <w:tc>
          <w:tcPr>
            <w:tcW w:w="1381" w:type="dxa"/>
            <w:tcBorders>
              <w:bottom w:val="single" w:sz="2" w:space="0" w:color="4B5088"/>
            </w:tcBorders>
            <w:tcMar>
              <w:bottom w:w="70" w:type="dxa"/>
            </w:tcMar>
            <w:vAlign w:val="center"/>
          </w:tcPr>
          <w:p>
            <w:pPr>
              <w:pStyle w:val="TableContents"/>
              <w:bidi w:val="0"/>
              <w:spacing w:before="0" w:after="283"/>
              <w:jc w:val="right"/>
              <w:rPr/>
            </w:pPr>
            <w:r>
              <w:rPr/>
              <w:t>8x</w:t>
            </w:r>
          </w:p>
        </w:tc>
        <w:tc>
          <w:tcPr>
            <w:tcW w:w="43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Other 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5" w:type="dxa"/>
            <w:tcBorders>
              <w:bottom w:val="single" w:sz="2" w:space="0" w:color="4B5088"/>
            </w:tcBorders>
            <w:tcMar>
              <w:bottom w:w="28" w:type="dxa"/>
            </w:tcMar>
            <w:vAlign w:val="center"/>
          </w:tcPr>
          <w:p>
            <w:pPr>
              <w:pStyle w:val="TableContents"/>
              <w:bidi w:val="0"/>
              <w:spacing w:before="0" w:after="283"/>
              <w:jc w:val="left"/>
              <w:rPr/>
            </w:pPr>
            <w:r>
              <w:rPr/>
              <w:t>​</w:t>
            </w:r>
          </w:p>
        </w:tc>
        <w:tc>
          <w:tcPr>
            <w:tcW w:w="435" w:type="dxa"/>
            <w:tcBorders>
              <w:bottom w:val="single" w:sz="2" w:space="0" w:color="4B5088"/>
            </w:tcBorders>
            <w:tcMar>
              <w:bottom w:w="70" w:type="dxa"/>
            </w:tcMar>
            <w:vAlign w:val="center"/>
          </w:tcPr>
          <w:p>
            <w:pPr>
              <w:pStyle w:val="TableContents"/>
              <w:bidi w:val="0"/>
              <w:spacing w:before="0" w:after="283"/>
              <w:jc w:val="right"/>
              <w:rPr/>
            </w:pPr>
            <w:r>
              <w:rPr/>
              <w:t>​</w:t>
            </w:r>
          </w:p>
        </w:tc>
        <w:tc>
          <w:tcPr>
            <w:tcW w:w="1381" w:type="dxa"/>
            <w:tcBorders>
              <w:bottom w:val="single" w:sz="2" w:space="0" w:color="4B5088"/>
            </w:tcBorders>
            <w:tcMar>
              <w:bottom w:w="70" w:type="dxa"/>
            </w:tcMar>
            <w:vAlign w:val="center"/>
          </w:tcPr>
          <w:p>
            <w:pPr>
              <w:pStyle w:val="TableContents"/>
              <w:bidi w:val="0"/>
              <w:spacing w:before="0" w:after="283"/>
              <w:jc w:val="right"/>
              <w:rPr/>
            </w:pPr>
            <w:r>
              <w:rPr/>
              <w:t>6x</w:t>
            </w:r>
          </w:p>
        </w:tc>
        <w:tc>
          <w:tcPr>
            <w:tcW w:w="43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55" w:type="dxa"/>
            <w:tcBorders>
              <w:bottom w:val="single" w:sz="2" w:space="0" w:color="1F2668"/>
            </w:tcBorders>
            <w:tcMar>
              <w:bottom w:w="70" w:type="dxa"/>
            </w:tcMar>
            <w:vAlign w:val="center"/>
          </w:tcPr>
          <w:p>
            <w:pPr>
              <w:pStyle w:val="TableContents"/>
              <w:bidi w:val="0"/>
              <w:spacing w:before="0" w:after="283"/>
              <w:jc w:val="left"/>
              <w:rPr>
                <w:spacing w:val="-2"/>
              </w:rPr>
            </w:pPr>
            <w:r>
              <w:rPr>
                <w:spacing w:val="-2"/>
              </w:rPr>
              <w:t xml:space="preserve">Non-Employee Directors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5" w:type="dxa"/>
            <w:tcBorders>
              <w:bottom w:val="single" w:sz="2" w:space="0" w:color="1F2668"/>
            </w:tcBorders>
            <w:tcMar>
              <w:bottom w:w="28" w:type="dxa"/>
            </w:tcMar>
            <w:vAlign w:val="center"/>
          </w:tcPr>
          <w:p>
            <w:pPr>
              <w:pStyle w:val="TableContents"/>
              <w:bidi w:val="0"/>
              <w:spacing w:before="0" w:after="283"/>
              <w:jc w:val="left"/>
              <w:rPr/>
            </w:pPr>
            <w:r>
              <w:rPr/>
              <w:t>​</w:t>
            </w:r>
          </w:p>
        </w:tc>
        <w:tc>
          <w:tcPr>
            <w:tcW w:w="435" w:type="dxa"/>
            <w:tcBorders>
              <w:bottom w:val="single" w:sz="2" w:space="0" w:color="1F2668"/>
            </w:tcBorders>
            <w:tcMar>
              <w:bottom w:w="70" w:type="dxa"/>
            </w:tcMar>
            <w:vAlign w:val="center"/>
          </w:tcPr>
          <w:p>
            <w:pPr>
              <w:pStyle w:val="TableContents"/>
              <w:bidi w:val="0"/>
              <w:spacing w:before="0" w:after="283"/>
              <w:jc w:val="right"/>
              <w:rPr/>
            </w:pPr>
            <w:r>
              <w:rPr/>
              <w:t>​</w:t>
            </w:r>
          </w:p>
        </w:tc>
        <w:tc>
          <w:tcPr>
            <w:tcW w:w="1381" w:type="dxa"/>
            <w:tcBorders>
              <w:bottom w:val="single" w:sz="2" w:space="0" w:color="1F2668"/>
            </w:tcBorders>
            <w:tcMar>
              <w:bottom w:w="70" w:type="dxa"/>
            </w:tcMar>
            <w:vAlign w:val="center"/>
          </w:tcPr>
          <w:p>
            <w:pPr>
              <w:pStyle w:val="TableContents"/>
              <w:bidi w:val="0"/>
              <w:spacing w:before="0" w:after="283"/>
              <w:jc w:val="right"/>
              <w:rPr/>
            </w:pPr>
            <w:r>
              <w:rPr/>
              <w:t>5x</w:t>
            </w:r>
          </w:p>
        </w:tc>
        <w:tc>
          <w:tcPr>
            <w:tcW w:w="438"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324"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of our named executive officers hold a significant amount of equity in our Company and are highly incentivized to create sustainable, long-term stockholder value.</w:t>
      </w:r>
      <w:r>
        <w:rPr>
          <w:rFonts w:ascii="Arial;Helvetica;sans-serif" w:hAnsi="Arial;Helvetica;sans-serif"/>
          <w:b w:val="false"/>
          <w:i w:val="false"/>
          <w:caps w:val="false"/>
          <w:smallCaps w:val="false"/>
          <w:color w:val="000000"/>
          <w:spacing w:val="4"/>
          <w:sz w:val="18"/>
        </w:rPr>
        <w:t xml:space="preserve"> </w:t>
      </w:r>
    </w:p>
    <w:tbl>
      <w:tblPr>
        <w:tblW w:w="5981" w:type="dxa"/>
        <w:jc w:val="left"/>
        <w:tblInd w:w="900" w:type="dxa"/>
        <w:tblLayout w:type="fixed"/>
        <w:tblCellMar>
          <w:top w:w="0" w:type="dxa"/>
          <w:left w:w="0" w:type="dxa"/>
          <w:bottom w:w="63" w:type="dxa"/>
          <w:right w:w="0" w:type="dxa"/>
        </w:tblCellMar>
      </w:tblPr>
      <w:tblGrid>
        <w:gridCol w:w="2739"/>
        <w:gridCol w:w="109"/>
        <w:gridCol w:w="109"/>
        <w:gridCol w:w="394"/>
        <w:gridCol w:w="394"/>
        <w:gridCol w:w="1686"/>
        <w:gridCol w:w="396"/>
        <w:gridCol w:w="154"/>
      </w:tblGrid>
      <w:tr>
        <w:trPr/>
        <w:tc>
          <w:tcPr>
            <w:tcW w:w="2739" w:type="dxa"/>
            <w:tcBorders>
              <w:bottom w:val="single" w:sz="2" w:space="0" w:color="1F2668"/>
            </w:tcBorders>
            <w:vAlign w:val="center"/>
          </w:tcPr>
          <w:p>
            <w:pPr>
              <w:pStyle w:val="TableContents"/>
              <w:bidi w:val="0"/>
              <w:spacing w:before="0" w:after="0"/>
              <w:jc w:val="left"/>
              <w:rPr>
                <w:spacing w:val="2"/>
              </w:rPr>
            </w:pPr>
            <w:r>
              <w:rPr>
                <w:spacing w:val="2"/>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7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Actual Equity Ownership— </w:t>
              <w:br/>
              <w:t>Multiple of Base Salary</w:t>
            </w:r>
            <w:r>
              <w:rPr>
                <w:spacing w:val="1"/>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39" w:type="dxa"/>
            <w:tcBorders>
              <w:bottom w:val="single" w:sz="2" w:space="0" w:color="4B5088"/>
            </w:tcBorders>
            <w:tcMar>
              <w:bottom w:w="70" w:type="dxa"/>
            </w:tcMar>
            <w:vAlign w:val="center"/>
          </w:tcPr>
          <w:p>
            <w:pPr>
              <w:pStyle w:val="TableContents"/>
              <w:bidi w:val="0"/>
              <w:spacing w:before="0" w:after="0"/>
              <w:jc w:val="left"/>
              <w:rPr>
                <w:b/>
              </w:rPr>
            </w:pPr>
            <w:r>
              <w:rPr>
                <w:b/>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 w:type="dxa"/>
            <w:tcBorders>
              <w:bottom w:val="single" w:sz="2" w:space="0" w:color="4B5088"/>
            </w:tcBorders>
            <w:tcMar>
              <w:bottom w:w="28" w:type="dxa"/>
            </w:tcMar>
            <w:vAlign w:val="center"/>
          </w:tcPr>
          <w:p>
            <w:pPr>
              <w:pStyle w:val="TableContents"/>
              <w:bidi w:val="0"/>
              <w:spacing w:before="0" w:after="283"/>
              <w:jc w:val="left"/>
              <w:rPr/>
            </w:pPr>
            <w:r>
              <w:rPr/>
              <w:t>​</w:t>
            </w:r>
          </w:p>
        </w:tc>
        <w:tc>
          <w:tcPr>
            <w:tcW w:w="394" w:type="dxa"/>
            <w:tcBorders>
              <w:bottom w:val="single" w:sz="2" w:space="0" w:color="4B5088"/>
            </w:tcBorders>
            <w:tcMar>
              <w:bottom w:w="70" w:type="dxa"/>
            </w:tcMar>
            <w:vAlign w:val="center"/>
          </w:tcPr>
          <w:p>
            <w:pPr>
              <w:pStyle w:val="TableContents"/>
              <w:bidi w:val="0"/>
              <w:spacing w:before="0" w:after="283"/>
              <w:jc w:val="right"/>
              <w:rPr/>
            </w:pPr>
            <w:r>
              <w:rPr/>
              <w:t>​</w:t>
            </w:r>
          </w:p>
        </w:tc>
        <w:tc>
          <w:tcPr>
            <w:tcW w:w="1686" w:type="dxa"/>
            <w:tcBorders>
              <w:bottom w:val="single" w:sz="2" w:space="0" w:color="4B5088"/>
            </w:tcBorders>
            <w:tcMar>
              <w:bottom w:w="70" w:type="dxa"/>
            </w:tcMar>
            <w:vAlign w:val="center"/>
          </w:tcPr>
          <w:p>
            <w:pPr>
              <w:pStyle w:val="TableContents"/>
              <w:bidi w:val="0"/>
              <w:spacing w:before="0" w:after="283"/>
              <w:jc w:val="right"/>
              <w:rPr/>
            </w:pPr>
            <w:r>
              <w:rPr/>
              <w:t>54x</w:t>
            </w:r>
          </w:p>
        </w:tc>
        <w:tc>
          <w:tcPr>
            <w:tcW w:w="396"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39" w:type="dxa"/>
            <w:tcBorders>
              <w:bottom w:val="single" w:sz="2" w:space="0" w:color="4B5088"/>
            </w:tcBorders>
            <w:tcMar>
              <w:bottom w:w="70" w:type="dxa"/>
            </w:tcMar>
            <w:vAlign w:val="center"/>
          </w:tcPr>
          <w:p>
            <w:pPr>
              <w:pStyle w:val="TableContents"/>
              <w:bidi w:val="0"/>
              <w:spacing w:before="0" w:after="0"/>
              <w:jc w:val="left"/>
              <w:rPr>
                <w:b/>
              </w:rPr>
            </w:pPr>
            <w:r>
              <w:rPr>
                <w:b/>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 w:type="dxa"/>
            <w:tcBorders>
              <w:bottom w:val="single" w:sz="2" w:space="0" w:color="4B5088"/>
            </w:tcBorders>
            <w:tcMar>
              <w:bottom w:w="28" w:type="dxa"/>
            </w:tcMar>
            <w:vAlign w:val="center"/>
          </w:tcPr>
          <w:p>
            <w:pPr>
              <w:pStyle w:val="TableContents"/>
              <w:bidi w:val="0"/>
              <w:spacing w:before="0" w:after="283"/>
              <w:jc w:val="left"/>
              <w:rPr/>
            </w:pPr>
            <w:r>
              <w:rPr/>
              <w:t>​</w:t>
            </w:r>
          </w:p>
        </w:tc>
        <w:tc>
          <w:tcPr>
            <w:tcW w:w="394" w:type="dxa"/>
            <w:tcBorders>
              <w:bottom w:val="single" w:sz="2" w:space="0" w:color="4B5088"/>
            </w:tcBorders>
            <w:tcMar>
              <w:bottom w:w="70" w:type="dxa"/>
            </w:tcMar>
            <w:vAlign w:val="center"/>
          </w:tcPr>
          <w:p>
            <w:pPr>
              <w:pStyle w:val="TableContents"/>
              <w:bidi w:val="0"/>
              <w:spacing w:before="0" w:after="283"/>
              <w:jc w:val="right"/>
              <w:rPr/>
            </w:pPr>
            <w:r>
              <w:rPr/>
              <w:t>​</w:t>
            </w:r>
          </w:p>
        </w:tc>
        <w:tc>
          <w:tcPr>
            <w:tcW w:w="1686" w:type="dxa"/>
            <w:tcBorders>
              <w:bottom w:val="single" w:sz="2" w:space="0" w:color="4B5088"/>
            </w:tcBorders>
            <w:tcMar>
              <w:bottom w:w="70" w:type="dxa"/>
            </w:tcMar>
            <w:vAlign w:val="center"/>
          </w:tcPr>
          <w:p>
            <w:pPr>
              <w:pStyle w:val="TableContents"/>
              <w:bidi w:val="0"/>
              <w:spacing w:before="0" w:after="283"/>
              <w:jc w:val="right"/>
              <w:rPr/>
            </w:pPr>
            <w:r>
              <w:rPr/>
              <w:t>20x</w:t>
            </w:r>
          </w:p>
        </w:tc>
        <w:tc>
          <w:tcPr>
            <w:tcW w:w="396"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39" w:type="dxa"/>
            <w:tcBorders>
              <w:bottom w:val="single" w:sz="2" w:space="0" w:color="1F2668"/>
            </w:tcBorders>
            <w:tcMar>
              <w:bottom w:w="70" w:type="dxa"/>
            </w:tcMar>
            <w:vAlign w:val="center"/>
          </w:tcPr>
          <w:p>
            <w:pPr>
              <w:pStyle w:val="TableContents"/>
              <w:bidi w:val="0"/>
              <w:spacing w:before="0" w:after="0"/>
              <w:jc w:val="left"/>
              <w:rPr>
                <w:b/>
              </w:rPr>
            </w:pPr>
            <w:r>
              <w:rPr>
                <w:b/>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 w:type="dxa"/>
            <w:tcBorders>
              <w:bottom w:val="single" w:sz="2" w:space="0" w:color="1F2668"/>
            </w:tcBorders>
            <w:tcMar>
              <w:bottom w:w="28" w:type="dxa"/>
            </w:tcMar>
            <w:vAlign w:val="center"/>
          </w:tcPr>
          <w:p>
            <w:pPr>
              <w:pStyle w:val="TableContents"/>
              <w:bidi w:val="0"/>
              <w:spacing w:before="0" w:after="283"/>
              <w:jc w:val="left"/>
              <w:rPr/>
            </w:pPr>
            <w:r>
              <w:rPr/>
              <w:t>​</w:t>
            </w:r>
          </w:p>
        </w:tc>
        <w:tc>
          <w:tcPr>
            <w:tcW w:w="394" w:type="dxa"/>
            <w:tcBorders>
              <w:bottom w:val="single" w:sz="2" w:space="0" w:color="1F2668"/>
            </w:tcBorders>
            <w:tcMar>
              <w:bottom w:w="70" w:type="dxa"/>
            </w:tcMar>
            <w:vAlign w:val="center"/>
          </w:tcPr>
          <w:p>
            <w:pPr>
              <w:pStyle w:val="TableContents"/>
              <w:bidi w:val="0"/>
              <w:spacing w:before="0" w:after="283"/>
              <w:jc w:val="right"/>
              <w:rPr/>
            </w:pPr>
            <w:r>
              <w:rPr/>
              <w:t>​</w:t>
            </w:r>
          </w:p>
        </w:tc>
        <w:tc>
          <w:tcPr>
            <w:tcW w:w="1686" w:type="dxa"/>
            <w:tcBorders>
              <w:bottom w:val="single" w:sz="2" w:space="0" w:color="1F2668"/>
            </w:tcBorders>
            <w:tcMar>
              <w:bottom w:w="70" w:type="dxa"/>
            </w:tcMar>
            <w:vAlign w:val="center"/>
          </w:tcPr>
          <w:p>
            <w:pPr>
              <w:pStyle w:val="TableContents"/>
              <w:bidi w:val="0"/>
              <w:spacing w:before="0" w:after="283"/>
              <w:jc w:val="right"/>
              <w:rPr/>
            </w:pPr>
            <w:r>
              <w:rPr/>
              <w:t>22x</w:t>
            </w:r>
          </w:p>
        </w:tc>
        <w:tc>
          <w:tcPr>
            <w:tcW w:w="396"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304"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 of March 8, 2024.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93040" distB="0" distL="0" distR="0" simplePos="0" locked="0" layoutInCell="1" allowOverlap="1" relativeHeight="761">
                <wp:simplePos x="0" y="0"/>
                <wp:positionH relativeFrom="column">
                  <wp:align>left</wp:align>
                </wp:positionH>
                <wp:positionV relativeFrom="line">
                  <wp:align>top</wp:align>
                </wp:positionV>
                <wp:extent cx="254000" cy="254000"/>
                <wp:effectExtent l="0" t="0" r="0" b="0"/>
                <wp:wrapSquare wrapText="right"/>
                <wp:docPr id="843" name="Frame46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5.2pt;mso-wrap-distance-bottom:0pt;margin-top:15.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Outstanding Annual Equity Award Performance Summary (2021-2023)</w:t>
      </w:r>
      <w:r>
        <w:rPr>
          <w:rFonts w:ascii="Arial;Helvetica;sans-serif" w:hAnsi="Arial;Helvetica;sans-serif"/>
          <w:b/>
          <w:i w:val="false"/>
          <w:caps w:val="false"/>
          <w:smallCaps w:val="false"/>
          <w:color w:val="000000"/>
          <w:spacing w:val="4"/>
          <w:sz w:val="22"/>
        </w:rPr>
        <w:t xml:space="preserve"> </w:t>
      </w:r>
    </w:p>
    <w:tbl>
      <w:tblPr>
        <w:tblW w:w="9305" w:type="dxa"/>
        <w:jc w:val="left"/>
        <w:tblInd w:w="900" w:type="dxa"/>
        <w:tblLayout w:type="fixed"/>
        <w:tblCellMar>
          <w:top w:w="0" w:type="dxa"/>
          <w:left w:w="0" w:type="dxa"/>
          <w:bottom w:w="63" w:type="dxa"/>
          <w:right w:w="0" w:type="dxa"/>
        </w:tblCellMar>
      </w:tblPr>
      <w:tblGrid>
        <w:gridCol w:w="2595"/>
        <w:gridCol w:w="109"/>
        <w:gridCol w:w="109"/>
        <w:gridCol w:w="2343"/>
        <w:gridCol w:w="109"/>
        <w:gridCol w:w="109"/>
        <w:gridCol w:w="3775"/>
        <w:gridCol w:w="156"/>
      </w:tblGrid>
      <w:tr>
        <w:trPr/>
        <w:tc>
          <w:tcPr>
            <w:tcW w:w="2595" w:type="dxa"/>
            <w:tcBorders>
              <w:bottom w:val="single" w:sz="2" w:space="0" w:color="1F2668"/>
            </w:tcBorders>
            <w:vAlign w:val="center"/>
          </w:tcPr>
          <w:p>
            <w:pPr>
              <w:pStyle w:val="TableContents"/>
              <w:bidi w:val="0"/>
              <w:spacing w:before="0" w:after="0"/>
              <w:jc w:val="left"/>
              <w:rPr>
                <w:spacing w:val="2"/>
              </w:rPr>
            </w:pPr>
            <w:r>
              <w:rPr>
                <w:spacing w:val="2"/>
              </w:rPr>
              <w:t xml:space="preserve">Operational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3" w:type="dxa"/>
            <w:tcBorders>
              <w:bottom w:val="single" w:sz="2" w:space="0" w:color="1F2668"/>
            </w:tcBorders>
            <w:vAlign w:val="center"/>
          </w:tcPr>
          <w:p>
            <w:pPr>
              <w:pStyle w:val="TableContents"/>
              <w:bidi w:val="0"/>
              <w:spacing w:before="0" w:after="0"/>
              <w:jc w:val="right"/>
              <w:rPr/>
            </w:pPr>
            <w:r>
              <w:rPr>
                <w:spacing w:val="2"/>
              </w:rPr>
              <w:t xml:space="preserve">Actual Percentage Earned </w:t>
              <w:br/>
              <w:t>as of 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5" w:type="dxa"/>
            <w:tcBorders>
              <w:bottom w:val="single" w:sz="2" w:space="0" w:color="1F2668"/>
            </w:tcBorders>
            <w:vAlign w:val="center"/>
          </w:tcPr>
          <w:p>
            <w:pPr>
              <w:pStyle w:val="TableContents"/>
              <w:bidi w:val="0"/>
              <w:spacing w:before="0" w:after="0"/>
              <w:jc w:val="right"/>
              <w:rPr/>
            </w:pPr>
            <w:r>
              <w:rPr>
                <w:spacing w:val="2"/>
              </w:rPr>
              <w:t xml:space="preserve">Actual / Projected Absolute TSR Modifier as </w:t>
              <w:br/>
              <w:t>of 12/31/2023</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9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2023 Operational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3" w:type="dxa"/>
            <w:tcBorders>
              <w:bottom w:val="single" w:sz="2" w:space="0" w:color="4B5088"/>
            </w:tcBorders>
            <w:tcMar>
              <w:bottom w:w="70" w:type="dxa"/>
            </w:tcMar>
            <w:vAlign w:val="center"/>
          </w:tcPr>
          <w:p>
            <w:pPr>
              <w:pStyle w:val="TableContents"/>
              <w:bidi w:val="0"/>
              <w:spacing w:before="0" w:after="0"/>
              <w:jc w:val="right"/>
              <w:rPr/>
            </w:pPr>
            <w:r>
              <w:rPr>
                <w:spacing w:val="-2"/>
              </w:rPr>
              <w:t>88.00%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5" w:type="dxa"/>
            <w:tcBorders>
              <w:bottom w:val="single" w:sz="2" w:space="0" w:color="4B5088"/>
            </w:tcBorders>
            <w:tcMar>
              <w:bottom w:w="70" w:type="dxa"/>
            </w:tcMar>
            <w:vAlign w:val="center"/>
          </w:tcPr>
          <w:p>
            <w:pPr>
              <w:pStyle w:val="TableContents"/>
              <w:bidi w:val="0"/>
              <w:spacing w:before="0" w:after="0"/>
              <w:jc w:val="right"/>
              <w:rPr/>
            </w:pPr>
            <w:r>
              <w:rPr>
                <w:spacing w:val="-2"/>
              </w:rPr>
              <w:t>+12.5% (Projected)</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95"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2022 Operational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3" w:type="dxa"/>
            <w:tcBorders>
              <w:bottom w:val="single" w:sz="2" w:space="0" w:color="4B5088"/>
            </w:tcBorders>
            <w:tcMar>
              <w:bottom w:w="70" w:type="dxa"/>
            </w:tcMar>
            <w:vAlign w:val="center"/>
          </w:tcPr>
          <w:p>
            <w:pPr>
              <w:pStyle w:val="TableContents"/>
              <w:bidi w:val="0"/>
              <w:spacing w:before="0" w:after="0"/>
              <w:jc w:val="right"/>
              <w:rPr/>
            </w:pPr>
            <w:r>
              <w:rPr>
                <w:spacing w:val="-2"/>
              </w:rPr>
              <w:t>141.29%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5" w:type="dxa"/>
            <w:tcBorders>
              <w:bottom w:val="single" w:sz="2" w:space="0" w:color="4B5088"/>
            </w:tcBorders>
            <w:tcMar>
              <w:bottom w:w="70" w:type="dxa"/>
            </w:tcMar>
            <w:vAlign w:val="center"/>
          </w:tcPr>
          <w:p>
            <w:pPr>
              <w:pStyle w:val="TableContents"/>
              <w:bidi w:val="0"/>
              <w:spacing w:before="0" w:after="0"/>
              <w:jc w:val="right"/>
              <w:rPr/>
            </w:pPr>
            <w:r>
              <w:rPr>
                <w:spacing w:val="-2"/>
              </w:rPr>
              <w:t>-12.5% (Projected)</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95" w:type="dxa"/>
            <w:tcBorders>
              <w:bottom w:val="single" w:sz="2" w:space="0" w:color="1F2668"/>
            </w:tcBorders>
            <w:tcMar>
              <w:bottom w:w="70" w:type="dxa"/>
            </w:tcMar>
            <w:vAlign w:val="center"/>
          </w:tcPr>
          <w:p>
            <w:pPr>
              <w:pStyle w:val="TableContents"/>
              <w:bidi w:val="0"/>
              <w:spacing w:before="0" w:after="283"/>
              <w:jc w:val="left"/>
              <w:rPr>
                <w:spacing w:val="-2"/>
              </w:rPr>
            </w:pPr>
            <w:r>
              <w:rPr>
                <w:spacing w:val="-2"/>
              </w:rPr>
              <w:t xml:space="preserve">2021 Operational Component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3" w:type="dxa"/>
            <w:tcBorders>
              <w:bottom w:val="single" w:sz="2" w:space="0" w:color="1F2668"/>
            </w:tcBorders>
            <w:tcMar>
              <w:bottom w:w="70" w:type="dxa"/>
            </w:tcMar>
            <w:vAlign w:val="center"/>
          </w:tcPr>
          <w:p>
            <w:pPr>
              <w:pStyle w:val="TableContents"/>
              <w:bidi w:val="0"/>
              <w:spacing w:before="0" w:after="0"/>
              <w:jc w:val="right"/>
              <w:rPr/>
            </w:pPr>
            <w:r>
              <w:rPr>
                <w:spacing w:val="-2"/>
              </w:rPr>
              <w:t>200.00%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5" w:type="dxa"/>
            <w:tcBorders>
              <w:bottom w:val="single" w:sz="2" w:space="0" w:color="1F2668"/>
            </w:tcBorders>
            <w:tcMar>
              <w:bottom w:w="70" w:type="dxa"/>
            </w:tcMar>
            <w:vAlign w:val="center"/>
          </w:tcPr>
          <w:p>
            <w:pPr>
              <w:pStyle w:val="TableContents"/>
              <w:bidi w:val="0"/>
              <w:spacing w:before="0" w:after="0"/>
              <w:jc w:val="right"/>
              <w:rPr/>
            </w:pPr>
            <w:r>
              <w:rPr>
                <w:spacing w:val="-2"/>
              </w:rPr>
              <w:t>-12.5% (Actual)</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63" w:type="dxa"/>
          <w:right w:w="0" w:type="dxa"/>
        </w:tblCellMar>
      </w:tblPr>
      <w:tblGrid>
        <w:gridCol w:w="3084"/>
        <w:gridCol w:w="109"/>
        <w:gridCol w:w="109"/>
        <w:gridCol w:w="2718"/>
        <w:gridCol w:w="109"/>
        <w:gridCol w:w="109"/>
        <w:gridCol w:w="2912"/>
        <w:gridCol w:w="155"/>
      </w:tblGrid>
      <w:tr>
        <w:trPr/>
        <w:tc>
          <w:tcPr>
            <w:tcW w:w="3084" w:type="dxa"/>
            <w:tcBorders>
              <w:bottom w:val="single" w:sz="2" w:space="0" w:color="1F2668"/>
            </w:tcBorders>
            <w:vAlign w:val="center"/>
          </w:tcPr>
          <w:p>
            <w:pPr>
              <w:pStyle w:val="TableContents"/>
              <w:bidi w:val="0"/>
              <w:spacing w:before="0" w:after="0"/>
              <w:jc w:val="left"/>
              <w:rPr>
                <w:spacing w:val="2"/>
              </w:rPr>
            </w:pPr>
            <w:r>
              <w:rPr>
                <w:spacing w:val="2"/>
              </w:rPr>
              <w:t xml:space="preserve">Relative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1F2668"/>
            </w:tcBorders>
            <w:vAlign w:val="center"/>
          </w:tcPr>
          <w:p>
            <w:pPr>
              <w:pStyle w:val="TableContents"/>
              <w:bidi w:val="0"/>
              <w:spacing w:before="0" w:after="0"/>
              <w:jc w:val="right"/>
              <w:rPr/>
            </w:pPr>
            <w:r>
              <w:rPr>
                <w:spacing w:val="2"/>
              </w:rPr>
              <w:t xml:space="preserve">Actual / Projected Percentile Rank </w:t>
              <w:br/>
              <w:t>as of 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1F2668"/>
            </w:tcBorders>
            <w:vAlign w:val="center"/>
          </w:tcPr>
          <w:p>
            <w:pPr>
              <w:pStyle w:val="TableContents"/>
              <w:bidi w:val="0"/>
              <w:spacing w:before="0" w:after="0"/>
              <w:jc w:val="right"/>
              <w:rPr/>
            </w:pPr>
            <w:r>
              <w:rPr>
                <w:spacing w:val="2"/>
              </w:rPr>
              <w:t xml:space="preserve">Actual / Projected Percentage Earned </w:t>
              <w:br/>
              <w:t>as of 12/31/2023</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2023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4B5088"/>
            </w:tcBorders>
            <w:tcMar>
              <w:bottom w:w="70" w:type="dxa"/>
            </w:tcMar>
            <w:vAlign w:val="center"/>
          </w:tcPr>
          <w:p>
            <w:pPr>
              <w:pStyle w:val="TableContents"/>
              <w:bidi w:val="0"/>
              <w:spacing w:before="0" w:after="0"/>
              <w:jc w:val="right"/>
              <w:rPr/>
            </w:pPr>
            <w:r>
              <w:rPr>
                <w:spacing w:val="-2"/>
              </w:rPr>
              <w:t>97</w:t>
            </w:r>
            <w:r>
              <w:rPr>
                <w:spacing w:val="-1"/>
                <w:sz w:val="11"/>
              </w:rPr>
              <w:t>th</w:t>
            </w:r>
            <w:r>
              <w:rPr>
                <w:spacing w:val="-2"/>
              </w:rPr>
              <w:t xml:space="preserve">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4B5088"/>
            </w:tcBorders>
            <w:tcMar>
              <w:bottom w:w="70" w:type="dxa"/>
            </w:tcMar>
            <w:vAlign w:val="center"/>
          </w:tcPr>
          <w:p>
            <w:pPr>
              <w:pStyle w:val="TableContents"/>
              <w:bidi w:val="0"/>
              <w:spacing w:before="0" w:after="0"/>
              <w:jc w:val="right"/>
              <w:rPr/>
            </w:pPr>
            <w:r>
              <w:rPr>
                <w:spacing w:val="-2"/>
              </w:rPr>
              <w:t>225.00%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2023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4B5088"/>
            </w:tcBorders>
            <w:tcMar>
              <w:bottom w:w="70" w:type="dxa"/>
            </w:tcMar>
            <w:vAlign w:val="center"/>
          </w:tcPr>
          <w:p>
            <w:pPr>
              <w:pStyle w:val="TableContents"/>
              <w:bidi w:val="0"/>
              <w:spacing w:before="0" w:after="0"/>
              <w:jc w:val="right"/>
              <w:rPr/>
            </w:pPr>
            <w:r>
              <w:rPr>
                <w:spacing w:val="-2"/>
              </w:rPr>
              <w:t>92</w:t>
            </w:r>
            <w:r>
              <w:rPr>
                <w:spacing w:val="-1"/>
                <w:sz w:val="11"/>
              </w:rPr>
              <w:t>nd</w:t>
            </w:r>
            <w:r>
              <w:rPr>
                <w:spacing w:val="-2"/>
              </w:rPr>
              <w:t xml:space="preserve">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4B5088"/>
            </w:tcBorders>
            <w:tcMar>
              <w:bottom w:w="70" w:type="dxa"/>
            </w:tcMar>
            <w:vAlign w:val="center"/>
          </w:tcPr>
          <w:p>
            <w:pPr>
              <w:pStyle w:val="TableContents"/>
              <w:bidi w:val="0"/>
              <w:spacing w:before="0" w:after="0"/>
              <w:jc w:val="right"/>
              <w:rPr/>
            </w:pPr>
            <w:r>
              <w:rPr>
                <w:spacing w:val="-2"/>
              </w:rPr>
              <w:t>225.00%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2022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4B5088"/>
            </w:tcBorders>
            <w:tcMar>
              <w:bottom w:w="70" w:type="dxa"/>
            </w:tcMar>
            <w:vAlign w:val="center"/>
          </w:tcPr>
          <w:p>
            <w:pPr>
              <w:pStyle w:val="TableContents"/>
              <w:bidi w:val="0"/>
              <w:spacing w:before="0" w:after="0"/>
              <w:jc w:val="right"/>
              <w:rPr/>
            </w:pPr>
            <w:r>
              <w:rPr>
                <w:spacing w:val="-2"/>
              </w:rPr>
              <w:t>81</w:t>
            </w:r>
            <w:r>
              <w:rPr>
                <w:spacing w:val="-1"/>
                <w:sz w:val="11"/>
              </w:rPr>
              <w:t>st</w:t>
            </w:r>
            <w:r>
              <w:rPr>
                <w:spacing w:val="-2"/>
              </w:rPr>
              <w:t xml:space="preserve">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4B5088"/>
            </w:tcBorders>
            <w:tcMar>
              <w:bottom w:w="70" w:type="dxa"/>
            </w:tcMar>
            <w:vAlign w:val="center"/>
          </w:tcPr>
          <w:p>
            <w:pPr>
              <w:pStyle w:val="TableContents"/>
              <w:bidi w:val="0"/>
              <w:spacing w:before="0" w:after="0"/>
              <w:jc w:val="right"/>
              <w:rPr/>
            </w:pPr>
            <w:r>
              <w:rPr>
                <w:spacing w:val="-2"/>
              </w:rPr>
              <w:t>225.00%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2022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4B5088"/>
            </w:tcBorders>
            <w:tcMar>
              <w:bottom w:w="70" w:type="dxa"/>
            </w:tcMar>
            <w:vAlign w:val="center"/>
          </w:tcPr>
          <w:p>
            <w:pPr>
              <w:pStyle w:val="TableContents"/>
              <w:bidi w:val="0"/>
              <w:spacing w:before="0" w:after="0"/>
              <w:jc w:val="right"/>
              <w:rPr/>
            </w:pPr>
            <w:r>
              <w:rPr>
                <w:spacing w:val="-2"/>
              </w:rPr>
              <w:t>25</w:t>
            </w:r>
            <w:r>
              <w:rPr>
                <w:spacing w:val="-1"/>
                <w:sz w:val="11"/>
              </w:rPr>
              <w:t>th</w:t>
            </w:r>
            <w:r>
              <w:rPr>
                <w:spacing w:val="-2"/>
              </w:rPr>
              <w:t xml:space="preserve"> Percentile (Projected)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4B5088"/>
            </w:tcBorders>
            <w:tcMar>
              <w:bottom w:w="70" w:type="dxa"/>
            </w:tcMar>
            <w:vAlign w:val="center"/>
          </w:tcPr>
          <w:p>
            <w:pPr>
              <w:pStyle w:val="TableContents"/>
              <w:bidi w:val="0"/>
              <w:spacing w:before="0" w:after="0"/>
              <w:jc w:val="right"/>
              <w:rPr/>
            </w:pPr>
            <w:r>
              <w:rPr>
                <w:spacing w:val="-2"/>
              </w:rPr>
              <w:t>0.00% (Projected)</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2021 Relative TSR vs. Office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4B5088"/>
            </w:tcBorders>
            <w:tcMar>
              <w:bottom w:w="70" w:type="dxa"/>
            </w:tcMar>
            <w:vAlign w:val="center"/>
          </w:tcPr>
          <w:p>
            <w:pPr>
              <w:pStyle w:val="TableContents"/>
              <w:bidi w:val="0"/>
              <w:spacing w:before="0" w:after="0"/>
              <w:jc w:val="right"/>
              <w:rPr/>
            </w:pPr>
            <w:r>
              <w:rPr>
                <w:spacing w:val="-2"/>
              </w:rPr>
              <w:t>83</w:t>
            </w:r>
            <w:r>
              <w:rPr>
                <w:spacing w:val="-1"/>
                <w:sz w:val="11"/>
              </w:rPr>
              <w:t>rd</w:t>
            </w:r>
            <w:r>
              <w:rPr>
                <w:spacing w:val="-2"/>
              </w:rPr>
              <w:t xml:space="preserve"> Percentile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4B5088"/>
            </w:tcBorders>
            <w:tcMar>
              <w:bottom w:w="70" w:type="dxa"/>
            </w:tcMar>
            <w:vAlign w:val="center"/>
          </w:tcPr>
          <w:p>
            <w:pPr>
              <w:pStyle w:val="TableContents"/>
              <w:bidi w:val="0"/>
              <w:spacing w:before="0" w:after="0"/>
              <w:jc w:val="right"/>
              <w:rPr/>
            </w:pPr>
            <w:r>
              <w:rPr>
                <w:spacing w:val="-2"/>
              </w:rPr>
              <w:t>225.00% (Actual)</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84" w:type="dxa"/>
            <w:tcBorders>
              <w:bottom w:val="single" w:sz="2" w:space="0" w:color="1F2668"/>
            </w:tcBorders>
            <w:tcMar>
              <w:bottom w:w="70" w:type="dxa"/>
            </w:tcMar>
            <w:vAlign w:val="center"/>
          </w:tcPr>
          <w:p>
            <w:pPr>
              <w:pStyle w:val="TableContents"/>
              <w:bidi w:val="0"/>
              <w:spacing w:before="0" w:after="283"/>
              <w:jc w:val="left"/>
              <w:rPr>
                <w:spacing w:val="-2"/>
              </w:rPr>
            </w:pPr>
            <w:r>
              <w:rPr>
                <w:spacing w:val="-2"/>
              </w:rPr>
              <w:t xml:space="preserve">2021 Relative TSR vs. NYC REIT Peers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8" w:type="dxa"/>
            <w:tcBorders>
              <w:bottom w:val="single" w:sz="2" w:space="0" w:color="1F2668"/>
            </w:tcBorders>
            <w:tcMar>
              <w:bottom w:w="70" w:type="dxa"/>
            </w:tcMar>
            <w:vAlign w:val="center"/>
          </w:tcPr>
          <w:p>
            <w:pPr>
              <w:pStyle w:val="TableContents"/>
              <w:bidi w:val="0"/>
              <w:spacing w:before="0" w:after="0"/>
              <w:jc w:val="right"/>
              <w:rPr/>
            </w:pPr>
            <w:r>
              <w:rPr>
                <w:spacing w:val="-2"/>
              </w:rPr>
              <w:t>42</w:t>
            </w:r>
            <w:r>
              <w:rPr>
                <w:spacing w:val="-1"/>
                <w:sz w:val="11"/>
              </w:rPr>
              <w:t>nd</w:t>
            </w:r>
            <w:r>
              <w:rPr>
                <w:spacing w:val="-2"/>
              </w:rPr>
              <w:t xml:space="preserve"> Percentile (Actual)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2" w:type="dxa"/>
            <w:tcBorders>
              <w:bottom w:val="single" w:sz="2" w:space="0" w:color="1F2668"/>
            </w:tcBorders>
            <w:tcMar>
              <w:bottom w:w="70" w:type="dxa"/>
            </w:tcMar>
            <w:vAlign w:val="center"/>
          </w:tcPr>
          <w:p>
            <w:pPr>
              <w:pStyle w:val="TableContents"/>
              <w:bidi w:val="0"/>
              <w:spacing w:before="0" w:after="0"/>
              <w:jc w:val="right"/>
              <w:rPr/>
            </w:pPr>
            <w:r>
              <w:rPr>
                <w:spacing w:val="-2"/>
              </w:rPr>
              <w:t>75.49% (Actual)</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324" w:after="283"/>
        <w:ind w:left="90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Our 2022 and 2021 annual performance-based equity awards generally have the same structure as the 2023 performance-based equity awards described above in “— Compensation Discussion and Analysis—Our 2023 Executive Compensation Program.” The 2022 and 2021 awards are described in full in our proxy statements relating to our 2022 and 2021 fiscal years.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additional information regarding the number of LTIP units relating to each of our outstanding annual performance-based equity awards held by each of our named executive officers, see “—Executive Compensation Tables—Outstanding Equity Awards at Fiscal Year End 2023.”</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Perquisites and Other Personal Benefits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Chief Executive Officer receives certain life insurance benefits. We do not provide any other significant perquisites or personal benefits to our named executive officers. Effective January 1, 2023, we discontinued all automobile perquisites for our named executive officers. The costs of these benefits constituted less than one percent of the applicable executive’s compensation.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Employment Agreements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noted above, we have employment agreements with each of our named executive officers. Each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change-in-control transaction following which one or more of our executives may be expected to be terminated. See “—Executive Compensation Tables—Potential Payments Upon Termination or Change in Control” for a summary of the employment agreements with our named executive officers.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Compensation Recovery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Effective as of October 2, 2023, the Board adopted a clawback policy that complies with Rule 10D-1 under the Exchange Act, adopted by the SEC in October 2022. The clawback policy requires recovery from executive officers of incentive-based compensation that is earned, granted or vested based on the achievement of a financial reporting measure in the event of a required restatement of previously issued financial statements. The recoverable compensation includes any compensation received after the effective date of the clawback policy and in the three-year fiscal period preceding the date the Company was required to prepare the restatement that is in excess of the amount that would have been received had it been calculated based on the restated financial statements. Recovery is required regardless of fault or a covered officer’s role in the financial reporting process. The clawback policy has been filed as an exhibit to our Annual Report on Form 10-K.</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Anti-hedging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 The Company does not have any practices or policies regarding the ability of any other employees to purchase financial instruments or otherwise engage in transactions that hedge or offset, or are designed to hedge or offset, any decrease in the market value of the Company’s equity securities.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Other Matters—LTIP units and Class O LTIP units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issued a separate class of units of limited partnership interest in our operating partnership, which we refer to as LTIP units, for the equity bonuses that we granted to our named executive officers for 2023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CR"/>
      <w:bookmarkEnd w:id="18"/>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2023, we did not grant any Class O LTIP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COMPENSATION COMMITTEE REPORT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Submitted by our Compensation Committee</w:t>
      </w:r>
      <w:r>
        <w:rPr>
          <w:rFonts w:ascii="Arial;Helvetica;sans-serif" w:hAnsi="Arial;Helvetica;sans-serif"/>
          <w:b w:val="false"/>
          <w:i w:val="false"/>
          <w:caps w:val="false"/>
          <w:smallCaps w:val="false"/>
          <w:color w:val="000000"/>
          <w:spacing w:val="4"/>
          <w:sz w:val="18"/>
        </w:rPr>
        <w:t xml:space="preserve"> </w:t>
      </w:r>
    </w:p>
    <w:tbl>
      <w:tblPr>
        <w:tblW w:w="6957" w:type="dxa"/>
        <w:jc w:val="left"/>
        <w:tblInd w:w="900" w:type="dxa"/>
        <w:tblLayout w:type="fixed"/>
        <w:tblCellMar>
          <w:top w:w="0" w:type="dxa"/>
          <w:left w:w="0" w:type="dxa"/>
          <w:bottom w:w="0" w:type="dxa"/>
          <w:right w:w="0" w:type="dxa"/>
        </w:tblCellMar>
      </w:tblPr>
      <w:tblGrid>
        <w:gridCol w:w="124"/>
        <w:gridCol w:w="2521"/>
        <w:gridCol w:w="109"/>
        <w:gridCol w:w="109"/>
        <w:gridCol w:w="1651"/>
        <w:gridCol w:w="109"/>
        <w:gridCol w:w="109"/>
        <w:gridCol w:w="2071"/>
        <w:gridCol w:w="154"/>
      </w:tblGrid>
      <w:tr>
        <w:trPr/>
        <w:tc>
          <w:tcPr>
            <w:tcW w:w="124" w:type="dxa"/>
            <w:tcBorders/>
            <w:vAlign w:val="center"/>
          </w:tcPr>
          <w:p>
            <w:pPr>
              <w:pStyle w:val="TableContents"/>
              <w:bidi w:val="0"/>
              <w:spacing w:before="0" w:after="283"/>
              <w:jc w:val="left"/>
              <w:rPr/>
            </w:pPr>
            <w:r>
              <w:rPr/>
              <w:t>​</w:t>
            </w:r>
          </w:p>
        </w:tc>
        <w:tc>
          <w:tcPr>
            <w:tcW w:w="2521" w:type="dxa"/>
            <w:tcBorders/>
            <w:vAlign w:val="center"/>
          </w:tcPr>
          <w:p>
            <w:pPr>
              <w:pStyle w:val="TableContents"/>
              <w:bidi w:val="0"/>
              <w:spacing w:before="0" w:after="283"/>
              <w:jc w:val="left"/>
              <w:rPr/>
            </w:pPr>
            <w:r>
              <w:rPr/>
              <w:t>Lauren B. Dillard (Chair)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1" w:type="dxa"/>
            <w:tcBorders/>
            <w:vAlign w:val="center"/>
          </w:tcPr>
          <w:p>
            <w:pPr>
              <w:pStyle w:val="TableContents"/>
              <w:bidi w:val="0"/>
              <w:spacing w:before="0" w:after="283"/>
              <w:jc w:val="left"/>
              <w:rPr/>
            </w:pPr>
            <w:r>
              <w:rPr/>
              <w:t>Carol N. Brown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71" w:type="dxa"/>
            <w:tcBorders/>
            <w:vAlign w:val="center"/>
          </w:tcPr>
          <w:p>
            <w:pPr>
              <w:pStyle w:val="TableContents"/>
              <w:bidi w:val="0"/>
              <w:spacing w:before="0" w:after="283"/>
              <w:jc w:val="left"/>
              <w:rPr/>
            </w:pPr>
            <w:r>
              <w:rPr/>
              <w:t>Edwin T. Burton, III</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ECT"/>
      <w:bookmarkEnd w:id="19"/>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EXECUTIVE COMPENSATION TABLES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Summary Compensation Table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information regarding the compensation paid to the individuals who served as our Chief Executive Officer and Chief Financial Officer during our 2023 fiscal year and two of our most highly compensated executive officers, other than our Chief Executive Officer and Chief Financial Officer, whose total compensation exceeded $100,000 during the fiscal year ended December 31, 2023, or collectively, the “named executive officers.”</w:t>
      </w:r>
      <w:r>
        <w:rPr>
          <w:rFonts w:ascii="Arial;Helvetica;sans-serif" w:hAnsi="Arial;Helvetica;sans-serif"/>
          <w:b w:val="false"/>
          <w:i w:val="false"/>
          <w:caps w:val="false"/>
          <w:smallCaps w:val="false"/>
          <w:color w:val="000000"/>
          <w:spacing w:val="4"/>
          <w:sz w:val="18"/>
        </w:rPr>
        <w:t xml:space="preserve"> </w:t>
      </w:r>
    </w:p>
    <w:tbl>
      <w:tblPr>
        <w:tblW w:w="11559" w:type="dxa"/>
        <w:jc w:val="left"/>
        <w:tblInd w:w="900" w:type="dxa"/>
        <w:tblLayout w:type="fixed"/>
        <w:tblCellMar>
          <w:top w:w="0" w:type="dxa"/>
          <w:left w:w="0" w:type="dxa"/>
          <w:bottom w:w="73" w:type="dxa"/>
          <w:right w:w="0" w:type="dxa"/>
        </w:tblCellMar>
      </w:tblPr>
      <w:tblGrid>
        <w:gridCol w:w="826"/>
        <w:gridCol w:w="109"/>
        <w:gridCol w:w="109"/>
        <w:gridCol w:w="109"/>
        <w:gridCol w:w="109"/>
        <w:gridCol w:w="109"/>
        <w:gridCol w:w="466"/>
        <w:gridCol w:w="109"/>
        <w:gridCol w:w="109"/>
        <w:gridCol w:w="109"/>
        <w:gridCol w:w="109"/>
        <w:gridCol w:w="196"/>
        <w:gridCol w:w="826"/>
        <w:gridCol w:w="109"/>
        <w:gridCol w:w="109"/>
        <w:gridCol w:w="109"/>
        <w:gridCol w:w="109"/>
        <w:gridCol w:w="196"/>
        <w:gridCol w:w="691"/>
        <w:gridCol w:w="109"/>
        <w:gridCol w:w="109"/>
        <w:gridCol w:w="109"/>
        <w:gridCol w:w="109"/>
        <w:gridCol w:w="196"/>
        <w:gridCol w:w="916"/>
        <w:gridCol w:w="109"/>
        <w:gridCol w:w="109"/>
        <w:gridCol w:w="109"/>
        <w:gridCol w:w="109"/>
        <w:gridCol w:w="109"/>
        <w:gridCol w:w="346"/>
        <w:gridCol w:w="109"/>
        <w:gridCol w:w="109"/>
        <w:gridCol w:w="109"/>
        <w:gridCol w:w="109"/>
        <w:gridCol w:w="196"/>
        <w:gridCol w:w="826"/>
        <w:gridCol w:w="109"/>
        <w:gridCol w:w="109"/>
        <w:gridCol w:w="109"/>
        <w:gridCol w:w="109"/>
        <w:gridCol w:w="196"/>
        <w:gridCol w:w="601"/>
        <w:gridCol w:w="109"/>
        <w:gridCol w:w="109"/>
        <w:gridCol w:w="109"/>
        <w:gridCol w:w="109"/>
        <w:gridCol w:w="196"/>
        <w:gridCol w:w="916"/>
        <w:gridCol w:w="109"/>
        <w:gridCol w:w="154"/>
      </w:tblGrid>
      <w:tr>
        <w:trPr/>
        <w:tc>
          <w:tcPr>
            <w:tcW w:w="826" w:type="dxa"/>
            <w:tcBorders>
              <w:bottom w:val="single" w:sz="2" w:space="0" w:color="1F2668"/>
            </w:tcBorders>
            <w:vAlign w:val="center"/>
          </w:tcPr>
          <w:p>
            <w:pPr>
              <w:pStyle w:val="TableContents"/>
              <w:bidi w:val="0"/>
              <w:spacing w:lineRule="atLeast" w:line="157" w:before="0" w:after="0"/>
              <w:jc w:val="left"/>
              <w:rPr>
                <w:spacing w:val="1"/>
                <w:sz w:val="14"/>
              </w:rPr>
            </w:pPr>
            <w:r>
              <w:rPr>
                <w:spacing w:val="1"/>
                <w:sz w:val="14"/>
              </w:rPr>
              <w:t xml:space="preserve">Name and Principal </w:t>
              <w:b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1F2668"/>
            </w:tcBorders>
            <w:vAlign w:val="center"/>
          </w:tcPr>
          <w:p>
            <w:pPr>
              <w:pStyle w:val="TableContents"/>
              <w:bidi w:val="0"/>
              <w:spacing w:lineRule="atLeast" w:line="158" w:before="0" w:after="0"/>
              <w:jc w:val="right"/>
              <w:rPr>
                <w:sz w:val="14"/>
              </w:rPr>
            </w:pPr>
            <w:r>
              <w:rPr>
                <w:spacing w:val="1"/>
                <w:sz w:val="14"/>
              </w:rPr>
              <w:t>Year</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0" w:type="dxa"/>
            <w:gridSpan w:val="4"/>
            <w:tcBorders>
              <w:bottom w:val="single" w:sz="2" w:space="0" w:color="1F2668"/>
            </w:tcBorders>
            <w:vAlign w:val="center"/>
          </w:tcPr>
          <w:p>
            <w:pPr>
              <w:pStyle w:val="TableContents"/>
              <w:bidi w:val="0"/>
              <w:spacing w:lineRule="atLeast" w:line="157" w:before="0" w:after="0"/>
              <w:jc w:val="right"/>
              <w:rPr>
                <w:sz w:val="14"/>
              </w:rPr>
            </w:pPr>
            <w:r>
              <w:rPr>
                <w:spacing w:val="1"/>
                <w:sz w:val="14"/>
              </w:rPr>
              <w:t xml:space="preserve">Salary </w:t>
              <w:b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5" w:type="dxa"/>
            <w:gridSpan w:val="4"/>
            <w:tcBorders>
              <w:bottom w:val="single" w:sz="2" w:space="0" w:color="1F2668"/>
            </w:tcBorders>
            <w:vAlign w:val="center"/>
          </w:tcPr>
          <w:p>
            <w:pPr>
              <w:pStyle w:val="TableContents"/>
              <w:bidi w:val="0"/>
              <w:spacing w:lineRule="atLeast" w:line="157" w:before="0" w:after="0"/>
              <w:jc w:val="right"/>
              <w:rPr>
                <w:sz w:val="14"/>
              </w:rPr>
            </w:pPr>
            <w:r>
              <w:rPr>
                <w:spacing w:val="1"/>
                <w:sz w:val="14"/>
              </w:rPr>
              <w:t xml:space="preserve">Bonus </w:t>
              <w:b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lineRule="atLeast" w:line="142" w:before="0" w:after="0"/>
              <w:jc w:val="right"/>
              <w:rPr>
                <w:sz w:val="14"/>
              </w:rPr>
            </w:pPr>
            <w:r>
              <w:rPr>
                <w:spacing w:val="1"/>
                <w:sz w:val="14"/>
              </w:rPr>
              <w:t>Stock Awards</w:t>
            </w:r>
            <w:r>
              <w:rPr>
                <w:spacing w:val="1"/>
                <w:sz w:val="9"/>
              </w:rPr>
              <w:t>(1)</w:t>
            </w:r>
            <w:r>
              <w:rPr>
                <w:sz w:val="14"/>
              </w:rPr>
              <w:t xml:space="preserve"> </w:t>
              <w:br/>
            </w:r>
            <w:r>
              <w:rPr>
                <w:spacing w:val="1"/>
                <w:sz w:val="14"/>
              </w:rP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1F2668"/>
            </w:tcBorders>
            <w:vAlign w:val="center"/>
          </w:tcPr>
          <w:p>
            <w:pPr>
              <w:pStyle w:val="TableContents"/>
              <w:bidi w:val="0"/>
              <w:spacing w:lineRule="atLeast" w:line="142" w:before="0" w:after="0"/>
              <w:jc w:val="right"/>
              <w:rPr>
                <w:sz w:val="14"/>
              </w:rPr>
            </w:pPr>
            <w:r>
              <w:rPr>
                <w:spacing w:val="1"/>
                <w:sz w:val="14"/>
              </w:rPr>
              <w:t xml:space="preserve">Option </w:t>
              <w:br/>
              <w:t>Awards</w:t>
            </w:r>
            <w:r>
              <w:rPr>
                <w:spacing w:val="1"/>
                <w:sz w:val="9"/>
              </w:rPr>
              <w:t>(1)</w:t>
            </w:r>
            <w:r>
              <w:rPr>
                <w:sz w:val="14"/>
              </w:rPr>
              <w:t xml:space="preserve"> </w:t>
              <w:br/>
            </w:r>
            <w:r>
              <w:rPr>
                <w:spacing w:val="1"/>
                <w:sz w:val="14"/>
              </w:rP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0" w:type="dxa"/>
            <w:gridSpan w:val="4"/>
            <w:tcBorders>
              <w:bottom w:val="single" w:sz="2" w:space="0" w:color="1F2668"/>
            </w:tcBorders>
            <w:vAlign w:val="center"/>
          </w:tcPr>
          <w:p>
            <w:pPr>
              <w:pStyle w:val="TableContents"/>
              <w:bidi w:val="0"/>
              <w:spacing w:lineRule="atLeast" w:line="157" w:before="0" w:after="0"/>
              <w:jc w:val="right"/>
              <w:rPr>
                <w:sz w:val="14"/>
              </w:rPr>
            </w:pPr>
            <w:r>
              <w:rPr>
                <w:spacing w:val="1"/>
                <w:sz w:val="14"/>
              </w:rPr>
              <w:t xml:space="preserve">Non-Equity </w:t>
              <w:br/>
              <w:t xml:space="preserve">Incentive Plan </w:t>
              <w:br/>
              <w:t xml:space="preserve">Compensation </w:t>
              <w:b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5" w:type="dxa"/>
            <w:gridSpan w:val="4"/>
            <w:tcBorders>
              <w:bottom w:val="single" w:sz="2" w:space="0" w:color="1F2668"/>
            </w:tcBorders>
            <w:vAlign w:val="center"/>
          </w:tcPr>
          <w:p>
            <w:pPr>
              <w:pStyle w:val="TableContents"/>
              <w:bidi w:val="0"/>
              <w:spacing w:lineRule="atLeast" w:line="142" w:before="0" w:after="0"/>
              <w:jc w:val="right"/>
              <w:rPr>
                <w:sz w:val="14"/>
              </w:rPr>
            </w:pPr>
            <w:r>
              <w:rPr>
                <w:spacing w:val="1"/>
                <w:sz w:val="14"/>
              </w:rPr>
              <w:t xml:space="preserve">All Other </w:t>
              <w:br/>
              <w:t>Compensation</w:t>
            </w:r>
            <w:r>
              <w:rPr>
                <w:spacing w:val="1"/>
                <w:sz w:val="9"/>
              </w:rPr>
              <w:t>(2)</w:t>
            </w:r>
            <w:r>
              <w:rPr>
                <w:sz w:val="14"/>
              </w:rPr>
              <w:t xml:space="preserve"> </w:t>
              <w:br/>
            </w:r>
            <w:r>
              <w:rPr>
                <w:spacing w:val="1"/>
                <w:sz w:val="14"/>
              </w:rPr>
              <w:t>($)</w:t>
            </w:r>
            <w:r>
              <w:rPr>
                <w:sz w:val="14"/>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lineRule="atLeast" w:line="157" w:before="0" w:after="0"/>
              <w:jc w:val="right"/>
              <w:rPr>
                <w:sz w:val="14"/>
              </w:rPr>
            </w:pPr>
            <w:r>
              <w:rPr>
                <w:spacing w:val="1"/>
                <w:sz w:val="14"/>
              </w:rPr>
              <w:t xml:space="preserve">Total </w:t>
              <w:br/>
              <w:t>($)</w:t>
            </w:r>
            <w:r>
              <w:rPr>
                <w:sz w:val="14"/>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restart"/>
            <w:tcBorders>
              <w:bottom w:val="single" w:sz="2" w:space="0" w:color="4B5088"/>
            </w:tcBorders>
            <w:tcMar>
              <w:bottom w:w="46" w:type="dxa"/>
            </w:tcMar>
            <w:vAlign w:val="center"/>
          </w:tcPr>
          <w:p>
            <w:pPr>
              <w:pStyle w:val="TableContents"/>
              <w:bidi w:val="0"/>
              <w:spacing w:before="0" w:after="0"/>
              <w:jc w:val="left"/>
              <w:rPr>
                <w:sz w:val="16"/>
              </w:rPr>
            </w:pPr>
            <w:r>
              <w:rPr>
                <w:b/>
                <w:color w:val="1F2668"/>
                <w:sz w:val="16"/>
              </w:rPr>
              <w:t>Marc Holliday</w:t>
            </w:r>
            <w:r>
              <w:rPr>
                <w:sz w:val="16"/>
              </w:rPr>
              <w:t xml:space="preserve"> </w:t>
              <w:br/>
            </w:r>
            <w:r>
              <w:rPr>
                <w:spacing w:val="-2"/>
                <w:sz w:val="16"/>
              </w:rPr>
              <w:t xml:space="preserve">Chief Executive </w:t>
              <w:br/>
              <w:t xml:space="preserve">Officer, Chairman of the Board and </w:t>
              <w:br/>
              <w:t xml:space="preserve">Interim President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46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1,250,000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69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15,767,540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34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1,454,167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60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36,464</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18,508,171</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691"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14,284,701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1,051,094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75,060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16,660,855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1,250,000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691"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18,099,677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1,681,250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57,130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21,088,057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restart"/>
            <w:tcBorders>
              <w:bottom w:val="single" w:sz="2" w:space="0" w:color="4B5088"/>
            </w:tcBorders>
            <w:tcMar>
              <w:bottom w:w="46" w:type="dxa"/>
            </w:tcMar>
            <w:vAlign w:val="center"/>
          </w:tcPr>
          <w:p>
            <w:pPr>
              <w:pStyle w:val="TableContents"/>
              <w:bidi w:val="0"/>
              <w:spacing w:before="0" w:after="0"/>
              <w:jc w:val="left"/>
              <w:rPr/>
            </w:pPr>
            <w:r>
              <w:rPr>
                <w:b/>
                <w:color w:val="1F2668"/>
                <w:sz w:val="16"/>
              </w:rPr>
              <w:t>Andrew Mathias</w:t>
            </w:r>
            <w:r>
              <w:rPr>
                <w:sz w:val="16"/>
              </w:rPr>
              <w:t xml:space="preserve"> </w:t>
              <w:br/>
            </w:r>
            <w:r>
              <w:rPr>
                <w:spacing w:val="-2"/>
                <w:sz w:val="16"/>
              </w:rPr>
              <w:t>Former President</w:t>
            </w:r>
            <w:r>
              <w:rPr>
                <w:spacing w:val="-1"/>
                <w:szCs w:val="10"/>
              </w:rPr>
              <w:t>﻿</w:t>
            </w:r>
            <w:r>
              <w:rPr>
                <w:spacing w:val="-1"/>
                <w:sz w:val="10"/>
              </w:rPr>
              <w:t>(3)</w:t>
            </w:r>
            <w:r>
              <w:rPr>
                <w:sz w:val="16"/>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46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950,000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69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11,657,025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34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60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13,200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12,620,225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950,000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691"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11,685,931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82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55,570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12,691,501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950,000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691"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14,929,026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82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50,522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15,929,548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restart"/>
            <w:tcBorders>
              <w:bottom w:val="single" w:sz="2" w:space="0" w:color="4B5088"/>
            </w:tcBorders>
            <w:tcMar>
              <w:bottom w:w="46" w:type="dxa"/>
            </w:tcMar>
            <w:vAlign w:val="center"/>
          </w:tcPr>
          <w:p>
            <w:pPr>
              <w:pStyle w:val="TableContents"/>
              <w:bidi w:val="0"/>
              <w:spacing w:before="0" w:after="0"/>
              <w:jc w:val="left"/>
              <w:rPr>
                <w:b/>
                <w:sz w:val="16"/>
              </w:rPr>
            </w:pPr>
            <w:r>
              <w:rPr>
                <w:b/>
                <w:color w:val="1F2668"/>
                <w:sz w:val="16"/>
              </w:rPr>
              <w:t>Matthew J. DiLiberto</w:t>
            </w:r>
            <w:r>
              <w:rPr>
                <w:b/>
                <w:sz w:val="16"/>
              </w:rPr>
              <w:t xml:space="preserve"> </w:t>
              <w:br/>
            </w:r>
            <w:r>
              <w:rPr>
                <w:b w:val="false"/>
                <w:spacing w:val="-2"/>
                <w:sz w:val="16"/>
              </w:rPr>
              <w:t xml:space="preserve">Chief Financial Officer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46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600,000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69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2,652,701</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34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60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13,200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3,265,901</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575,000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91" w:type="dxa"/>
            <w:tcBorders>
              <w:bottom w:val="single" w:sz="2" w:space="0" w:color="4B5088"/>
            </w:tcBorders>
            <w:tcMar>
              <w:bottom w:w="46" w:type="dxa"/>
            </w:tcMar>
            <w:vAlign w:val="center"/>
          </w:tcPr>
          <w:p>
            <w:pPr>
              <w:pStyle w:val="TableContents"/>
              <w:bidi w:val="0"/>
              <w:spacing w:before="0" w:after="0"/>
              <w:jc w:val="right"/>
              <w:rPr>
                <w:sz w:val="16"/>
              </w:rPr>
            </w:pPr>
            <w:r>
              <w:rPr>
                <w:sz w:val="16"/>
              </w:rPr>
              <w:t>725,000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2,488,387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82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12,200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3,800,587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continue"/>
            <w:tcBorders>
              <w:bottom w:val="single" w:sz="2" w:space="0" w:color="4B508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550,000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91" w:type="dxa"/>
            <w:tcBorders>
              <w:bottom w:val="single" w:sz="2" w:space="0" w:color="4B5088"/>
            </w:tcBorders>
            <w:tcMar>
              <w:bottom w:w="46" w:type="dxa"/>
            </w:tcMar>
            <w:vAlign w:val="center"/>
          </w:tcPr>
          <w:p>
            <w:pPr>
              <w:pStyle w:val="TableContents"/>
              <w:bidi w:val="0"/>
              <w:spacing w:before="0" w:after="0"/>
              <w:jc w:val="right"/>
              <w:rPr>
                <w:sz w:val="16"/>
              </w:rPr>
            </w:pPr>
            <w:r>
              <w:rPr>
                <w:sz w:val="16"/>
              </w:rPr>
              <w:t>925,000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2,318,872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82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11,600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3,830,472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restart"/>
            <w:tcBorders>
              <w:bottom w:val="single" w:sz="2" w:space="0" w:color="1F2668"/>
            </w:tcBorders>
            <w:tcMar>
              <w:bottom w:w="46" w:type="dxa"/>
            </w:tcMar>
            <w:vAlign w:val="center"/>
          </w:tcPr>
          <w:p>
            <w:pPr>
              <w:pStyle w:val="TableContents"/>
              <w:bidi w:val="0"/>
              <w:spacing w:before="0" w:after="0"/>
              <w:jc w:val="left"/>
              <w:rPr>
                <w:sz w:val="16"/>
              </w:rPr>
            </w:pPr>
            <w:r>
              <w:rPr>
                <w:b/>
                <w:color w:val="1F2668"/>
                <w:sz w:val="16"/>
              </w:rPr>
              <w:t>Andrew S. Levine</w:t>
            </w:r>
            <w:r>
              <w:rPr>
                <w:sz w:val="16"/>
              </w:rPr>
              <w:t xml:space="preserve"> </w:t>
              <w:br/>
            </w:r>
            <w:r>
              <w:rPr>
                <w:spacing w:val="-2"/>
                <w:sz w:val="16"/>
              </w:rPr>
              <w:t xml:space="preserve">Chief Legal Officer </w:t>
              <w:br/>
              <w:t xml:space="preserve">and General Counsel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46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580,000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69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2,839,185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34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82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601"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13,200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w:t>
            </w:r>
          </w:p>
        </w:tc>
        <w:tc>
          <w:tcPr>
            <w:tcW w:w="916" w:type="dxa"/>
            <w:tcBorders>
              <w:bottom w:val="single" w:sz="2" w:space="0" w:color="4B5088"/>
            </w:tcBorders>
            <w:shd w:fill="E9F9D8" w:val="clear"/>
            <w:tcMar>
              <w:bottom w:w="46" w:type="dxa"/>
            </w:tcMar>
            <w:vAlign w:val="center"/>
          </w:tcPr>
          <w:p>
            <w:pPr>
              <w:pStyle w:val="TableContents"/>
              <w:bidi w:val="0"/>
              <w:spacing w:lineRule="atLeast" w:line="177" w:before="0" w:after="0"/>
              <w:jc w:val="right"/>
              <w:rPr>
                <w:sz w:val="16"/>
              </w:rPr>
            </w:pPr>
            <w:r>
              <w:rPr>
                <w:sz w:val="16"/>
              </w:rPr>
              <w:t>3,432,385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826" w:type="dxa"/>
            <w:vMerge w:val="continue"/>
            <w:tcBorders>
              <w:bottom w:val="single" w:sz="2" w:space="0" w:color="1F266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466" w:type="dxa"/>
            <w:tcBorders>
              <w:bottom w:val="single" w:sz="2" w:space="0" w:color="4B5088"/>
            </w:tcBorders>
            <w:tcMar>
              <w:bottom w:w="46" w:type="dxa"/>
            </w:tcMar>
            <w:vAlign w:val="center"/>
          </w:tcPr>
          <w:p>
            <w:pPr>
              <w:pStyle w:val="TableContents"/>
              <w:bidi w:val="0"/>
              <w:spacing w:before="0" w:after="0"/>
              <w:jc w:val="right"/>
              <w:rPr>
                <w:sz w:val="16"/>
              </w:rPr>
            </w:pPr>
            <w:r>
              <w:rPr>
                <w:sz w:val="16"/>
              </w:rPr>
              <w:t>2022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4B5088"/>
            </w:tcBorders>
            <w:tcMar>
              <w:bottom w:w="46" w:type="dxa"/>
            </w:tcMar>
            <w:vAlign w:val="center"/>
          </w:tcPr>
          <w:p>
            <w:pPr>
              <w:pStyle w:val="TableContents"/>
              <w:bidi w:val="0"/>
              <w:spacing w:before="0" w:after="0"/>
              <w:jc w:val="right"/>
              <w:rPr>
                <w:sz w:val="16"/>
              </w:rPr>
            </w:pPr>
            <w:r>
              <w:rPr>
                <w:sz w:val="16"/>
              </w:rPr>
              <w:t>580,000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691"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3,935,842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46" w:type="dxa"/>
            </w:tcMar>
            <w:vAlign w:val="center"/>
          </w:tcPr>
          <w:p>
            <w:pPr>
              <w:pStyle w:val="TableContents"/>
              <w:bidi w:val="0"/>
              <w:spacing w:before="0" w:after="0"/>
              <w:jc w:val="right"/>
              <w:rPr/>
            </w:pPr>
            <w:r>
              <w:rPr/>
              <w:t>​</w:t>
            </w:r>
          </w:p>
        </w:tc>
        <w:tc>
          <w:tcPr>
            <w:tcW w:w="34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pPr>
            <w:r>
              <w:rPr/>
              <w:t>​</w:t>
            </w:r>
          </w:p>
        </w:tc>
        <w:tc>
          <w:tcPr>
            <w:tcW w:w="826" w:type="dxa"/>
            <w:tcBorders>
              <w:bottom w:val="single" w:sz="2" w:space="0" w:color="4B5088"/>
            </w:tcBorders>
            <w:tcMar>
              <w:bottom w:w="46"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4B5088"/>
            </w:tcBorders>
            <w:tcMar>
              <w:bottom w:w="46" w:type="dxa"/>
            </w:tcMar>
            <w:vAlign w:val="center"/>
          </w:tcPr>
          <w:p>
            <w:pPr>
              <w:pStyle w:val="TableContents"/>
              <w:bidi w:val="0"/>
              <w:spacing w:before="0" w:after="0"/>
              <w:jc w:val="right"/>
              <w:rPr>
                <w:sz w:val="16"/>
              </w:rPr>
            </w:pPr>
            <w:r>
              <w:rPr>
                <w:sz w:val="16"/>
              </w:rPr>
              <w:t>12,200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4B5088"/>
            </w:tcBorders>
            <w:tcMar>
              <w:bottom w:w="46" w:type="dxa"/>
            </w:tcMar>
            <w:vAlign w:val="center"/>
          </w:tcPr>
          <w:p>
            <w:pPr>
              <w:pStyle w:val="TableContents"/>
              <w:bidi w:val="0"/>
              <w:spacing w:before="0" w:after="0"/>
              <w:jc w:val="right"/>
              <w:rPr>
                <w:sz w:val="16"/>
              </w:rPr>
            </w:pPr>
            <w:r>
              <w:rPr>
                <w:sz w:val="16"/>
              </w:rPr>
              <w:t>4,528,042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26" w:type="dxa"/>
            <w:vMerge w:val="continue"/>
            <w:tcBorders>
              <w:bottom w:val="single" w:sz="2" w:space="0" w:color="1F2668"/>
            </w:tcBorders>
            <w:tcMar>
              <w:bottom w:w="4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46" w:type="dxa"/>
            </w:tcMar>
            <w:vAlign w:val="center"/>
          </w:tcPr>
          <w:p>
            <w:pPr>
              <w:pStyle w:val="TableContents"/>
              <w:bidi w:val="0"/>
              <w:spacing w:before="0" w:after="0"/>
              <w:jc w:val="right"/>
              <w:rPr/>
            </w:pPr>
            <w:r>
              <w:rPr/>
              <w:t>​</w:t>
            </w:r>
          </w:p>
        </w:tc>
        <w:tc>
          <w:tcPr>
            <w:tcW w:w="466" w:type="dxa"/>
            <w:tcBorders>
              <w:bottom w:val="single" w:sz="2" w:space="0" w:color="1F2668"/>
            </w:tcBorders>
            <w:tcMar>
              <w:bottom w:w="46" w:type="dxa"/>
            </w:tcMar>
            <w:vAlign w:val="center"/>
          </w:tcPr>
          <w:p>
            <w:pPr>
              <w:pStyle w:val="TableContents"/>
              <w:bidi w:val="0"/>
              <w:spacing w:before="0" w:after="0"/>
              <w:jc w:val="right"/>
              <w:rPr>
                <w:sz w:val="16"/>
              </w:rPr>
            </w:pPr>
            <w:r>
              <w:rPr>
                <w:sz w:val="16"/>
              </w:rPr>
              <w:t>2021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sz w:val="16"/>
              </w:rPr>
            </w:pPr>
            <w:r>
              <w:rPr>
                <w:sz w:val="16"/>
              </w:rPr>
              <w:t>$</w:t>
            </w:r>
          </w:p>
        </w:tc>
        <w:tc>
          <w:tcPr>
            <w:tcW w:w="826" w:type="dxa"/>
            <w:tcBorders>
              <w:bottom w:val="single" w:sz="2" w:space="0" w:color="1F2668"/>
            </w:tcBorders>
            <w:tcMar>
              <w:bottom w:w="46" w:type="dxa"/>
            </w:tcMar>
            <w:vAlign w:val="center"/>
          </w:tcPr>
          <w:p>
            <w:pPr>
              <w:pStyle w:val="TableContents"/>
              <w:bidi w:val="0"/>
              <w:spacing w:before="0" w:after="0"/>
              <w:jc w:val="right"/>
              <w:rPr>
                <w:sz w:val="16"/>
              </w:rPr>
            </w:pPr>
            <w:r>
              <w:rPr>
                <w:sz w:val="16"/>
              </w:rPr>
              <w:t>580,000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pPr>
            <w:r>
              <w:rPr/>
              <w:t>​</w:t>
            </w:r>
          </w:p>
        </w:tc>
        <w:tc>
          <w:tcPr>
            <w:tcW w:w="691" w:type="dxa"/>
            <w:tcBorders>
              <w:bottom w:val="single" w:sz="2" w:space="0" w:color="1F2668"/>
            </w:tcBorders>
            <w:tcMar>
              <w:bottom w:w="46"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1F2668"/>
            </w:tcBorders>
            <w:tcMar>
              <w:bottom w:w="46" w:type="dxa"/>
            </w:tcMar>
            <w:vAlign w:val="center"/>
          </w:tcPr>
          <w:p>
            <w:pPr>
              <w:pStyle w:val="TableContents"/>
              <w:bidi w:val="0"/>
              <w:spacing w:before="0" w:after="0"/>
              <w:jc w:val="right"/>
              <w:rPr>
                <w:sz w:val="16"/>
              </w:rPr>
            </w:pPr>
            <w:r>
              <w:rPr>
                <w:sz w:val="16"/>
              </w:rPr>
              <w:t>2,783,700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46" w:type="dxa"/>
            </w:tcMar>
            <w:vAlign w:val="center"/>
          </w:tcPr>
          <w:p>
            <w:pPr>
              <w:pStyle w:val="TableContents"/>
              <w:bidi w:val="0"/>
              <w:spacing w:before="0" w:after="0"/>
              <w:jc w:val="right"/>
              <w:rPr/>
            </w:pPr>
            <w:r>
              <w:rPr/>
              <w:t>​</w:t>
            </w:r>
          </w:p>
        </w:tc>
        <w:tc>
          <w:tcPr>
            <w:tcW w:w="346" w:type="dxa"/>
            <w:tcBorders>
              <w:bottom w:val="single" w:sz="2" w:space="0" w:color="1F2668"/>
            </w:tcBorders>
            <w:tcMar>
              <w:bottom w:w="46"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pPr>
            <w:r>
              <w:rPr/>
              <w:t>​</w:t>
            </w:r>
          </w:p>
        </w:tc>
        <w:tc>
          <w:tcPr>
            <w:tcW w:w="826" w:type="dxa"/>
            <w:tcBorders>
              <w:bottom w:val="single" w:sz="2" w:space="0" w:color="1F2668"/>
            </w:tcBorders>
            <w:tcMar>
              <w:bottom w:w="46" w:type="dxa"/>
            </w:tcMar>
            <w:vAlign w:val="center"/>
          </w:tcPr>
          <w:p>
            <w:pPr>
              <w:pStyle w:val="TableContents"/>
              <w:bidi w:val="0"/>
              <w:spacing w:before="0" w:after="0"/>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sz w:val="16"/>
              </w:rPr>
            </w:pPr>
            <w:r>
              <w:rPr>
                <w:sz w:val="16"/>
              </w:rPr>
              <w:t>$</w:t>
            </w:r>
          </w:p>
        </w:tc>
        <w:tc>
          <w:tcPr>
            <w:tcW w:w="601" w:type="dxa"/>
            <w:tcBorders>
              <w:bottom w:val="single" w:sz="2" w:space="0" w:color="1F2668"/>
            </w:tcBorders>
            <w:tcMar>
              <w:bottom w:w="46" w:type="dxa"/>
            </w:tcMar>
            <w:vAlign w:val="center"/>
          </w:tcPr>
          <w:p>
            <w:pPr>
              <w:pStyle w:val="TableContents"/>
              <w:bidi w:val="0"/>
              <w:spacing w:before="0" w:after="0"/>
              <w:jc w:val="right"/>
              <w:rPr>
                <w:sz w:val="16"/>
              </w:rPr>
            </w:pPr>
            <w:r>
              <w:rPr>
                <w:sz w:val="16"/>
              </w:rPr>
              <w:t>11,600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96" w:type="dxa"/>
            <w:tcBorders>
              <w:bottom w:val="single" w:sz="2" w:space="0" w:color="1F2668"/>
            </w:tcBorders>
            <w:tcMar>
              <w:bottom w:w="46" w:type="dxa"/>
            </w:tcMar>
            <w:vAlign w:val="center"/>
          </w:tcPr>
          <w:p>
            <w:pPr>
              <w:pStyle w:val="TableContents"/>
              <w:bidi w:val="0"/>
              <w:spacing w:before="0" w:after="0"/>
              <w:jc w:val="right"/>
              <w:rPr>
                <w:sz w:val="16"/>
              </w:rPr>
            </w:pPr>
            <w:r>
              <w:rPr>
                <w:sz w:val="16"/>
              </w:rPr>
              <w:t>$</w:t>
            </w:r>
          </w:p>
        </w:tc>
        <w:tc>
          <w:tcPr>
            <w:tcW w:w="916" w:type="dxa"/>
            <w:tcBorders>
              <w:bottom w:val="single" w:sz="2" w:space="0" w:color="1F2668"/>
            </w:tcBorders>
            <w:tcMar>
              <w:bottom w:w="46" w:type="dxa"/>
            </w:tcMar>
            <w:vAlign w:val="center"/>
          </w:tcPr>
          <w:p>
            <w:pPr>
              <w:pStyle w:val="TableContents"/>
              <w:bidi w:val="0"/>
              <w:spacing w:before="0" w:after="0"/>
              <w:jc w:val="right"/>
              <w:rPr>
                <w:sz w:val="16"/>
              </w:rPr>
            </w:pPr>
            <w:r>
              <w:rPr>
                <w:sz w:val="16"/>
              </w:rPr>
              <w:t>3,375,300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shown do not reflect compensation actually received by the named executive officer. Instead, the amounts shown are the full grant date fair value of stock awards and option awards issued to the executives in 2023, 2022 and 2021, respectively. In accordance with SEC disclosure requirements, the amounts for 2023 include the full grant date fair value of our 2023 annual performance-based equity awards, which were as follows: Mr. Holliday—$9,920,005; Mr. Mathias—$7,935,992; Mr. DiLiberto—$778,011; and Mr. Levine—</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2"/>
          <w:sz w:val="16"/>
        </w:rPr>
        <w:t>$778,011,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2023 used an assumed stock price volatility level of 55% on our common stock and a risk-free interest rate of 3.97%.</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62">
                <wp:simplePos x="0" y="0"/>
                <wp:positionH relativeFrom="column">
                  <wp:align>left</wp:align>
                </wp:positionH>
                <wp:positionV relativeFrom="line">
                  <wp:align>top</wp:align>
                </wp:positionV>
                <wp:extent cx="254000" cy="350520"/>
                <wp:effectExtent l="0" t="0" r="0" b="0"/>
                <wp:wrapSquare wrapText="right"/>
                <wp:docPr id="844"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120" w:after="283"/>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Assuming that maximum performance is achieved under our 2023 annual performance-based equity awards, the value at the grant date of the awards would each have been as follows: Mr. Holliday—$19,766,210; Mr. Mathias—$15,812,968; Mr. DiLiberto—$1,464,142; and Mr. Levine—$1,464,142, respectively. See “— Compensation Discussion and Analysis—Our 2023 Executive Compensation Program” for a description of the terms of these performance-based awards.</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140" w:after="0"/>
        <w:ind w:left="13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and footnotes below show the components of this column for 2023, which include certain perquisites such as Company 401(k) matching contributions.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88900" distB="0" distL="0" distR="0" simplePos="0" locked="0" layoutInCell="1" allowOverlap="1" relativeHeight="763">
                <wp:simplePos x="0" y="0"/>
                <wp:positionH relativeFrom="column">
                  <wp:align>left</wp:align>
                </wp:positionH>
                <wp:positionV relativeFrom="line">
                  <wp:align>top</wp:align>
                </wp:positionV>
                <wp:extent cx="254000" cy="304800"/>
                <wp:effectExtent l="0" t="0" r="0" b="0"/>
                <wp:wrapSquare wrapText="right"/>
                <wp:docPr id="845" name="Frame46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4586" w:type="dxa"/>
        <w:jc w:val="left"/>
        <w:tblInd w:w="900" w:type="dxa"/>
        <w:tblLayout w:type="fixed"/>
        <w:tblCellMar>
          <w:top w:w="0" w:type="dxa"/>
          <w:left w:w="0" w:type="dxa"/>
          <w:bottom w:w="73" w:type="dxa"/>
          <w:right w:w="0" w:type="dxa"/>
        </w:tblCellMar>
      </w:tblPr>
      <w:tblGrid>
        <w:gridCol w:w="2341"/>
        <w:gridCol w:w="109"/>
        <w:gridCol w:w="109"/>
        <w:gridCol w:w="164"/>
        <w:gridCol w:w="341"/>
        <w:gridCol w:w="1203"/>
        <w:gridCol w:w="165"/>
        <w:gridCol w:w="154"/>
      </w:tblGrid>
      <w:tr>
        <w:trPr/>
        <w:tc>
          <w:tcPr>
            <w:tcW w:w="2341" w:type="dxa"/>
            <w:tcBorders>
              <w:bottom w:val="single" w:sz="2" w:space="0" w:color="1F2668"/>
            </w:tcBorders>
            <w:vAlign w:val="center"/>
          </w:tcPr>
          <w:p>
            <w:pPr>
              <w:pStyle w:val="TableContents"/>
              <w:bidi w:val="0"/>
              <w:spacing w:before="0" w:after="0"/>
              <w:jc w:val="left"/>
              <w:rPr>
                <w:spacing w:val="1"/>
              </w:rPr>
            </w:pPr>
            <w:r>
              <w:rPr>
                <w:spacing w:val="1"/>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3" w:type="dxa"/>
            <w:gridSpan w:val="4"/>
            <w:tcBorders>
              <w:bottom w:val="single" w:sz="2" w:space="0" w:color="1F2668"/>
            </w:tcBorders>
            <w:vAlign w:val="center"/>
          </w:tcPr>
          <w:p>
            <w:pPr>
              <w:pStyle w:val="TableContents"/>
              <w:bidi w:val="0"/>
              <w:spacing w:before="0" w:after="0"/>
              <w:jc w:val="right"/>
              <w:rPr/>
            </w:pPr>
            <w:r>
              <w:rPr>
                <w:spacing w:val="1"/>
              </w:rPr>
              <w:t xml:space="preserve">All Other </w:t>
              <w:br/>
              <w:t>Compensation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46"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341" w:type="dxa"/>
            <w:tcBorders>
              <w:bottom w:val="single" w:sz="2" w:space="0" w:color="4B5088"/>
            </w:tcBorders>
            <w:tcMar>
              <w:bottom w:w="46" w:type="dxa"/>
            </w:tcMar>
            <w:vAlign w:val="center"/>
          </w:tcPr>
          <w:p>
            <w:pPr>
              <w:pStyle w:val="TableContents"/>
              <w:bidi w:val="0"/>
              <w:spacing w:before="0" w:after="283"/>
              <w:jc w:val="right"/>
              <w:rPr/>
            </w:pPr>
            <w:r>
              <w:rPr/>
              <w:t>$</w:t>
            </w:r>
          </w:p>
        </w:tc>
        <w:tc>
          <w:tcPr>
            <w:tcW w:w="1203" w:type="dxa"/>
            <w:tcBorders>
              <w:bottom w:val="single" w:sz="2" w:space="0" w:color="4B5088"/>
            </w:tcBorders>
            <w:tcMar>
              <w:bottom w:w="46" w:type="dxa"/>
            </w:tcMar>
            <w:vAlign w:val="center"/>
          </w:tcPr>
          <w:p>
            <w:pPr>
              <w:pStyle w:val="TableContents"/>
              <w:bidi w:val="0"/>
              <w:spacing w:before="0" w:after="283"/>
              <w:jc w:val="right"/>
              <w:rPr/>
            </w:pPr>
            <w:r>
              <w:rPr/>
              <w:t>36,464</w:t>
            </w:r>
            <w:r>
              <w:rPr>
                <w:sz w:val="10"/>
              </w:rPr>
              <w:t>(a)</w:t>
            </w:r>
            <w:r>
              <w:rPr/>
              <w:t xml:space="preserve"> </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46"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341" w:type="dxa"/>
            <w:tcBorders>
              <w:bottom w:val="single" w:sz="2" w:space="0" w:color="4B5088"/>
            </w:tcBorders>
            <w:tcMar>
              <w:bottom w:w="46" w:type="dxa"/>
            </w:tcMar>
            <w:vAlign w:val="center"/>
          </w:tcPr>
          <w:p>
            <w:pPr>
              <w:pStyle w:val="TableContents"/>
              <w:bidi w:val="0"/>
              <w:spacing w:before="0" w:after="283"/>
              <w:jc w:val="right"/>
              <w:rPr/>
            </w:pPr>
            <w:r>
              <w:rPr/>
              <w:t>$</w:t>
            </w:r>
          </w:p>
        </w:tc>
        <w:tc>
          <w:tcPr>
            <w:tcW w:w="1203" w:type="dxa"/>
            <w:tcBorders>
              <w:bottom w:val="single" w:sz="2" w:space="0" w:color="4B5088"/>
            </w:tcBorders>
            <w:tcMar>
              <w:bottom w:w="46" w:type="dxa"/>
            </w:tcMar>
            <w:vAlign w:val="center"/>
          </w:tcPr>
          <w:p>
            <w:pPr>
              <w:pStyle w:val="TableContents"/>
              <w:bidi w:val="0"/>
              <w:spacing w:before="0" w:after="283"/>
              <w:jc w:val="right"/>
              <w:rPr/>
            </w:pPr>
            <w:r>
              <w:rPr/>
              <w:t>13,200</w:t>
            </w:r>
            <w:r>
              <w:rPr>
                <w:sz w:val="10"/>
              </w:rPr>
              <w:t>(b)</w:t>
            </w:r>
            <w:r>
              <w:rPr/>
              <w:t xml:space="preserve"> </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46"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4B5088"/>
            </w:tcBorders>
            <w:tcMar>
              <w:bottom w:w="28" w:type="dxa"/>
            </w:tcMar>
            <w:vAlign w:val="center"/>
          </w:tcPr>
          <w:p>
            <w:pPr>
              <w:pStyle w:val="TableContents"/>
              <w:bidi w:val="0"/>
              <w:spacing w:before="0" w:after="283"/>
              <w:jc w:val="left"/>
              <w:rPr/>
            </w:pPr>
            <w:r>
              <w:rPr/>
              <w:t>​</w:t>
            </w:r>
          </w:p>
        </w:tc>
        <w:tc>
          <w:tcPr>
            <w:tcW w:w="341" w:type="dxa"/>
            <w:tcBorders>
              <w:bottom w:val="single" w:sz="2" w:space="0" w:color="4B5088"/>
            </w:tcBorders>
            <w:tcMar>
              <w:bottom w:w="46" w:type="dxa"/>
            </w:tcMar>
            <w:vAlign w:val="center"/>
          </w:tcPr>
          <w:p>
            <w:pPr>
              <w:pStyle w:val="TableContents"/>
              <w:bidi w:val="0"/>
              <w:spacing w:before="0" w:after="283"/>
              <w:jc w:val="right"/>
              <w:rPr/>
            </w:pPr>
            <w:r>
              <w:rPr/>
              <w:t>$</w:t>
            </w:r>
          </w:p>
        </w:tc>
        <w:tc>
          <w:tcPr>
            <w:tcW w:w="1203" w:type="dxa"/>
            <w:tcBorders>
              <w:bottom w:val="single" w:sz="2" w:space="0" w:color="4B5088"/>
            </w:tcBorders>
            <w:tcMar>
              <w:bottom w:w="46" w:type="dxa"/>
            </w:tcMar>
            <w:vAlign w:val="center"/>
          </w:tcPr>
          <w:p>
            <w:pPr>
              <w:pStyle w:val="TableContents"/>
              <w:bidi w:val="0"/>
              <w:spacing w:before="0" w:after="283"/>
              <w:jc w:val="right"/>
              <w:rPr/>
            </w:pPr>
            <w:r>
              <w:rPr/>
              <w:t>13,200</w:t>
            </w:r>
            <w:r>
              <w:rPr>
                <w:sz w:val="10"/>
              </w:rPr>
              <w:t>(b)</w:t>
            </w:r>
            <w:r>
              <w:rPr/>
              <w:t xml:space="preserve"> </w:t>
            </w:r>
          </w:p>
        </w:tc>
        <w:tc>
          <w:tcPr>
            <w:tcW w:w="165"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46" w:type="dxa"/>
            </w:tcMar>
            <w:vAlign w:val="center"/>
          </w:tcPr>
          <w:p>
            <w:pPr>
              <w:pStyle w:val="TableContents"/>
              <w:bidi w:val="0"/>
              <w:spacing w:before="0" w:after="0"/>
              <w:jc w:val="left"/>
              <w:rPr>
                <w:b/>
              </w:rPr>
            </w:pPr>
            <w:r>
              <w:rPr>
                <w:b/>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1F2668"/>
            </w:tcBorders>
            <w:tcMar>
              <w:bottom w:w="28" w:type="dxa"/>
            </w:tcMar>
            <w:vAlign w:val="center"/>
          </w:tcPr>
          <w:p>
            <w:pPr>
              <w:pStyle w:val="TableContents"/>
              <w:bidi w:val="0"/>
              <w:spacing w:before="0" w:after="283"/>
              <w:jc w:val="left"/>
              <w:rPr/>
            </w:pPr>
            <w:r>
              <w:rPr/>
              <w:t>​</w:t>
            </w:r>
          </w:p>
        </w:tc>
        <w:tc>
          <w:tcPr>
            <w:tcW w:w="341" w:type="dxa"/>
            <w:tcBorders>
              <w:bottom w:val="single" w:sz="2" w:space="0" w:color="1F2668"/>
            </w:tcBorders>
            <w:tcMar>
              <w:bottom w:w="46" w:type="dxa"/>
            </w:tcMar>
            <w:vAlign w:val="center"/>
          </w:tcPr>
          <w:p>
            <w:pPr>
              <w:pStyle w:val="TableContents"/>
              <w:bidi w:val="0"/>
              <w:spacing w:before="0" w:after="0"/>
              <w:jc w:val="right"/>
              <w:rPr>
                <w:color w:val="000000"/>
              </w:rPr>
            </w:pPr>
            <w:r>
              <w:rPr>
                <w:color w:val="000000"/>
              </w:rPr>
              <w:t>$</w:t>
            </w:r>
          </w:p>
        </w:tc>
        <w:tc>
          <w:tcPr>
            <w:tcW w:w="1203" w:type="dxa"/>
            <w:tcBorders>
              <w:bottom w:val="single" w:sz="2" w:space="0" w:color="1F2668"/>
            </w:tcBorders>
            <w:tcMar>
              <w:bottom w:w="46" w:type="dxa"/>
            </w:tcMar>
            <w:vAlign w:val="center"/>
          </w:tcPr>
          <w:p>
            <w:pPr>
              <w:pStyle w:val="TableContents"/>
              <w:bidi w:val="0"/>
              <w:spacing w:before="0" w:after="0"/>
              <w:jc w:val="right"/>
              <w:rPr>
                <w:color w:val="000000"/>
              </w:rPr>
            </w:pPr>
            <w:r>
              <w:rPr>
                <w:color w:val="000000"/>
              </w:rPr>
              <w:t>13,200</w:t>
            </w:r>
            <w:r>
              <w:rPr>
                <w:color w:val="000000"/>
                <w:sz w:val="10"/>
              </w:rPr>
              <w:t>(b)</w:t>
            </w:r>
          </w:p>
        </w:tc>
        <w:tc>
          <w:tcPr>
            <w:tcW w:w="165"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(i) the Company’s matching contributions with respect to amounts earned by the named executive officer under our 401(k) plan ($13,200) and (ii) life insurance premiums ($23,264). The Company’s 401(k) matching contributions are credited in the year subsequent to which employees make their contributions.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64">
                <wp:simplePos x="0" y="0"/>
                <wp:positionH relativeFrom="column">
                  <wp:align>left</wp:align>
                </wp:positionH>
                <wp:positionV relativeFrom="line">
                  <wp:align>top</wp:align>
                </wp:positionV>
                <wp:extent cx="254000" cy="350520"/>
                <wp:effectExtent l="0" t="0" r="0" b="0"/>
                <wp:wrapSquare wrapText="right"/>
                <wp:docPr id="846"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Company’s matching contributions with respect to amounts earned by the named executive officer under our 401(k) plan ($13,200). The Company’s 401(k) matching contributions are credited in the year subsequent to which employees make their contributions.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765">
                <wp:simplePos x="0" y="0"/>
                <wp:positionH relativeFrom="column">
                  <wp:align>left</wp:align>
                </wp:positionH>
                <wp:positionV relativeFrom="line">
                  <wp:align>top</wp:align>
                </wp:positionV>
                <wp:extent cx="254000" cy="350520"/>
                <wp:effectExtent l="0" t="0" r="0" b="0"/>
                <wp:wrapSquare wrapText="right"/>
                <wp:docPr id="847"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Does not include amounts that became payable in 2024 pursuant to the terms of employment agreement. See “—Potential Payments Upon Termination or Change in Control.” </w:t>
      </w:r>
      <w:r>
        <mc:AlternateContent>
          <mc:Choice Requires="wps">
            <w:drawing>
              <wp:anchor behindDoc="0" distT="50800" distB="0" distL="0" distR="0" simplePos="0" locked="0" layoutInCell="1" allowOverlap="1" relativeHeight="766">
                <wp:simplePos x="0" y="0"/>
                <wp:positionH relativeFrom="column">
                  <wp:align>left</wp:align>
                </wp:positionH>
                <wp:positionV relativeFrom="line">
                  <wp:align>top</wp:align>
                </wp:positionV>
                <wp:extent cx="254000" cy="350520"/>
                <wp:effectExtent l="0" t="0" r="0" b="0"/>
                <wp:wrapSquare wrapText="right"/>
                <wp:docPr id="848"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68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Grants of Plan-Based Awards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2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each grant of an award made to a named executive officer in the fiscal year ended December 31, 2023.</w:t>
      </w:r>
      <w:r>
        <w:rPr>
          <w:rFonts w:ascii="Arial;Helvetica;sans-serif" w:hAnsi="Arial;Helvetica;sans-serif"/>
          <w:b w:val="false"/>
          <w:i w:val="false"/>
          <w:caps w:val="false"/>
          <w:smallCaps w:val="false"/>
          <w:color w:val="000000"/>
          <w:spacing w:val="4"/>
          <w:sz w:val="18"/>
        </w:rPr>
        <w:t xml:space="preserve"> </w:t>
      </w:r>
    </w:p>
    <w:tbl>
      <w:tblPr>
        <w:tblW w:w="16417" w:type="dxa"/>
        <w:jc w:val="left"/>
        <w:tblInd w:w="900" w:type="dxa"/>
        <w:tblLayout w:type="fixed"/>
        <w:tblCellMar>
          <w:top w:w="0" w:type="dxa"/>
          <w:left w:w="0" w:type="dxa"/>
          <w:bottom w:w="0" w:type="dxa"/>
          <w:right w:w="0" w:type="dxa"/>
        </w:tblCellMar>
      </w:tblPr>
      <w:tblGrid>
        <w:gridCol w:w="1126"/>
        <w:gridCol w:w="109"/>
        <w:gridCol w:w="109"/>
        <w:gridCol w:w="109"/>
        <w:gridCol w:w="109"/>
        <w:gridCol w:w="109"/>
        <w:gridCol w:w="586"/>
        <w:gridCol w:w="109"/>
        <w:gridCol w:w="109"/>
        <w:gridCol w:w="109"/>
        <w:gridCol w:w="109"/>
        <w:gridCol w:w="109"/>
        <w:gridCol w:w="686"/>
        <w:gridCol w:w="109"/>
        <w:gridCol w:w="109"/>
        <w:gridCol w:w="109"/>
        <w:gridCol w:w="109"/>
        <w:gridCol w:w="226"/>
        <w:gridCol w:w="916"/>
        <w:gridCol w:w="109"/>
        <w:gridCol w:w="109"/>
        <w:gridCol w:w="109"/>
        <w:gridCol w:w="109"/>
        <w:gridCol w:w="226"/>
        <w:gridCol w:w="1096"/>
        <w:gridCol w:w="109"/>
        <w:gridCol w:w="109"/>
        <w:gridCol w:w="109"/>
        <w:gridCol w:w="109"/>
        <w:gridCol w:w="226"/>
        <w:gridCol w:w="1096"/>
        <w:gridCol w:w="10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09"/>
        <w:gridCol w:w="109"/>
        <w:gridCol w:w="109"/>
        <w:gridCol w:w="226"/>
        <w:gridCol w:w="1066"/>
        <w:gridCol w:w="109"/>
        <w:gridCol w:w="154"/>
      </w:tblGrid>
      <w:tr>
        <w:trPr/>
        <w:tc>
          <w:tcPr>
            <w:tcW w:w="112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76" w:type="dxa"/>
            <w:gridSpan w:val="16"/>
            <w:tcBorders>
              <w:bottom w:val="single" w:sz="2" w:space="0" w:color="1F2668"/>
            </w:tcBorders>
            <w:tcMar>
              <w:bottom w:w="63" w:type="dxa"/>
            </w:tcMar>
            <w:vAlign w:val="center"/>
          </w:tcPr>
          <w:p>
            <w:pPr>
              <w:pStyle w:val="TableContents"/>
              <w:bidi w:val="0"/>
              <w:spacing w:before="0" w:after="0"/>
              <w:jc w:val="right"/>
              <w:rPr/>
            </w:pPr>
            <w:r>
              <w:rPr>
                <w:spacing w:val="1"/>
              </w:rPr>
              <w:t xml:space="preserve">Estimated Possible Payouts Under </w:t>
              <w:br/>
              <w:t>Non-Equity Incentive Plan Awards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1F2668"/>
            </w:tcBorders>
            <w:tcMar>
              <w:bottom w:w="63" w:type="dxa"/>
            </w:tcMar>
            <w:vAlign w:val="center"/>
          </w:tcPr>
          <w:p>
            <w:pPr>
              <w:pStyle w:val="TableContents"/>
              <w:bidi w:val="0"/>
              <w:spacing w:before="0" w:after="0"/>
              <w:jc w:val="right"/>
              <w:rPr/>
            </w:pPr>
            <w:r>
              <w:rPr>
                <w:spacing w:val="1"/>
              </w:rPr>
              <w:t xml:space="preserve">Estimated Future Payouts Under </w:t>
              <w:br/>
              <w:t>Equity Incentive Plan Awards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vMerge w:val="restart"/>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All Other </w:t>
              <w:br/>
              <w:t xml:space="preserve">Stock </w:t>
              <w:br/>
              <w:t xml:space="preserve">Awards: </w:t>
              <w:br/>
              <w:t xml:space="preserve">Number </w:t>
              <w:br/>
              <w:t xml:space="preserve">of Shares </w:t>
              <w:br/>
              <w:t xml:space="preserve">of Stock </w:t>
              <w:br/>
              <w:t xml:space="preserve">or Units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Grant </w:t>
              <w:br/>
              <w:t xml:space="preserve">Date Fair </w:t>
              <w:br/>
              <w:t xml:space="preserve">Value of </w:t>
              <w:br/>
              <w:t xml:space="preserve">Stock and </w:t>
              <w:br/>
              <w:t xml:space="preserve">Option </w:t>
              <w:br/>
              <w:t xml:space="preserve">Awards </w:t>
              <w:br/>
              <w:t>($)</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1F2668"/>
            </w:tcBorders>
            <w:tcMar>
              <w:bottom w:w="63" w:type="dxa"/>
            </w:tcMar>
            <w:vAlign w:val="center"/>
          </w:tcPr>
          <w:p>
            <w:pPr>
              <w:pStyle w:val="TableContents"/>
              <w:bidi w:val="0"/>
              <w:spacing w:before="0" w:after="0"/>
              <w:jc w:val="left"/>
              <w:rPr>
                <w:spacing w:val="1"/>
              </w:rPr>
            </w:pPr>
            <w:r>
              <w:rPr>
                <w:spacing w:val="1"/>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1F2668"/>
            </w:tcBorders>
            <w:tcMar>
              <w:bottom w:w="63" w:type="dxa"/>
            </w:tcMar>
            <w:vAlign w:val="center"/>
          </w:tcPr>
          <w:p>
            <w:pPr>
              <w:pStyle w:val="TableContents"/>
              <w:bidi w:val="0"/>
              <w:spacing w:before="0" w:after="0"/>
              <w:jc w:val="right"/>
              <w:rPr/>
            </w:pPr>
            <w:r>
              <w:rPr>
                <w:spacing w:val="1"/>
              </w:rPr>
              <w:t>Grant Date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3"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Approval </w:t>
              <w:br/>
              <w:t>Date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Threshold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Target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0"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Maximum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Threshold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Target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1F2668"/>
            </w:tcBorders>
            <w:tcMar>
              <w:bottom w:w="63" w:type="dxa"/>
            </w:tcMar>
            <w:vAlign w:val="center"/>
          </w:tcPr>
          <w:p>
            <w:pPr>
              <w:pStyle w:val="TableContents"/>
              <w:bidi w:val="0"/>
              <w:spacing w:lineRule="atLeast" w:line="157" w:before="0" w:after="0"/>
              <w:jc w:val="right"/>
              <w:rPr/>
            </w:pPr>
            <w:r>
              <w:rPr>
                <w:spacing w:val="1"/>
              </w:rPr>
              <w:t xml:space="preserve">Maximum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43"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1F2668"/>
            </w:tcBorders>
            <w:tcMar>
              <w:bottom w:w="63" w:type="dxa"/>
            </w:tcMar>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126" w:type="dxa"/>
            <w:vMerge w:val="restart"/>
            <w:tcBorders>
              <w:bottom w:val="single" w:sz="2" w:space="0" w:color="4B5088"/>
            </w:tcBorders>
            <w:tcMar>
              <w:bottom w:w="66" w:type="dxa"/>
            </w:tcMar>
            <w:vAlign w:val="center"/>
          </w:tcPr>
          <w:p>
            <w:pPr>
              <w:pStyle w:val="TableContents"/>
              <w:bidi w:val="0"/>
              <w:spacing w:lineRule="atLeast" w:line="177" w:before="0" w:after="0"/>
              <w:jc w:val="left"/>
              <w:rPr>
                <w:b/>
                <w:color w:val="1F2668"/>
              </w:rPr>
            </w:pPr>
            <w:r>
              <w:rPr>
                <w:b/>
                <w:color w:val="1F2668"/>
              </w:rPr>
              <w:t>Marc Holliday</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6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134,156</w:t>
            </w:r>
            <w:r>
              <w:rPr>
                <w:sz w:val="10"/>
              </w:rPr>
              <w:t>(1)</w:t>
            </w:r>
            <w:r>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4,554,596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4,888</w:t>
            </w:r>
            <w:r>
              <w:rPr>
                <w:sz w:val="10"/>
              </w:rPr>
              <w:t>(2)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150,013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104,809</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223,593</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503,085</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9,920,005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12/11/2023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12/11/2023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34,467</w:t>
            </w:r>
            <w:r>
              <w:rPr>
                <w:sz w:val="10"/>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1,142,926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625,000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2,500,000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3,750,000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restart"/>
            <w:tcBorders>
              <w:bottom w:val="single" w:sz="2" w:space="0" w:color="4B5088"/>
            </w:tcBorders>
            <w:tcMar>
              <w:bottom w:w="66" w:type="dxa"/>
            </w:tcMar>
            <w:vAlign w:val="center"/>
          </w:tcPr>
          <w:p>
            <w:pPr>
              <w:pStyle w:val="TableContents"/>
              <w:bidi w:val="0"/>
              <w:spacing w:lineRule="atLeast" w:line="177" w:before="0" w:after="0"/>
              <w:jc w:val="left"/>
              <w:rPr>
                <w:b/>
                <w:color w:val="1F2668"/>
              </w:rPr>
            </w:pPr>
            <w:r>
              <w:rPr>
                <w:b/>
                <w:color w:val="1F2668"/>
              </w:rPr>
              <w:t>Andrew Mathias</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6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104,344</w:t>
            </w:r>
            <w:r>
              <w:rPr>
                <w:sz w:val="10"/>
              </w:rPr>
              <w:t>(1)</w:t>
            </w:r>
            <w:r>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3,542,479</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5,818</w:t>
            </w:r>
            <w:r>
              <w:rPr>
                <w:sz w:val="10"/>
              </w:rPr>
              <w:t>(2)</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178,554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83,848</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178,875</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402,467</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7,935,992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475,000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1,662,500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2,375,000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restart"/>
            <w:tcBorders>
              <w:bottom w:val="single" w:sz="2" w:space="0" w:color="4B5088"/>
            </w:tcBorders>
            <w:tcMar>
              <w:bottom w:w="66" w:type="dxa"/>
            </w:tcMar>
            <w:vAlign w:val="center"/>
          </w:tcPr>
          <w:p>
            <w:pPr>
              <w:pStyle w:val="TableContents"/>
              <w:bidi w:val="0"/>
              <w:spacing w:lineRule="atLeast" w:line="177" w:before="0" w:after="0"/>
              <w:jc w:val="left"/>
              <w:rPr>
                <w:b/>
                <w:color w:val="1F2668"/>
              </w:rPr>
            </w:pPr>
            <w:r>
              <w:rPr>
                <w:b/>
                <w:color w:val="1F2668"/>
              </w:rPr>
              <w:t>Matthew J.</w:t>
              <w:br/>
              <w:t>DiLiberto</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03/02/2023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6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03/02/2023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42,422</w:t>
            </w:r>
            <w:r>
              <w:rPr>
                <w:sz w:val="10"/>
              </w:rPr>
              <w:t>(1)</w:t>
            </w:r>
            <w:r>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1,252,297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20,280</w:t>
            </w:r>
            <w:r>
              <w:rPr>
                <w:sz w:val="10"/>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622,393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7,764</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15,563</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37,265</w:t>
            </w:r>
            <w:r>
              <w:rPr>
                <w:sz w:val="10"/>
              </w:rPr>
              <w:t>(3)</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778,011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4B508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586" w:type="dxa"/>
            <w:tcBorders>
              <w:bottom w:val="single" w:sz="2" w:space="0" w:color="4B5088"/>
            </w:tcBorders>
            <w:tcMar>
              <w:bottom w:w="59"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686" w:type="dxa"/>
            <w:tcBorders>
              <w:bottom w:val="single" w:sz="2" w:space="0" w:color="4B5088"/>
            </w:tcBorders>
            <w:tcMar>
              <w:bottom w:w="59" w:type="dxa"/>
            </w:tcMar>
            <w:vAlign w:val="center"/>
          </w:tcPr>
          <w:p>
            <w:pPr>
              <w:pStyle w:val="TableContents"/>
              <w:bidi w:val="0"/>
              <w:spacing w:before="0" w:after="283"/>
              <w:jc w:val="right"/>
              <w:rPr/>
            </w:pPr>
            <w:r>
              <w:rPr/>
              <w:t>N/A</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59" w:type="dxa"/>
            </w:tcMar>
            <w:vAlign w:val="center"/>
          </w:tcPr>
          <w:p>
            <w:pPr>
              <w:pStyle w:val="TableContents"/>
              <w:bidi w:val="0"/>
              <w:spacing w:before="0" w:after="283"/>
              <w:jc w:val="right"/>
              <w:rPr/>
            </w:pPr>
            <w:r>
              <w:rPr/>
              <w:t>$</w:t>
            </w:r>
          </w:p>
        </w:tc>
        <w:tc>
          <w:tcPr>
            <w:tcW w:w="916" w:type="dxa"/>
            <w:tcBorders>
              <w:bottom w:val="single" w:sz="2" w:space="0" w:color="4B5088"/>
            </w:tcBorders>
            <w:tcMar>
              <w:bottom w:w="59" w:type="dxa"/>
            </w:tcMar>
            <w:vAlign w:val="center"/>
          </w:tcPr>
          <w:p>
            <w:pPr>
              <w:pStyle w:val="TableContents"/>
              <w:bidi w:val="0"/>
              <w:spacing w:before="0" w:after="283"/>
              <w:jc w:val="right"/>
              <w:rPr/>
            </w:pPr>
            <w:r>
              <w:rPr/>
              <w:t>300,000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6" w:type="dxa"/>
            <w:tcBorders>
              <w:bottom w:val="single" w:sz="2" w:space="0" w:color="4B5088"/>
            </w:tcBorders>
            <w:tcMar>
              <w:bottom w:w="59" w:type="dxa"/>
            </w:tcMar>
            <w:vAlign w:val="center"/>
          </w:tcPr>
          <w:p>
            <w:pPr>
              <w:pStyle w:val="TableContents"/>
              <w:bidi w:val="0"/>
              <w:spacing w:before="0" w:after="283"/>
              <w:jc w:val="right"/>
              <w:rPr/>
            </w:pPr>
            <w:r>
              <w:rPr/>
              <w:t>1,050,000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6" w:type="dxa"/>
            <w:tcBorders>
              <w:bottom w:val="single" w:sz="2" w:space="0" w:color="4B5088"/>
            </w:tcBorders>
            <w:tcMar>
              <w:bottom w:w="59" w:type="dxa"/>
            </w:tcMar>
            <w:vAlign w:val="center"/>
          </w:tcPr>
          <w:p>
            <w:pPr>
              <w:pStyle w:val="TableContents"/>
              <w:bidi w:val="0"/>
              <w:spacing w:before="0" w:after="283"/>
              <w:jc w:val="right"/>
              <w:rPr/>
            </w:pPr>
            <w:r>
              <w:rPr/>
              <w:t>1,500,000</w:t>
            </w:r>
            <w:r>
              <w:rPr>
                <w:sz w:val="10"/>
              </w:rPr>
              <w:t>(5)</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91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91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91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59" w:type="dxa"/>
            </w:tcMar>
            <w:vAlign w:val="center"/>
          </w:tcPr>
          <w:p>
            <w:pPr>
              <w:pStyle w:val="TableContents"/>
              <w:bidi w:val="0"/>
              <w:spacing w:before="0" w:after="283"/>
              <w:jc w:val="right"/>
              <w:rPr/>
            </w:pPr>
            <w:r>
              <w:rPr/>
              <w:t>​</w:t>
            </w:r>
          </w:p>
        </w:tc>
        <w:tc>
          <w:tcPr>
            <w:tcW w:w="91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59" w:type="dxa"/>
            </w:tcMar>
            <w:vAlign w:val="center"/>
          </w:tcPr>
          <w:p>
            <w:pPr>
              <w:pStyle w:val="TableContents"/>
              <w:bidi w:val="0"/>
              <w:spacing w:before="0" w:after="283"/>
              <w:jc w:val="right"/>
              <w:rPr/>
            </w:pPr>
            <w:r>
              <w:rPr/>
              <w:t>​</w:t>
            </w:r>
          </w:p>
        </w:tc>
        <w:tc>
          <w:tcPr>
            <w:tcW w:w="1066" w:type="dxa"/>
            <w:tcBorders>
              <w:bottom w:val="single" w:sz="2" w:space="0" w:color="4B5088"/>
            </w:tcBorders>
            <w:tcMar>
              <w:bottom w:w="59"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restart"/>
            <w:tcBorders>
              <w:bottom w:val="single" w:sz="2" w:space="0" w:color="1F2668"/>
            </w:tcBorders>
            <w:tcMar>
              <w:bottom w:w="66" w:type="dxa"/>
            </w:tcMar>
            <w:vAlign w:val="center"/>
          </w:tcPr>
          <w:p>
            <w:pPr>
              <w:pStyle w:val="TableContents"/>
              <w:bidi w:val="0"/>
              <w:spacing w:lineRule="atLeast" w:line="177" w:before="0" w:after="0"/>
              <w:jc w:val="left"/>
              <w:rPr>
                <w:b/>
                <w:color w:val="1F2668"/>
              </w:rPr>
            </w:pPr>
            <w:r>
              <w:rPr>
                <w:b/>
                <w:color w:val="1F2668"/>
              </w:rPr>
              <w:t>Andrew S. Levine</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5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68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01/30/2023</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91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38,756</w:t>
            </w:r>
            <w:r>
              <w:rPr>
                <w:sz w:val="10"/>
              </w:rPr>
              <w:t>(1)</w:t>
            </w:r>
            <w:r>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w:t>
            </w:r>
          </w:p>
        </w:tc>
        <w:tc>
          <w:tcPr>
            <w:tcW w:w="1066" w:type="dxa"/>
            <w:tcBorders>
              <w:bottom w:val="single" w:sz="2" w:space="0" w:color="4B5088"/>
            </w:tcBorders>
            <w:shd w:fill="E9F9D8" w:val="clear"/>
            <w:tcMar>
              <w:bottom w:w="66" w:type="dxa"/>
            </w:tcMar>
            <w:vAlign w:val="center"/>
          </w:tcPr>
          <w:p>
            <w:pPr>
              <w:pStyle w:val="TableContents"/>
              <w:bidi w:val="0"/>
              <w:spacing w:lineRule="atLeast" w:line="177" w:before="0" w:after="283"/>
              <w:jc w:val="right"/>
              <w:rPr/>
            </w:pPr>
            <w:r>
              <w:rPr/>
              <w:t>1,245,618</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126" w:type="dxa"/>
            <w:vMerge w:val="continue"/>
            <w:tcBorders>
              <w:bottom w:val="single" w:sz="2" w:space="0" w:color="1F266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5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686" w:type="dxa"/>
            <w:tcBorders>
              <w:bottom w:val="single" w:sz="2" w:space="0" w:color="4B508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6" w:type="dxa"/>
            </w:tcMar>
            <w:vAlign w:val="center"/>
          </w:tcPr>
          <w:p>
            <w:pPr>
              <w:pStyle w:val="TableContents"/>
              <w:bidi w:val="0"/>
              <w:spacing w:before="0" w:after="283"/>
              <w:jc w:val="right"/>
              <w:rPr/>
            </w:pPr>
            <w:r>
              <w:rPr/>
              <w:t>​</w:t>
            </w:r>
          </w:p>
        </w:tc>
        <w:tc>
          <w:tcPr>
            <w:tcW w:w="916" w:type="dxa"/>
            <w:tcBorders>
              <w:bottom w:val="single" w:sz="2" w:space="0" w:color="4B5088"/>
            </w:tcBorders>
            <w:tcMar>
              <w:bottom w:w="66" w:type="dxa"/>
            </w:tcMar>
            <w:vAlign w:val="center"/>
          </w:tcPr>
          <w:p>
            <w:pPr>
              <w:pStyle w:val="TableContents"/>
              <w:bidi w:val="0"/>
              <w:spacing w:before="0" w:after="283"/>
              <w:jc w:val="right"/>
              <w:rPr/>
            </w:pPr>
            <w:r>
              <w:rPr/>
              <w:t>26,574</w:t>
            </w:r>
            <w:r>
              <w:rPr>
                <w:sz w:val="10"/>
              </w:rPr>
              <w:t>(4)</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6" w:type="dxa"/>
            </w:tcMar>
            <w:vAlign w:val="center"/>
          </w:tcPr>
          <w:p>
            <w:pPr>
              <w:pStyle w:val="TableContents"/>
              <w:bidi w:val="0"/>
              <w:spacing w:before="0" w:after="283"/>
              <w:jc w:val="right"/>
              <w:rPr/>
            </w:pPr>
            <w:r>
              <w:rPr/>
              <w:t>$</w:t>
            </w:r>
          </w:p>
        </w:tc>
        <w:tc>
          <w:tcPr>
            <w:tcW w:w="1066" w:type="dxa"/>
            <w:tcBorders>
              <w:bottom w:val="single" w:sz="2" w:space="0" w:color="4B5088"/>
            </w:tcBorders>
            <w:tcMar>
              <w:bottom w:w="66" w:type="dxa"/>
            </w:tcMar>
            <w:vAlign w:val="center"/>
          </w:tcPr>
          <w:p>
            <w:pPr>
              <w:pStyle w:val="TableContents"/>
              <w:bidi w:val="0"/>
              <w:spacing w:before="0" w:after="283"/>
              <w:jc w:val="right"/>
              <w:rPr/>
            </w:pPr>
            <w:r>
              <w:rPr/>
              <w:t>815,556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vMerge w:val="continue"/>
            <w:tcBorders>
              <w:bottom w:val="single" w:sz="2" w:space="0" w:color="1F2668"/>
            </w:tcBorders>
            <w:tcMar>
              <w:bottom w:w="66"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shd w:fill="FFFFFF" w:val="clear"/>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586" w:type="dxa"/>
            <w:tcBorders>
              <w:bottom w:val="single" w:sz="2" w:space="0" w:color="1F266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686" w:type="dxa"/>
            <w:tcBorders>
              <w:bottom w:val="single" w:sz="2" w:space="0" w:color="1F2668"/>
            </w:tcBorders>
            <w:tcMar>
              <w:bottom w:w="66" w:type="dxa"/>
            </w:tcMar>
            <w:vAlign w:val="center"/>
          </w:tcPr>
          <w:p>
            <w:pPr>
              <w:pStyle w:val="TableContents"/>
              <w:bidi w:val="0"/>
              <w:spacing w:before="0" w:after="283"/>
              <w:jc w:val="right"/>
              <w:rPr/>
            </w:pPr>
            <w:r>
              <w:rPr/>
              <w:t>01/30/2023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66" w:type="dxa"/>
            </w:tcMar>
            <w:vAlign w:val="center"/>
          </w:tcPr>
          <w:p>
            <w:pPr>
              <w:pStyle w:val="TableContents"/>
              <w:bidi w:val="0"/>
              <w:spacing w:before="0" w:after="283"/>
              <w:jc w:val="right"/>
              <w:rPr/>
            </w:pPr>
            <w:r>
              <w:rPr/>
              <w:t>​</w:t>
            </w:r>
          </w:p>
        </w:tc>
        <w:tc>
          <w:tcPr>
            <w:tcW w:w="91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916" w:type="dxa"/>
            <w:tcBorders>
              <w:bottom w:val="single" w:sz="2" w:space="0" w:color="1F2668"/>
            </w:tcBorders>
            <w:tcMar>
              <w:bottom w:w="66" w:type="dxa"/>
            </w:tcMar>
            <w:vAlign w:val="center"/>
          </w:tcPr>
          <w:p>
            <w:pPr>
              <w:pStyle w:val="TableContents"/>
              <w:bidi w:val="0"/>
              <w:spacing w:before="0" w:after="283"/>
              <w:jc w:val="right"/>
              <w:rPr/>
            </w:pPr>
            <w:r>
              <w:rPr/>
              <w:t>7,764</w:t>
            </w:r>
            <w:r>
              <w:rPr>
                <w:sz w:val="10"/>
              </w:rPr>
              <w:t>(3)</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916" w:type="dxa"/>
            <w:tcBorders>
              <w:bottom w:val="single" w:sz="2" w:space="0" w:color="1F2668"/>
            </w:tcBorders>
            <w:tcMar>
              <w:bottom w:w="66" w:type="dxa"/>
            </w:tcMar>
            <w:vAlign w:val="center"/>
          </w:tcPr>
          <w:p>
            <w:pPr>
              <w:pStyle w:val="TableContents"/>
              <w:bidi w:val="0"/>
              <w:spacing w:before="0" w:after="283"/>
              <w:jc w:val="right"/>
              <w:rPr/>
            </w:pPr>
            <w:r>
              <w:rPr/>
              <w:t>15,563</w:t>
            </w:r>
            <w:r>
              <w:rPr>
                <w:sz w:val="10"/>
              </w:rPr>
              <w:t>(3)</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916" w:type="dxa"/>
            <w:tcBorders>
              <w:bottom w:val="single" w:sz="2" w:space="0" w:color="1F2668"/>
            </w:tcBorders>
            <w:tcMar>
              <w:bottom w:w="66" w:type="dxa"/>
            </w:tcMar>
            <w:vAlign w:val="center"/>
          </w:tcPr>
          <w:p>
            <w:pPr>
              <w:pStyle w:val="TableContents"/>
              <w:bidi w:val="0"/>
              <w:spacing w:before="0" w:after="283"/>
              <w:jc w:val="right"/>
              <w:rPr/>
            </w:pPr>
            <w:r>
              <w:rPr/>
              <w:t>37,265</w:t>
            </w:r>
            <w:r>
              <w:rPr>
                <w:sz w:val="10"/>
              </w:rPr>
              <w:t>(3)</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6" w:type="dxa"/>
            </w:tcMar>
            <w:vAlign w:val="center"/>
          </w:tcPr>
          <w:p>
            <w:pPr>
              <w:pStyle w:val="TableContents"/>
              <w:bidi w:val="0"/>
              <w:spacing w:before="0" w:after="283"/>
              <w:jc w:val="right"/>
              <w:rPr/>
            </w:pPr>
            <w:r>
              <w:rPr/>
              <w:t>​</w:t>
            </w:r>
          </w:p>
        </w:tc>
        <w:tc>
          <w:tcPr>
            <w:tcW w:w="916" w:type="dxa"/>
            <w:tcBorders>
              <w:bottom w:val="single" w:sz="2" w:space="0" w:color="1F2668"/>
            </w:tcBorders>
            <w:tcMar>
              <w:bottom w:w="6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66" w:type="dxa"/>
            </w:tcMar>
            <w:vAlign w:val="center"/>
          </w:tcPr>
          <w:p>
            <w:pPr>
              <w:pStyle w:val="TableContents"/>
              <w:bidi w:val="0"/>
              <w:spacing w:before="0" w:after="283"/>
              <w:jc w:val="right"/>
              <w:rPr/>
            </w:pPr>
            <w:r>
              <w:rPr/>
              <w:t>$</w:t>
            </w:r>
          </w:p>
        </w:tc>
        <w:tc>
          <w:tcPr>
            <w:tcW w:w="1066" w:type="dxa"/>
            <w:tcBorders>
              <w:bottom w:val="single" w:sz="2" w:space="0" w:color="1F2668"/>
            </w:tcBorders>
            <w:tcMar>
              <w:bottom w:w="66" w:type="dxa"/>
            </w:tcMar>
            <w:vAlign w:val="center"/>
          </w:tcPr>
          <w:p>
            <w:pPr>
              <w:pStyle w:val="TableContents"/>
              <w:bidi w:val="0"/>
              <w:spacing w:before="0" w:after="283"/>
              <w:jc w:val="right"/>
              <w:rPr/>
            </w:pPr>
            <w:r>
              <w:rPr/>
              <w:t>778,011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grants of LTIP units awarded in connection with our respective employment agreements with Messrs. Holliday, Mathias, DiLiberto and Levine. For Messrs. Holliday, Mathias and DiLiberto, the LTIP units vest in three equal installments vesting on each of January 1, 2024, January 1, 2025 and January 1, 2026, and, for Mr. Levine, the LTIP units vest in two equal installments on each of January 1, 2024 and January 1, 2025, subject in each case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67">
                <wp:simplePos x="0" y="0"/>
                <wp:positionH relativeFrom="column">
                  <wp:align>left</wp:align>
                </wp:positionH>
                <wp:positionV relativeFrom="line">
                  <wp:align>top</wp:align>
                </wp:positionV>
                <wp:extent cx="254000" cy="350520"/>
                <wp:effectExtent l="0" t="0" r="0" b="0"/>
                <wp:wrapSquare wrapText="right"/>
                <wp:docPr id="849"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granted as a true-up adjustment pursuant to the formulaic component of our annual bonus program on account of actual 2022 performance.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68">
                <wp:simplePos x="0" y="0"/>
                <wp:positionH relativeFrom="column">
                  <wp:align>left</wp:align>
                </wp:positionH>
                <wp:positionV relativeFrom="line">
                  <wp:align>top</wp:align>
                </wp:positionV>
                <wp:extent cx="254000" cy="350520"/>
                <wp:effectExtent l="0" t="0" r="0" b="0"/>
                <wp:wrapSquare wrapText="right"/>
                <wp:docPr id="850"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granted as 2023 annual performance-based equity awards that were subject to performance-based vesting hurdles. The amount shown in the “Threshold” column of the table reflects the total number of LTIP units that would be earned at threshold performance with respect to both the operating performance metrics and the relative TSR metrics, after giving effect to the maximum downward modifier. The amount shown in the “Maximum” column reflects the total number of LTIP units that would be earned at maximum performance with respect to both the operating performance metrics and the relative TSR metrics, after giving effect to the maximum upward modifier. See “—Compensation Discussion and Analysis—Our 2023 Executive Compensation Program” for a description of the terms of these performance-based awards and the Company’s estimated performance as of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69">
                <wp:simplePos x="0" y="0"/>
                <wp:positionH relativeFrom="column">
                  <wp:align>left</wp:align>
                </wp:positionH>
                <wp:positionV relativeFrom="line">
                  <wp:align>top</wp:align>
                </wp:positionV>
                <wp:extent cx="254000" cy="350520"/>
                <wp:effectExtent l="0" t="0" r="0" b="0"/>
                <wp:wrapSquare wrapText="right"/>
                <wp:docPr id="851"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This grant of LTIP units vested immediately upon grant, but remains subject to a three-year restriction on transfer from the date of grant.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70">
                <wp:simplePos x="0" y="0"/>
                <wp:positionH relativeFrom="column">
                  <wp:align>left</wp:align>
                </wp:positionH>
                <wp:positionV relativeFrom="line">
                  <wp:align>top</wp:align>
                </wp:positionV>
                <wp:extent cx="254000" cy="350520"/>
                <wp:effectExtent l="0" t="0" r="0" b="0"/>
                <wp:wrapSquare wrapText="right"/>
                <wp:docPr id="852" name="Frame4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cash payouts that were possible pursuant to the formulaic component of our annual bonus program for 2023. See “—Compensation Discussion and Analysis—Our 2023 Executive Compensation Program” for a description of these awards.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71">
                <wp:simplePos x="0" y="0"/>
                <wp:positionH relativeFrom="column">
                  <wp:align>left</wp:align>
                </wp:positionH>
                <wp:positionV relativeFrom="line">
                  <wp:align>top</wp:align>
                </wp:positionV>
                <wp:extent cx="254000" cy="350520"/>
                <wp:effectExtent l="0" t="0" r="0" b="0"/>
                <wp:wrapSquare wrapText="right"/>
                <wp:docPr id="853"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Grants of all equity awards were made pursuant to the Fifth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See “Potential Payments Upon Termination or Change in Control” below, for a discussion regarding potential acceleration of the equity awards and a description of the material terms of each named executive officer’s employment agreement.</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69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Outstanding Equity Awards at Fiscal Year-End 2023</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outstanding equity awards held by each named executive officer at the fiscal year ended December 31, 2023.</w:t>
      </w:r>
      <w:r>
        <w:rPr>
          <w:rFonts w:ascii="Arial;Helvetica;sans-serif" w:hAnsi="Arial;Helvetica;sans-serif"/>
          <w:b w:val="false"/>
          <w:i w:val="false"/>
          <w:caps w:val="false"/>
          <w:smallCaps w:val="false"/>
          <w:color w:val="000000"/>
          <w:spacing w:val="4"/>
          <w:sz w:val="18"/>
        </w:rPr>
        <w:t xml:space="preserve"> </w:t>
      </w:r>
    </w:p>
    <w:tbl>
      <w:tblPr>
        <w:tblW w:w="11444" w:type="dxa"/>
        <w:jc w:val="left"/>
        <w:tblInd w:w="900" w:type="dxa"/>
        <w:tblLayout w:type="fixed"/>
        <w:tblCellMar>
          <w:top w:w="0" w:type="dxa"/>
          <w:left w:w="0" w:type="dxa"/>
          <w:bottom w:w="0" w:type="dxa"/>
          <w:right w:w="0" w:type="dxa"/>
        </w:tblCellMar>
      </w:tblPr>
      <w:tblGrid>
        <w:gridCol w:w="871"/>
        <w:gridCol w:w="109"/>
        <w:gridCol w:w="109"/>
        <w:gridCol w:w="109"/>
        <w:gridCol w:w="109"/>
        <w:gridCol w:w="654"/>
        <w:gridCol w:w="109"/>
        <w:gridCol w:w="109"/>
        <w:gridCol w:w="109"/>
        <w:gridCol w:w="178"/>
        <w:gridCol w:w="178"/>
        <w:gridCol w:w="568"/>
        <w:gridCol w:w="181"/>
        <w:gridCol w:w="109"/>
        <w:gridCol w:w="109"/>
        <w:gridCol w:w="109"/>
        <w:gridCol w:w="196"/>
        <w:gridCol w:w="601"/>
        <w:gridCol w:w="109"/>
        <w:gridCol w:w="109"/>
        <w:gridCol w:w="109"/>
        <w:gridCol w:w="109"/>
        <w:gridCol w:w="109"/>
        <w:gridCol w:w="532"/>
        <w:gridCol w:w="109"/>
        <w:gridCol w:w="109"/>
        <w:gridCol w:w="109"/>
        <w:gridCol w:w="109"/>
        <w:gridCol w:w="109"/>
        <w:gridCol w:w="691"/>
        <w:gridCol w:w="109"/>
        <w:gridCol w:w="109"/>
        <w:gridCol w:w="109"/>
        <w:gridCol w:w="109"/>
        <w:gridCol w:w="196"/>
        <w:gridCol w:w="916"/>
        <w:gridCol w:w="109"/>
        <w:gridCol w:w="109"/>
        <w:gridCol w:w="109"/>
        <w:gridCol w:w="111"/>
        <w:gridCol w:w="111"/>
        <w:gridCol w:w="703"/>
        <w:gridCol w:w="112"/>
        <w:gridCol w:w="109"/>
        <w:gridCol w:w="109"/>
        <w:gridCol w:w="109"/>
        <w:gridCol w:w="196"/>
        <w:gridCol w:w="916"/>
        <w:gridCol w:w="109"/>
        <w:gridCol w:w="154"/>
      </w:tblGrid>
      <w:tr>
        <w:trPr/>
        <w:tc>
          <w:tcPr>
            <w:tcW w:w="87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14" w:type="dxa"/>
            <w:gridSpan w:val="22"/>
            <w:tcBorders>
              <w:bottom w:val="single" w:sz="2" w:space="0" w:color="1F2668"/>
            </w:tcBorders>
            <w:tcMar>
              <w:bottom w:w="70" w:type="dxa"/>
            </w:tcMar>
            <w:vAlign w:val="center"/>
          </w:tcPr>
          <w:p>
            <w:pPr>
              <w:pStyle w:val="TableContents"/>
              <w:bidi w:val="0"/>
              <w:spacing w:lineRule="atLeast" w:line="180" w:before="0" w:after="0"/>
              <w:jc w:val="center"/>
              <w:rPr>
                <w:spacing w:val="2"/>
                <w:sz w:val="16"/>
              </w:rPr>
            </w:pPr>
            <w:r>
              <w:rPr>
                <w:spacing w:val="2"/>
                <w:sz w:val="16"/>
              </w:rPr>
              <w:t xml:space="preserve">Option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69" w:type="dxa"/>
            <w:gridSpan w:val="22"/>
            <w:tcBorders>
              <w:bottom w:val="single" w:sz="2" w:space="0" w:color="1F2668"/>
            </w:tcBorders>
            <w:tcMar>
              <w:bottom w:w="70" w:type="dxa"/>
            </w:tcMar>
            <w:vAlign w:val="center"/>
          </w:tcPr>
          <w:p>
            <w:pPr>
              <w:pStyle w:val="TableContents"/>
              <w:bidi w:val="0"/>
              <w:spacing w:lineRule="atLeast" w:line="180" w:before="0" w:after="0"/>
              <w:jc w:val="center"/>
              <w:rPr>
                <w:spacing w:val="2"/>
                <w:sz w:val="16"/>
              </w:rPr>
            </w:pPr>
            <w:r>
              <w:rPr>
                <w:spacing w:val="2"/>
                <w:sz w:val="16"/>
              </w:rPr>
              <w:t xml:space="preserve">Stock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71" w:type="dxa"/>
            <w:tcBorders>
              <w:bottom w:val="single" w:sz="2" w:space="0" w:color="1F2668"/>
            </w:tcBorders>
            <w:tcMar>
              <w:bottom w:w="63" w:type="dxa"/>
            </w:tcMar>
            <w:vAlign w:val="center"/>
          </w:tcPr>
          <w:p>
            <w:pPr>
              <w:pStyle w:val="TableContents"/>
              <w:bidi w:val="0"/>
              <w:spacing w:lineRule="atLeast" w:line="180" w:before="0" w:after="0"/>
              <w:jc w:val="left"/>
              <w:rPr>
                <w:spacing w:val="2"/>
                <w:sz w:val="16"/>
              </w:rPr>
            </w:pPr>
            <w:r>
              <w:rPr>
                <w:spacing w:val="2"/>
                <w:sz w:val="16"/>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1"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Number of </w:t>
              <w:br/>
              <w:t xml:space="preserve">Securities </w:t>
              <w:br/>
              <w:t xml:space="preserve">Underlying </w:t>
              <w:br/>
              <w:t xml:space="preserve">Unexercised </w:t>
              <w:br/>
              <w:t xml:space="preserve">Options (#) </w:t>
              <w:br/>
              <w:t>Exercisable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5"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Number of </w:t>
              <w:br/>
              <w:t xml:space="preserve">Securities </w:t>
              <w:br/>
              <w:t xml:space="preserve">Underlying </w:t>
              <w:br/>
              <w:t xml:space="preserve">Unexercised </w:t>
              <w:br/>
              <w:t xml:space="preserve">Options (#) </w:t>
              <w:br/>
              <w:t>Unexercisable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5"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Option </w:t>
              <w:br/>
              <w:t xml:space="preserve">Exercise </w:t>
              <w:br/>
              <w:t xml:space="preserve">Price </w:t>
              <w:br/>
              <w:t>($)</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9" w:type="dxa"/>
            <w:gridSpan w:val="4"/>
            <w:tcBorders>
              <w:bottom w:val="single" w:sz="2" w:space="0" w:color="1F2668"/>
            </w:tcBorders>
            <w:tcMar>
              <w:bottom w:w="63" w:type="dxa"/>
            </w:tcMar>
            <w:vAlign w:val="center"/>
          </w:tcPr>
          <w:p>
            <w:pPr>
              <w:pStyle w:val="TableContents"/>
              <w:bidi w:val="0"/>
              <w:spacing w:lineRule="atLeast" w:line="180" w:before="0" w:after="0"/>
              <w:jc w:val="right"/>
              <w:rPr>
                <w:sz w:val="16"/>
              </w:rPr>
            </w:pPr>
            <w:r>
              <w:rPr>
                <w:spacing w:val="2"/>
                <w:sz w:val="16"/>
              </w:rPr>
              <w:t xml:space="preserve">Option </w:t>
              <w:br/>
              <w:t xml:space="preserve">Expiration </w:t>
              <w:br/>
              <w:t>Date</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Number </w:t>
              <w:br/>
              <w:t xml:space="preserve">of Shares </w:t>
              <w:br/>
              <w:t xml:space="preserve">or Units of </w:t>
              <w:br/>
              <w:t xml:space="preserve">Stock That </w:t>
              <w:br/>
              <w:t xml:space="preserve">Have Not </w:t>
              <w:br/>
              <w:t>Vested(#)</w:t>
            </w:r>
            <w:r>
              <w:rPr>
                <w:spacing w:val="1"/>
                <w:sz w:val="10"/>
              </w:rPr>
              <w:t>(1)</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Market Value </w:t>
              <w:br/>
              <w:t xml:space="preserve">of Shares or </w:t>
              <w:br/>
              <w:t xml:space="preserve">Units of Stock </w:t>
              <w:br/>
              <w:t xml:space="preserve">That Have Not </w:t>
              <w:br/>
              <w:t>Vested</w:t>
            </w:r>
            <w:r>
              <w:rPr>
                <w:spacing w:val="1"/>
                <w:sz w:val="10"/>
              </w:rPr>
              <w:t>(2)</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7"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Equity </w:t>
              <w:br/>
              <w:t xml:space="preserve">Incentive </w:t>
              <w:br/>
              <w:t xml:space="preserve">Plan Awards: </w:t>
              <w:br/>
              <w:t xml:space="preserve">Number of </w:t>
              <w:br/>
              <w:t xml:space="preserve">Unearned </w:t>
              <w:br/>
              <w:t xml:space="preserve">Shares, Units </w:t>
              <w:br/>
              <w:t xml:space="preserve">or Other Rights </w:t>
              <w:br/>
              <w:t xml:space="preserve">That Have Not </w:t>
              <w:br/>
              <w:t>Vested (#)</w:t>
            </w:r>
            <w:r>
              <w:rPr>
                <w:spacing w:val="1"/>
                <w:sz w:val="10"/>
              </w:rPr>
              <w:t>(3)</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tcMar>
              <w:bottom w:w="63" w:type="dxa"/>
            </w:tcMar>
            <w:vAlign w:val="center"/>
          </w:tcPr>
          <w:p>
            <w:pPr>
              <w:pStyle w:val="TableContents"/>
              <w:bidi w:val="0"/>
              <w:spacing w:lineRule="atLeast" w:line="142" w:before="0" w:after="0"/>
              <w:jc w:val="right"/>
              <w:rPr>
                <w:sz w:val="16"/>
              </w:rPr>
            </w:pPr>
            <w:r>
              <w:rPr>
                <w:spacing w:val="2"/>
                <w:sz w:val="16"/>
              </w:rPr>
              <w:t xml:space="preserve">Equity </w:t>
              <w:br/>
              <w:t xml:space="preserve">Incentive Plan </w:t>
              <w:br/>
              <w:t xml:space="preserve">Awards: Market </w:t>
              <w:br/>
              <w:t xml:space="preserve">or Payout Value </w:t>
              <w:br/>
              <w:t xml:space="preserve">of Unearned </w:t>
              <w:br/>
              <w:t xml:space="preserve">Shares or Units </w:t>
              <w:br/>
              <w:t xml:space="preserve">or Other Rights </w:t>
              <w:br/>
              <w:t xml:space="preserve">that Have Not </w:t>
              <w:br/>
              <w:t>Vested</w:t>
            </w:r>
            <w:r>
              <w:rPr>
                <w:spacing w:val="1"/>
                <w:sz w:val="10"/>
              </w:rPr>
              <w:t>(2)</w:t>
            </w:r>
            <w:r>
              <w:rPr>
                <w:sz w:val="16"/>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71" w:type="dxa"/>
            <w:vMerge w:val="restart"/>
            <w:tcBorders>
              <w:bottom w:val="single" w:sz="2" w:space="0" w:color="4B5088"/>
            </w:tcBorders>
            <w:tcMar>
              <w:bottom w:w="70" w:type="dxa"/>
            </w:tcMar>
            <w:vAlign w:val="center"/>
          </w:tcPr>
          <w:p>
            <w:pPr>
              <w:pStyle w:val="TableContents"/>
              <w:bidi w:val="0"/>
              <w:spacing w:before="0" w:after="0"/>
              <w:jc w:val="left"/>
              <w:rPr>
                <w:b/>
                <w:color w:val="1F2668"/>
                <w:sz w:val="18"/>
              </w:rPr>
            </w:pPr>
            <w:r>
              <w:rPr>
                <w:b/>
                <w:color w:val="1F2668"/>
                <w:sz w:val="18"/>
              </w:rPr>
              <w:t>Marc Holliday</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654"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52,500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568"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18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60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99.86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532"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06/17/2026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69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371,220</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91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16,768,007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pPr>
            <w:r>
              <w:rPr/>
              <w:t>​</w:t>
            </w:r>
          </w:p>
        </w:tc>
        <w:tc>
          <w:tcPr>
            <w:tcW w:w="703"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346,010</w:t>
            </w:r>
          </w:p>
        </w:tc>
        <w:tc>
          <w:tcPr>
            <w:tcW w:w="112"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w:t>
            </w:r>
          </w:p>
        </w:tc>
        <w:tc>
          <w:tcPr>
            <w:tcW w:w="916" w:type="dxa"/>
            <w:tcBorders>
              <w:bottom w:val="single" w:sz="2" w:space="0" w:color="4B5088"/>
            </w:tcBorders>
            <w:shd w:fill="E9F9D8" w:val="clear"/>
            <w:tcMar>
              <w:bottom w:w="70" w:type="dxa"/>
            </w:tcMar>
            <w:vAlign w:val="center"/>
          </w:tcPr>
          <w:p>
            <w:pPr>
              <w:pStyle w:val="TableContents"/>
              <w:bidi w:val="0"/>
              <w:spacing w:lineRule="atLeast" w:line="200" w:before="0" w:after="0"/>
              <w:jc w:val="right"/>
              <w:rPr>
                <w:sz w:val="18"/>
              </w:rPr>
            </w:pPr>
            <w:r>
              <w:rPr>
                <w:sz w:val="18"/>
              </w:rPr>
              <w:t xml:space="preserve">15,629,272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71"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54" w:type="dxa"/>
            <w:tcBorders>
              <w:bottom w:val="single" w:sz="2" w:space="0" w:color="4B5088"/>
            </w:tcBorders>
            <w:tcMar>
              <w:bottom w:w="70" w:type="dxa"/>
            </w:tcMar>
            <w:vAlign w:val="center"/>
          </w:tcPr>
          <w:p>
            <w:pPr>
              <w:pStyle w:val="TableContents"/>
              <w:bidi w:val="0"/>
              <w:spacing w:before="0" w:after="0"/>
              <w:jc w:val="right"/>
              <w:rPr>
                <w:sz w:val="18"/>
              </w:rPr>
            </w:pPr>
            <w:r>
              <w:rPr>
                <w:sz w:val="18"/>
              </w:rPr>
              <w:t>52,500</w:t>
            </w:r>
            <w:r>
              <w:rPr>
                <w:sz w:val="11"/>
              </w:rPr>
              <w:t>(4)</w:t>
            </w:r>
            <w:r>
              <w:rPr>
                <w:sz w:val="18"/>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tcMar>
              <w:bottom w:w="70" w:type="dxa"/>
            </w:tcMar>
            <w:vAlign w:val="center"/>
          </w:tcPr>
          <w:p>
            <w:pPr>
              <w:pStyle w:val="TableContents"/>
              <w:bidi w:val="0"/>
              <w:spacing w:before="0" w:after="0"/>
              <w:jc w:val="right"/>
              <w:rPr/>
            </w:pPr>
            <w:r>
              <w:rPr/>
              <w:t>​</w:t>
            </w:r>
          </w:p>
        </w:tc>
        <w:tc>
          <w:tcPr>
            <w:tcW w:w="568" w:type="dxa"/>
            <w:tcBorders>
              <w:bottom w:val="single" w:sz="2" w:space="0" w:color="4B5088"/>
            </w:tcBorders>
            <w:tcMar>
              <w:bottom w:w="70" w:type="dxa"/>
            </w:tcMar>
            <w:vAlign w:val="center"/>
          </w:tcPr>
          <w:p>
            <w:pPr>
              <w:pStyle w:val="TableContents"/>
              <w:bidi w:val="0"/>
              <w:spacing w:before="0" w:after="0"/>
              <w:jc w:val="right"/>
              <w:rPr/>
            </w:pPr>
            <w:r>
              <w:rPr/>
              <w:t>—</w:t>
            </w:r>
          </w:p>
        </w:tc>
        <w:tc>
          <w:tcPr>
            <w:tcW w:w="18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tcMar>
              <w:bottom w:w="70" w:type="dxa"/>
            </w:tcMar>
            <w:vAlign w:val="center"/>
          </w:tcPr>
          <w:p>
            <w:pPr>
              <w:pStyle w:val="TableContents"/>
              <w:bidi w:val="0"/>
              <w:spacing w:before="0" w:after="0"/>
              <w:jc w:val="right"/>
              <w:rPr>
                <w:sz w:val="18"/>
              </w:rPr>
            </w:pPr>
            <w:r>
              <w:rPr>
                <w:sz w:val="18"/>
              </w:rPr>
              <w:t>105.73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532" w:type="dxa"/>
            <w:tcBorders>
              <w:bottom w:val="single" w:sz="2" w:space="0" w:color="4B5088"/>
            </w:tcBorders>
            <w:tcMar>
              <w:bottom w:w="70" w:type="dxa"/>
            </w:tcMar>
            <w:vAlign w:val="center"/>
          </w:tcPr>
          <w:p>
            <w:pPr>
              <w:pStyle w:val="TableContents"/>
              <w:bidi w:val="0"/>
              <w:spacing w:before="0" w:after="0"/>
              <w:jc w:val="right"/>
              <w:rPr>
                <w:sz w:val="18"/>
              </w:rPr>
            </w:pPr>
            <w:r>
              <w:rPr>
                <w:sz w:val="18"/>
              </w:rPr>
              <w:t>06/17/2027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0"/>
              <w:jc w:val="right"/>
              <w:rPr/>
            </w:pPr>
            <w:r>
              <w:rPr/>
              <w:t>​</w:t>
            </w:r>
          </w:p>
        </w:tc>
        <w:tc>
          <w:tcPr>
            <w:tcW w:w="691"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91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70" w:type="dxa"/>
            </w:tcMar>
            <w:vAlign w:val="center"/>
          </w:tcPr>
          <w:p>
            <w:pPr>
              <w:pStyle w:val="TableContents"/>
              <w:bidi w:val="0"/>
              <w:spacing w:before="0" w:after="0"/>
              <w:jc w:val="right"/>
              <w:rPr/>
            </w:pPr>
            <w:r>
              <w:rPr/>
              <w:t>​</w:t>
            </w:r>
          </w:p>
        </w:tc>
        <w:tc>
          <w:tcPr>
            <w:tcW w:w="703" w:type="dxa"/>
            <w:tcBorders>
              <w:bottom w:val="single" w:sz="2" w:space="0" w:color="4B5088"/>
            </w:tcBorders>
            <w:tcMar>
              <w:bottom w:w="70" w:type="dxa"/>
            </w:tcMar>
            <w:vAlign w:val="center"/>
          </w:tcPr>
          <w:p>
            <w:pPr>
              <w:pStyle w:val="TableContents"/>
              <w:bidi w:val="0"/>
              <w:spacing w:before="0" w:after="0"/>
              <w:jc w:val="right"/>
              <w:rPr/>
            </w:pPr>
            <w:r>
              <w:rPr/>
              <w:t>—</w:t>
            </w:r>
          </w:p>
        </w:tc>
        <w:tc>
          <w:tcPr>
            <w:tcW w:w="1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tcMar>
              <w:bottom w:w="70" w:type="dxa"/>
            </w:tcMar>
            <w:vAlign w:val="center"/>
          </w:tcPr>
          <w:p>
            <w:pPr>
              <w:pStyle w:val="TableContents"/>
              <w:bidi w:val="0"/>
              <w:spacing w:before="0" w:after="0"/>
              <w:jc w:val="right"/>
              <w:rPr/>
            </w:pPr>
            <w:r>
              <w:rPr/>
              <w:t>​</w:t>
            </w:r>
          </w:p>
        </w:tc>
        <w:tc>
          <w:tcPr>
            <w:tcW w:w="916" w:type="dxa"/>
            <w:tcBorders>
              <w:bottom w:val="single" w:sz="2" w:space="0" w:color="4B5088"/>
            </w:tcBorders>
            <w:tcMar>
              <w:bottom w:w="70" w:type="dxa"/>
            </w:tcMar>
            <w:vAlign w:val="center"/>
          </w:tcPr>
          <w:p>
            <w:pPr>
              <w:pStyle w:val="TableContents"/>
              <w:bidi w:val="0"/>
              <w:spacing w:before="0" w:after="0"/>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71" w:type="dxa"/>
            <w:tcBorders>
              <w:bottom w:val="single" w:sz="2" w:space="0" w:color="4B5088"/>
            </w:tcBorders>
            <w:tcMar>
              <w:bottom w:w="63" w:type="dxa"/>
            </w:tcMar>
            <w:vAlign w:val="center"/>
          </w:tcPr>
          <w:p>
            <w:pPr>
              <w:pStyle w:val="TableContents"/>
              <w:bidi w:val="0"/>
              <w:spacing w:before="0" w:after="0"/>
              <w:jc w:val="left"/>
              <w:rPr>
                <w:b/>
                <w:color w:val="1F2668"/>
                <w:sz w:val="18"/>
              </w:rPr>
            </w:pPr>
            <w:r>
              <w:rPr>
                <w:b/>
                <w:color w:val="1F2668"/>
                <w:sz w:val="18"/>
              </w:rPr>
              <w:t xml:space="preserve">Andrew </w:t>
              <w:br/>
              <w:t>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54"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6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8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01"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32"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291,972</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13,188,375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703"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276,809</w:t>
            </w:r>
          </w:p>
        </w:tc>
        <w:tc>
          <w:tcPr>
            <w:tcW w:w="112"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 xml:space="preserve">12,503,463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71" w:type="dxa"/>
            <w:tcBorders>
              <w:bottom w:val="single" w:sz="2" w:space="0" w:color="4B5088"/>
            </w:tcBorders>
            <w:tcMar>
              <w:bottom w:w="63" w:type="dxa"/>
            </w:tcMar>
            <w:vAlign w:val="center"/>
          </w:tcPr>
          <w:p>
            <w:pPr>
              <w:pStyle w:val="TableContents"/>
              <w:bidi w:val="0"/>
              <w:spacing w:before="0" w:after="0"/>
              <w:jc w:val="left"/>
              <w:rPr>
                <w:b/>
                <w:color w:val="1F2668"/>
                <w:sz w:val="18"/>
              </w:rPr>
            </w:pPr>
            <w:r>
              <w:rPr>
                <w:b/>
                <w:color w:val="1F2668"/>
                <w:sz w:val="18"/>
              </w:rPr>
              <w:t xml:space="preserve">Matthew J. </w:t>
              <w:br/>
              <w:t>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54"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15,000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6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8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106.05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32"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01/11/2027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65,639</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 xml:space="preserve">2,964,914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703"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25,630</w:t>
            </w:r>
          </w:p>
        </w:tc>
        <w:tc>
          <w:tcPr>
            <w:tcW w:w="112"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1,157,707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871" w:type="dxa"/>
            <w:tcBorders>
              <w:bottom w:val="single" w:sz="2" w:space="0" w:color="4B5088"/>
            </w:tcBorders>
            <w:tcMar>
              <w:bottom w:w="63" w:type="dxa"/>
            </w:tcMar>
            <w:vAlign w:val="center"/>
          </w:tcPr>
          <w:p>
            <w:pPr>
              <w:pStyle w:val="TableContents"/>
              <w:bidi w:val="0"/>
              <w:spacing w:before="0" w:after="0"/>
              <w:jc w:val="left"/>
              <w:rPr>
                <w:b/>
                <w:color w:val="1F2668"/>
                <w:sz w:val="18"/>
              </w:rPr>
            </w:pPr>
            <w:r>
              <w:rPr>
                <w:b/>
                <w:color w:val="1F2668"/>
                <w:sz w:val="18"/>
              </w:rPr>
              <w:t xml:space="preserve">Andrew S. </w:t>
              <w:br/>
              <w:t>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54"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15,000</w:t>
            </w:r>
            <w:r>
              <w:rPr>
                <w:sz w:val="11"/>
              </w:rPr>
              <w:t>(4)</w:t>
            </w:r>
            <w:r>
              <w:rPr>
                <w:sz w:val="18"/>
              </w:rPr>
              <w:t xml:space="preserve"> </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7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68"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18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60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106.05</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532"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01/11/2027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691"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73,769</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3,332,146</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shd w:fill="E9F9D8" w:val="clear"/>
            <w:tcMar>
              <w:bottom w:w="63" w:type="dxa"/>
            </w:tcMar>
            <w:vAlign w:val="center"/>
          </w:tcPr>
          <w:p>
            <w:pPr>
              <w:pStyle w:val="TableContents"/>
              <w:bidi w:val="0"/>
              <w:spacing w:before="0" w:after="0"/>
              <w:jc w:val="right"/>
              <w:rPr/>
            </w:pPr>
            <w:r>
              <w:rPr/>
              <w:t>​</w:t>
            </w:r>
          </w:p>
        </w:tc>
        <w:tc>
          <w:tcPr>
            <w:tcW w:w="703"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25,630</w:t>
            </w:r>
          </w:p>
        </w:tc>
        <w:tc>
          <w:tcPr>
            <w:tcW w:w="112"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9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w:t>
            </w:r>
          </w:p>
        </w:tc>
        <w:tc>
          <w:tcPr>
            <w:tcW w:w="916" w:type="dxa"/>
            <w:tcBorders>
              <w:bottom w:val="single" w:sz="2" w:space="0" w:color="4B5088"/>
            </w:tcBorders>
            <w:shd w:fill="E9F9D8" w:val="clear"/>
            <w:tcMar>
              <w:bottom w:w="63" w:type="dxa"/>
            </w:tcMar>
            <w:vAlign w:val="center"/>
          </w:tcPr>
          <w:p>
            <w:pPr>
              <w:pStyle w:val="TableContents"/>
              <w:bidi w:val="0"/>
              <w:spacing w:before="0" w:after="0"/>
              <w:jc w:val="right"/>
              <w:rPr>
                <w:sz w:val="18"/>
              </w:rPr>
            </w:pPr>
            <w:r>
              <w:rPr>
                <w:sz w:val="18"/>
              </w:rPr>
              <w:t>1,157,707</w:t>
            </w:r>
          </w:p>
        </w:tc>
        <w:tc>
          <w:tcPr>
            <w:tcW w:w="109" w:type="dxa"/>
            <w:tcBorders>
              <w:bottom w:val="single" w:sz="2" w:space="0" w:color="4B5088"/>
            </w:tcBorders>
            <w:shd w:fill="E9F9D8"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7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each of our named executive officers, includes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5260" distB="0" distL="0" distR="0" simplePos="0" locked="0" layoutInCell="1" allowOverlap="1" relativeHeight="772">
                <wp:simplePos x="0" y="0"/>
                <wp:positionH relativeFrom="column">
                  <wp:align>left</wp:align>
                </wp:positionH>
                <wp:positionV relativeFrom="line">
                  <wp:align>top</wp:align>
                </wp:positionV>
                <wp:extent cx="254000" cy="350520"/>
                <wp:effectExtent l="0" t="0" r="0" b="0"/>
                <wp:wrapSquare wrapText="right"/>
                <wp:docPr id="854"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8pt;mso-wrap-distance-bottom:0pt;margin-top:13.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11972" w:type="dxa"/>
        <w:jc w:val="left"/>
        <w:tblInd w:w="900" w:type="dxa"/>
        <w:tblLayout w:type="fixed"/>
        <w:tblCellMar>
          <w:top w:w="0" w:type="dxa"/>
          <w:left w:w="0" w:type="dxa"/>
          <w:bottom w:w="73" w:type="dxa"/>
          <w:right w:w="0" w:type="dxa"/>
        </w:tblCellMar>
      </w:tblPr>
      <w:tblGrid>
        <w:gridCol w:w="1126"/>
        <w:gridCol w:w="109"/>
        <w:gridCol w:w="109"/>
        <w:gridCol w:w="138"/>
        <w:gridCol w:w="138"/>
        <w:gridCol w:w="974"/>
        <w:gridCol w:w="141"/>
        <w:gridCol w:w="109"/>
        <w:gridCol w:w="109"/>
        <w:gridCol w:w="138"/>
        <w:gridCol w:w="138"/>
        <w:gridCol w:w="974"/>
        <w:gridCol w:w="141"/>
        <w:gridCol w:w="109"/>
        <w:gridCol w:w="109"/>
        <w:gridCol w:w="155"/>
        <w:gridCol w:w="155"/>
        <w:gridCol w:w="923"/>
        <w:gridCol w:w="158"/>
        <w:gridCol w:w="109"/>
        <w:gridCol w:w="109"/>
        <w:gridCol w:w="109"/>
        <w:gridCol w:w="109"/>
        <w:gridCol w:w="1003"/>
        <w:gridCol w:w="109"/>
        <w:gridCol w:w="109"/>
        <w:gridCol w:w="109"/>
        <w:gridCol w:w="129"/>
        <w:gridCol w:w="129"/>
        <w:gridCol w:w="942"/>
        <w:gridCol w:w="130"/>
        <w:gridCol w:w="109"/>
        <w:gridCol w:w="109"/>
        <w:gridCol w:w="129"/>
        <w:gridCol w:w="129"/>
        <w:gridCol w:w="942"/>
        <w:gridCol w:w="130"/>
        <w:gridCol w:w="109"/>
        <w:gridCol w:w="109"/>
        <w:gridCol w:w="109"/>
        <w:gridCol w:w="109"/>
        <w:gridCol w:w="676"/>
        <w:gridCol w:w="109"/>
        <w:gridCol w:w="154"/>
      </w:tblGrid>
      <w:tr>
        <w:trPr/>
        <w:tc>
          <w:tcPr>
            <w:tcW w:w="1126" w:type="dxa"/>
            <w:tcBorders>
              <w:bottom w:val="single" w:sz="2" w:space="0" w:color="1F2668"/>
            </w:tcBorders>
            <w:vAlign w:val="center"/>
          </w:tcPr>
          <w:p>
            <w:pPr>
              <w:pStyle w:val="TableContents"/>
              <w:bidi w:val="0"/>
              <w:spacing w:before="0" w:after="0"/>
              <w:jc w:val="left"/>
              <w:rPr>
                <w:spacing w:val="1"/>
              </w:rPr>
            </w:pPr>
            <w:r>
              <w:rPr>
                <w:spacing w:val="1"/>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1"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2023 </w:t>
              <w:br/>
              <w:t xml:space="preserve">Operational </w:t>
              <w:br/>
              <w:t xml:space="preserve">Performance- </w:t>
              <w:br/>
              <w:t xml:space="preserve">Based LTIP </w:t>
              <w:br/>
              <w:t>Units</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1"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2022 </w:t>
              <w:br/>
              <w:t xml:space="preserve">Operational </w:t>
              <w:br/>
              <w:t xml:space="preserve">Performance- </w:t>
              <w:br/>
              <w:t xml:space="preserve">Based LTIP </w:t>
              <w:br/>
              <w:t>Units</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1"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2021 </w:t>
              <w:br/>
              <w:t xml:space="preserve">Performance- </w:t>
              <w:br/>
              <w:t xml:space="preserve">Based LTIP </w:t>
              <w:br/>
              <w:t>Units</w:t>
            </w:r>
            <w:r>
              <w:rPr>
                <w:spacing w:val="1"/>
                <w:sz w:val="9"/>
              </w:rPr>
              <w:t>(c)</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before="0" w:after="0"/>
              <w:jc w:val="right"/>
              <w:rPr/>
            </w:pPr>
            <w:r>
              <w:rPr>
                <w:spacing w:val="1"/>
              </w:rPr>
              <w:t xml:space="preserve">2023 </w:t>
              <w:br/>
              <w:t xml:space="preserve">Time-Based </w:t>
              <w:br/>
              <w:t xml:space="preserve">Employment </w:t>
              <w:br/>
              <w:t xml:space="preserve">Agreement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before="0" w:after="0"/>
              <w:jc w:val="right"/>
              <w:rPr/>
            </w:pPr>
            <w:r>
              <w:rPr>
                <w:spacing w:val="1"/>
              </w:rPr>
              <w:t xml:space="preserve">2022 </w:t>
              <w:br/>
              <w:t xml:space="preserve">Time-Based </w:t>
              <w:br/>
              <w:t xml:space="preserve">Employment </w:t>
              <w:br/>
              <w:t xml:space="preserve">Agreement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before="0" w:after="0"/>
              <w:jc w:val="right"/>
              <w:rPr/>
            </w:pPr>
            <w:r>
              <w:rPr>
                <w:spacing w:val="1"/>
              </w:rPr>
              <w:t xml:space="preserve">2021 </w:t>
              <w:br/>
              <w:t xml:space="preserve">Time-Based </w:t>
              <w:br/>
              <w:t xml:space="preserve">Employment </w:t>
              <w:br/>
              <w:t xml:space="preserve">Agreement </w:t>
              <w:br/>
              <w:t>LTIP Units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03" w:type="dxa"/>
            <w:gridSpan w:val="4"/>
            <w:tcBorders>
              <w:bottom w:val="single" w:sz="2" w:space="0" w:color="1F2668"/>
            </w:tcBorders>
            <w:vAlign w:val="center"/>
          </w:tcPr>
          <w:p>
            <w:pPr>
              <w:pStyle w:val="TableContents"/>
              <w:bidi w:val="0"/>
              <w:spacing w:before="0" w:after="0"/>
              <w:jc w:val="right"/>
              <w:rPr/>
            </w:pPr>
            <w:r>
              <w:rPr>
                <w:spacing w:val="1"/>
              </w:rPr>
              <w:t xml:space="preserve">2022 One </w:t>
              <w:br/>
              <w:t xml:space="preserve">Madison LTIP </w:t>
              <w:br/>
              <w:t>Units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86,083</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62,822</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76" w:type="dxa"/>
            </w:tcMar>
            <w:vAlign w:val="center"/>
          </w:tcPr>
          <w:p>
            <w:pPr>
              <w:pStyle w:val="TableContents"/>
              <w:bidi w:val="0"/>
              <w:spacing w:before="0" w:after="283"/>
              <w:jc w:val="right"/>
              <w:rPr/>
            </w:pPr>
            <w:r>
              <w:rPr/>
              <w:t>​</w:t>
            </w:r>
          </w:p>
        </w:tc>
        <w:tc>
          <w:tcPr>
            <w:tcW w:w="923" w:type="dxa"/>
            <w:tcBorders>
              <w:bottom w:val="single" w:sz="2" w:space="0" w:color="4B5088"/>
            </w:tcBorders>
            <w:tcMar>
              <w:bottom w:w="76" w:type="dxa"/>
            </w:tcMar>
            <w:vAlign w:val="center"/>
          </w:tcPr>
          <w:p>
            <w:pPr>
              <w:pStyle w:val="TableContents"/>
              <w:bidi w:val="0"/>
              <w:spacing w:before="0" w:after="283"/>
              <w:jc w:val="right"/>
              <w:rPr/>
            </w:pPr>
            <w:r>
              <w:rPr/>
              <w:t>—</w:t>
            </w:r>
          </w:p>
        </w:tc>
        <w:tc>
          <w:tcPr>
            <w:tcW w:w="15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03" w:type="dxa"/>
            <w:tcBorders>
              <w:bottom w:val="single" w:sz="2" w:space="0" w:color="4B5088"/>
            </w:tcBorders>
            <w:tcMar>
              <w:bottom w:w="76" w:type="dxa"/>
            </w:tcMar>
            <w:vAlign w:val="center"/>
          </w:tcPr>
          <w:p>
            <w:pPr>
              <w:pStyle w:val="TableContents"/>
              <w:bidi w:val="0"/>
              <w:spacing w:before="0" w:after="283"/>
              <w:jc w:val="right"/>
              <w:rPr/>
            </w:pPr>
            <w:r>
              <w:rPr/>
              <w:t>134,156</w:t>
            </w:r>
            <w:r>
              <w:rPr>
                <w:sz w:val="10"/>
              </w:rPr>
              <w:t>(d)</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40,831</w:t>
            </w:r>
            <w:r>
              <w:rPr>
                <w:sz w:val="10"/>
              </w:rPr>
              <w:t>(e)</w:t>
            </w:r>
            <w:r>
              <w:rPr/>
              <w:t xml:space="preserve"> </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47,328</w:t>
            </w:r>
            <w:r>
              <w:rPr>
                <w:sz w:val="10"/>
              </w:rPr>
              <w:t>(f)</w:t>
            </w:r>
            <w:r>
              <w:rPr/>
              <w:t xml:space="preserve"> </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676"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68,867</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50,258</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76" w:type="dxa"/>
            </w:tcMar>
            <w:vAlign w:val="center"/>
          </w:tcPr>
          <w:p>
            <w:pPr>
              <w:pStyle w:val="TableContents"/>
              <w:bidi w:val="0"/>
              <w:spacing w:before="0" w:after="283"/>
              <w:jc w:val="right"/>
              <w:rPr/>
            </w:pPr>
            <w:r>
              <w:rPr/>
              <w:t>​</w:t>
            </w:r>
          </w:p>
        </w:tc>
        <w:tc>
          <w:tcPr>
            <w:tcW w:w="923" w:type="dxa"/>
            <w:tcBorders>
              <w:bottom w:val="single" w:sz="2" w:space="0" w:color="4B5088"/>
            </w:tcBorders>
            <w:tcMar>
              <w:bottom w:w="76" w:type="dxa"/>
            </w:tcMar>
            <w:vAlign w:val="center"/>
          </w:tcPr>
          <w:p>
            <w:pPr>
              <w:pStyle w:val="TableContents"/>
              <w:bidi w:val="0"/>
              <w:spacing w:before="0" w:after="283"/>
              <w:jc w:val="right"/>
              <w:rPr/>
            </w:pPr>
            <w:r>
              <w:rPr/>
              <w:t>—</w:t>
            </w:r>
          </w:p>
        </w:tc>
        <w:tc>
          <w:tcPr>
            <w:tcW w:w="15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03" w:type="dxa"/>
            <w:tcBorders>
              <w:bottom w:val="single" w:sz="2" w:space="0" w:color="4B5088"/>
            </w:tcBorders>
            <w:tcMar>
              <w:bottom w:w="76" w:type="dxa"/>
            </w:tcMar>
            <w:vAlign w:val="center"/>
          </w:tcPr>
          <w:p>
            <w:pPr>
              <w:pStyle w:val="TableContents"/>
              <w:bidi w:val="0"/>
              <w:spacing w:before="0" w:after="283"/>
              <w:jc w:val="right"/>
              <w:rPr/>
            </w:pPr>
            <w:r>
              <w:rPr/>
              <w:t>104,344</w:t>
            </w:r>
            <w:r>
              <w:rPr>
                <w:sz w:val="10"/>
              </w:rPr>
              <w:t>(d)</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31,758</w:t>
            </w:r>
            <w:r>
              <w:rPr>
                <w:sz w:val="10"/>
              </w:rPr>
              <w:t>(e)</w:t>
            </w:r>
            <w:r>
              <w:rPr/>
              <w:t xml:space="preserve"> </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36,745</w:t>
            </w:r>
            <w:r>
              <w:rPr>
                <w:sz w:val="10"/>
              </w:rPr>
              <w:t>(f)</w:t>
            </w:r>
            <w:r>
              <w:rPr/>
              <w:t xml:space="preserve"> </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676"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6,377</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4,653</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76" w:type="dxa"/>
            </w:tcMar>
            <w:vAlign w:val="center"/>
          </w:tcPr>
          <w:p>
            <w:pPr>
              <w:pStyle w:val="TableContents"/>
              <w:bidi w:val="0"/>
              <w:spacing w:before="0" w:after="283"/>
              <w:jc w:val="right"/>
              <w:rPr/>
            </w:pPr>
            <w:r>
              <w:rPr/>
              <w:t>​</w:t>
            </w:r>
          </w:p>
        </w:tc>
        <w:tc>
          <w:tcPr>
            <w:tcW w:w="923" w:type="dxa"/>
            <w:tcBorders>
              <w:bottom w:val="single" w:sz="2" w:space="0" w:color="4B5088"/>
            </w:tcBorders>
            <w:tcMar>
              <w:bottom w:w="76" w:type="dxa"/>
            </w:tcMar>
            <w:vAlign w:val="center"/>
          </w:tcPr>
          <w:p>
            <w:pPr>
              <w:pStyle w:val="TableContents"/>
              <w:bidi w:val="0"/>
              <w:spacing w:before="0" w:after="283"/>
              <w:jc w:val="right"/>
              <w:rPr/>
            </w:pPr>
            <w:r>
              <w:rPr/>
              <w:t>7,607</w:t>
            </w:r>
          </w:p>
        </w:tc>
        <w:tc>
          <w:tcPr>
            <w:tcW w:w="15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03" w:type="dxa"/>
            <w:tcBorders>
              <w:bottom w:val="single" w:sz="2" w:space="0" w:color="4B5088"/>
            </w:tcBorders>
            <w:tcMar>
              <w:bottom w:w="76" w:type="dxa"/>
            </w:tcMar>
            <w:vAlign w:val="center"/>
          </w:tcPr>
          <w:p>
            <w:pPr>
              <w:pStyle w:val="TableContents"/>
              <w:bidi w:val="0"/>
              <w:spacing w:before="0" w:after="283"/>
              <w:jc w:val="right"/>
              <w:rPr/>
            </w:pPr>
            <w:r>
              <w:rPr/>
              <w:t>42,422</w:t>
            </w:r>
            <w:r>
              <w:rPr>
                <w:sz w:val="10"/>
              </w:rPr>
              <w:t>(d)</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676" w:type="dxa"/>
            <w:tcBorders>
              <w:bottom w:val="single" w:sz="2" w:space="0" w:color="4B5088"/>
            </w:tcBorders>
            <w:tcMar>
              <w:bottom w:w="76" w:type="dxa"/>
            </w:tcMar>
            <w:vAlign w:val="center"/>
          </w:tcPr>
          <w:p>
            <w:pPr>
              <w:pStyle w:val="TableContents"/>
              <w:bidi w:val="0"/>
              <w:spacing w:before="0" w:after="283"/>
              <w:jc w:val="right"/>
              <w:rPr/>
            </w:pPr>
            <w:r>
              <w:rPr/>
              <w:t>4,580</w:t>
            </w:r>
            <w:r>
              <w:rPr>
                <w:sz w:val="10"/>
              </w:rPr>
              <w:t>(g)</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6,377</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28" w:type="dxa"/>
            </w:tcMar>
            <w:vAlign w:val="center"/>
          </w:tcPr>
          <w:p>
            <w:pPr>
              <w:pStyle w:val="TableContents"/>
              <w:bidi w:val="0"/>
              <w:spacing w:before="0" w:after="283"/>
              <w:jc w:val="left"/>
              <w:rPr/>
            </w:pPr>
            <w:r>
              <w:rPr/>
              <w:t>​</w:t>
            </w:r>
          </w:p>
        </w:tc>
        <w:tc>
          <w:tcPr>
            <w:tcW w:w="138" w:type="dxa"/>
            <w:tcBorders>
              <w:bottom w:val="single" w:sz="2" w:space="0" w:color="4B5088"/>
            </w:tcBorders>
            <w:tcMar>
              <w:bottom w:w="76" w:type="dxa"/>
            </w:tcMar>
            <w:vAlign w:val="center"/>
          </w:tcPr>
          <w:p>
            <w:pPr>
              <w:pStyle w:val="TableContents"/>
              <w:bidi w:val="0"/>
              <w:spacing w:before="0" w:after="283"/>
              <w:jc w:val="right"/>
              <w:rPr/>
            </w:pPr>
            <w:r>
              <w:rPr/>
              <w:t>​</w:t>
            </w:r>
          </w:p>
        </w:tc>
        <w:tc>
          <w:tcPr>
            <w:tcW w:w="974" w:type="dxa"/>
            <w:tcBorders>
              <w:bottom w:val="single" w:sz="2" w:space="0" w:color="4B5088"/>
            </w:tcBorders>
            <w:tcMar>
              <w:bottom w:w="76" w:type="dxa"/>
            </w:tcMar>
            <w:vAlign w:val="center"/>
          </w:tcPr>
          <w:p>
            <w:pPr>
              <w:pStyle w:val="TableContents"/>
              <w:bidi w:val="0"/>
              <w:spacing w:before="0" w:after="283"/>
              <w:jc w:val="right"/>
              <w:rPr/>
            </w:pPr>
            <w:r>
              <w:rPr/>
              <w:t>4,653</w:t>
            </w:r>
          </w:p>
        </w:tc>
        <w:tc>
          <w:tcPr>
            <w:tcW w:w="14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4B5088"/>
            </w:tcBorders>
            <w:tcMar>
              <w:bottom w:w="76" w:type="dxa"/>
            </w:tcMar>
            <w:vAlign w:val="center"/>
          </w:tcPr>
          <w:p>
            <w:pPr>
              <w:pStyle w:val="TableContents"/>
              <w:bidi w:val="0"/>
              <w:spacing w:before="0" w:after="283"/>
              <w:jc w:val="right"/>
              <w:rPr/>
            </w:pPr>
            <w:r>
              <w:rPr/>
              <w:t>​</w:t>
            </w:r>
          </w:p>
        </w:tc>
        <w:tc>
          <w:tcPr>
            <w:tcW w:w="923" w:type="dxa"/>
            <w:tcBorders>
              <w:bottom w:val="single" w:sz="2" w:space="0" w:color="4B5088"/>
            </w:tcBorders>
            <w:tcMar>
              <w:bottom w:w="76" w:type="dxa"/>
            </w:tcMar>
            <w:vAlign w:val="center"/>
          </w:tcPr>
          <w:p>
            <w:pPr>
              <w:pStyle w:val="TableContents"/>
              <w:bidi w:val="0"/>
              <w:spacing w:before="0" w:after="283"/>
              <w:jc w:val="right"/>
              <w:rPr/>
            </w:pPr>
            <w:r>
              <w:rPr/>
              <w:t>7,607</w:t>
            </w:r>
          </w:p>
        </w:tc>
        <w:tc>
          <w:tcPr>
            <w:tcW w:w="158"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03" w:type="dxa"/>
            <w:tcBorders>
              <w:bottom w:val="single" w:sz="2" w:space="0" w:color="4B5088"/>
            </w:tcBorders>
            <w:tcMar>
              <w:bottom w:w="76" w:type="dxa"/>
            </w:tcMar>
            <w:vAlign w:val="center"/>
          </w:tcPr>
          <w:p>
            <w:pPr>
              <w:pStyle w:val="TableContents"/>
              <w:bidi w:val="0"/>
              <w:spacing w:before="0" w:after="283"/>
              <w:jc w:val="right"/>
              <w:rPr/>
            </w:pPr>
            <w:r>
              <w:rPr/>
              <w:t>38,756</w:t>
            </w:r>
            <w:r>
              <w:rPr>
                <w:sz w:val="10"/>
              </w:rPr>
              <w:t>(h)</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11,796</w:t>
            </w:r>
            <w:r>
              <w:rPr>
                <w:sz w:val="10"/>
              </w:rPr>
              <w:t>(i)</w:t>
            </w:r>
            <w:r>
              <w:rPr/>
              <w:t xml:space="preserve"> </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76" w:type="dxa"/>
            </w:tcMar>
            <w:vAlign w:val="center"/>
          </w:tcPr>
          <w:p>
            <w:pPr>
              <w:pStyle w:val="TableContents"/>
              <w:bidi w:val="0"/>
              <w:spacing w:before="0" w:after="283"/>
              <w:jc w:val="right"/>
              <w:rPr/>
            </w:pPr>
            <w:r>
              <w:rPr/>
              <w:t>​</w:t>
            </w:r>
          </w:p>
        </w:tc>
        <w:tc>
          <w:tcPr>
            <w:tcW w:w="942" w:type="dxa"/>
            <w:tcBorders>
              <w:bottom w:val="single" w:sz="2" w:space="0" w:color="4B5088"/>
            </w:tcBorders>
            <w:tcMar>
              <w:bottom w:w="76" w:type="dxa"/>
            </w:tcMar>
            <w:vAlign w:val="center"/>
          </w:tcPr>
          <w:p>
            <w:pPr>
              <w:pStyle w:val="TableContents"/>
              <w:bidi w:val="0"/>
              <w:spacing w:before="0" w:after="283"/>
              <w:jc w:val="right"/>
              <w:rPr/>
            </w:pPr>
            <w:r>
              <w:rPr/>
              <w:t>—</w:t>
            </w:r>
          </w:p>
        </w:tc>
        <w:tc>
          <w:tcPr>
            <w:tcW w:w="13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676" w:type="dxa"/>
            <w:tcBorders>
              <w:bottom w:val="single" w:sz="2" w:space="0" w:color="4B5088"/>
            </w:tcBorders>
            <w:tcMar>
              <w:bottom w:w="76" w:type="dxa"/>
            </w:tcMar>
            <w:vAlign w:val="center"/>
          </w:tcPr>
          <w:p>
            <w:pPr>
              <w:pStyle w:val="TableContents"/>
              <w:bidi w:val="0"/>
              <w:spacing w:before="0" w:after="283"/>
              <w:jc w:val="right"/>
              <w:rPr/>
            </w:pPr>
            <w:r>
              <w:rPr/>
              <w:t>4,580</w:t>
            </w:r>
            <w:r>
              <w:rPr>
                <w:sz w:val="10"/>
              </w:rPr>
              <w:t>(g)</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number of LTIP units that were earned for 2023 operational performance that are not subject to forfeiture regardless of our absolute TSR performance over the three-year period ending December 31, 2025. The LTIP units will vest 100% for Messrs. Holliday and Mathias on December 31, 2025, and 50% on each of December 31, 2025 and December 31, 2026 for Messrs. DiLiberto and Levine, subject, in each case,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73">
                <wp:simplePos x="0" y="0"/>
                <wp:positionH relativeFrom="column">
                  <wp:align>left</wp:align>
                </wp:positionH>
                <wp:positionV relativeFrom="line">
                  <wp:align>top</wp:align>
                </wp:positionV>
                <wp:extent cx="254000" cy="350520"/>
                <wp:effectExtent l="0" t="0" r="0" b="0"/>
                <wp:wrapSquare wrapText="right"/>
                <wp:docPr id="855"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2"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number of LTIP units that were earned for 2022 operational performance that are not subject to forfeiture regardless of our absolute TSR performance over the three-year period ending December 31, 2024. The LTIP units will vest 100% for Messrs. Holliday and Mathias on December 31, 2024, and 50% on each of December 31, 2024 and December 31, 2025 for Messrs. DiLiberto and Levine, subject, in each case,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9370" distB="0" distL="254000" distR="0" simplePos="0" locked="0" layoutInCell="1" allowOverlap="1" relativeHeight="774">
                <wp:simplePos x="0" y="0"/>
                <wp:positionH relativeFrom="column">
                  <wp:align>left</wp:align>
                </wp:positionH>
                <wp:positionV relativeFrom="line">
                  <wp:align>top</wp:align>
                </wp:positionV>
                <wp:extent cx="254000" cy="350520"/>
                <wp:effectExtent l="0" t="0" r="0" b="0"/>
                <wp:wrapSquare wrapText="right"/>
                <wp:docPr id="856"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1pt;mso-wrap-distance-bottom:0pt;margin-top:3.1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2"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(i) the number of LTIP units that were earned for 2021 operational performance, as modified by our absolute TSR performance over the three-year period ending December 31, 2022 and (ii) the number of LTIP units that were earned based on our TSR performance relative to our NYC Peer Group over the three-year period ending December 31, 2022. The LTIP units vested 100% for Messrs. Holliday and Mathias on December 31, 2023, and 50% for Messrs. DiLiberto and Levine, with the remaining 50% scheduled to vest on December 31, 2024 subject, in each case, to continued employment. LTIP units that vested on December 31, 2023 are reflected in the “2023 Options Exercised and Stock Vested” table, below. See “—Compensation Discussion and Analysis—Our 2023 Executive Compensation Program” and “—Compensation Discussion and Analysis—Other Compensation Policies and Information—Outstanding Annual Equity Award Performance Summary (2021-2023)” for a description of the terms of these performance-based awards and the Company’s performance as of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9370" distB="0" distL="254000" distR="0" simplePos="0" locked="0" layoutInCell="1" allowOverlap="1" relativeHeight="775">
                <wp:simplePos x="0" y="0"/>
                <wp:positionH relativeFrom="column">
                  <wp:align>left</wp:align>
                </wp:positionH>
                <wp:positionV relativeFrom="line">
                  <wp:align>top</wp:align>
                </wp:positionV>
                <wp:extent cx="254000" cy="350520"/>
                <wp:effectExtent l="0" t="0" r="0" b="0"/>
                <wp:wrapSquare wrapText="right"/>
                <wp:docPr id="857"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1pt;mso-wrap-distance-bottom:0pt;margin-top:3.1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Messrs. Holliday and DiLiberto, represents LTIP units that vested one-third on January 1, 2024 and LTIP units that are scheduled to vest one-third on January 1, 2025 and one-third on January 1, 2026, subject to continued employment. For Mr. Mathias, all of the LTIP units vested on January 30, 2024 in connection with the non-renewal of his employment agreement.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254000" distR="0" simplePos="0" locked="0" layoutInCell="1" allowOverlap="1" relativeHeight="776">
                <wp:simplePos x="0" y="0"/>
                <wp:positionH relativeFrom="column">
                  <wp:align>left</wp:align>
                </wp:positionH>
                <wp:positionV relativeFrom="line">
                  <wp:align>top</wp:align>
                </wp:positionV>
                <wp:extent cx="254000" cy="350520"/>
                <wp:effectExtent l="0" t="0" r="0" b="0"/>
                <wp:wrapSquare wrapText="right"/>
                <wp:docPr id="858"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(d)</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Mr. Holliday, represents LTIP units that vested one-third on January 1, 2023 and one-third on January 1, 2024 and LTIP units that are scheduled to vest one-third on January 1, 2025, subject to continued employment. For Mr. Mathias, all of the LTIP units vested on January 30, 2024 in connection with the non-renewal of his employment agreement.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254000" distR="0" simplePos="0" locked="0" layoutInCell="1" allowOverlap="1" relativeHeight="777">
                <wp:simplePos x="0" y="0"/>
                <wp:positionH relativeFrom="column">
                  <wp:align>left</wp:align>
                </wp:positionH>
                <wp:positionV relativeFrom="line">
                  <wp:align>top</wp:align>
                </wp:positionV>
                <wp:extent cx="254000" cy="350520"/>
                <wp:effectExtent l="0" t="0" r="0" b="0"/>
                <wp:wrapSquare wrapText="right"/>
                <wp:docPr id="859"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(e)</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Mr. Holliday, represents LTIP units that vested on January 1, 2024. For Mr. Mathias, the LTIP units vested on January 30, 2024 in connection with the non-renewal of his employment agreement.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254000" distR="0" simplePos="0" locked="0" layoutInCell="1" allowOverlap="1" relativeHeight="778">
                <wp:simplePos x="0" y="0"/>
                <wp:positionH relativeFrom="column">
                  <wp:align>left</wp:align>
                </wp:positionH>
                <wp:positionV relativeFrom="line">
                  <wp:align>top</wp:align>
                </wp:positionV>
                <wp:extent cx="254000" cy="350520"/>
                <wp:effectExtent l="0" t="0" r="0" b="0"/>
                <wp:wrapSquare wrapText="right"/>
                <wp:docPr id="860"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(f)</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0" w:after="0"/>
        <w:ind w:left="17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Represents LTIP units that were awarded as one-time, long-term incentive grants in connection with our One Madison </w:t>
      </w:r>
      <w:r>
        <mc:AlternateContent>
          <mc:Choice Requires="wps">
            <w:drawing>
              <wp:anchor behindDoc="0" distT="38100" distB="0" distL="254000" distR="0" simplePos="0" locked="0" layoutInCell="1" allowOverlap="1" relativeHeight="779">
                <wp:simplePos x="0" y="0"/>
                <wp:positionH relativeFrom="column">
                  <wp:align>left</wp:align>
                </wp:positionH>
                <wp:positionV relativeFrom="line">
                  <wp:align>top</wp:align>
                </wp:positionV>
                <wp:extent cx="254000" cy="350520"/>
                <wp:effectExtent l="0" t="0" r="0" b="0"/>
                <wp:wrapSquare wrapText="right"/>
                <wp:docPr id="861"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(g)</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560" w:after="154"/>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development project that vested one-third on December 31, 2022 and one-third on December 31, 2023, and LTIP units that are scheduled to vest one-third on December 31, 2024, subject to continued employment.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68"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one-half on January 1, 2024 and LTIP units that are scheduled to vest one-half on January 1, 2025, subject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254000" distR="0" simplePos="0" locked="0" layoutInCell="1" allowOverlap="1" relativeHeight="780">
                <wp:simplePos x="0" y="0"/>
                <wp:positionH relativeFrom="column">
                  <wp:align>left</wp:align>
                </wp:positionH>
                <wp:positionV relativeFrom="line">
                  <wp:align>top</wp:align>
                </wp:positionV>
                <wp:extent cx="254000" cy="350520"/>
                <wp:effectExtent l="0" t="0" r="0" b="0"/>
                <wp:wrapSquare wrapText="right"/>
                <wp:docPr id="862" name="Frame4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(h)</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LTIP units that vested one-third on January 1, 2023 and one-third on January 1, 2024 and LTIP units that are scheduled to vest one-third on January 1, 2025, subject to continued employment.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254000" distR="0" simplePos="0" locked="0" layoutInCell="1" allowOverlap="1" relativeHeight="781">
                <wp:simplePos x="0" y="0"/>
                <wp:positionH relativeFrom="column">
                  <wp:align>left</wp:align>
                </wp:positionH>
                <wp:positionV relativeFrom="line">
                  <wp:align>top</wp:align>
                </wp:positionV>
                <wp:extent cx="254000" cy="350520"/>
                <wp:effectExtent l="0" t="0" r="0" b="0"/>
                <wp:wrapSquare wrapText="right"/>
                <wp:docPr id="863"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a price of $45.17 per share/unit, which was the closing price on the NYSE of one share of our common stock on December 29, 2023. Assumes that the value of LTIP units on a per unit basis is equal to the per share value of our common stock.</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82">
                <wp:simplePos x="0" y="0"/>
                <wp:positionH relativeFrom="column">
                  <wp:align>left</wp:align>
                </wp:positionH>
                <wp:positionV relativeFrom="line">
                  <wp:align>top</wp:align>
                </wp:positionV>
                <wp:extent cx="254000" cy="350520"/>
                <wp:effectExtent l="0" t="0" r="0" b="0"/>
                <wp:wrapSquare wrapText="right"/>
                <wp:docPr id="864"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For each of our named executive officers includes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865"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tbl>
      <w:tblPr>
        <w:tblW w:w="5829" w:type="dxa"/>
        <w:jc w:val="left"/>
        <w:tblInd w:w="900" w:type="dxa"/>
        <w:tblLayout w:type="fixed"/>
        <w:tblCellMar>
          <w:top w:w="0" w:type="dxa"/>
          <w:left w:w="0" w:type="dxa"/>
          <w:bottom w:w="63" w:type="dxa"/>
          <w:right w:w="0" w:type="dxa"/>
        </w:tblCellMar>
      </w:tblPr>
      <w:tblGrid>
        <w:gridCol w:w="2341"/>
        <w:gridCol w:w="109"/>
        <w:gridCol w:w="109"/>
        <w:gridCol w:w="129"/>
        <w:gridCol w:w="129"/>
        <w:gridCol w:w="1059"/>
        <w:gridCol w:w="132"/>
        <w:gridCol w:w="109"/>
        <w:gridCol w:w="109"/>
        <w:gridCol w:w="143"/>
        <w:gridCol w:w="143"/>
        <w:gridCol w:w="1016"/>
        <w:gridCol w:w="147"/>
        <w:gridCol w:w="154"/>
      </w:tblGrid>
      <w:tr>
        <w:trPr/>
        <w:tc>
          <w:tcPr>
            <w:tcW w:w="2341" w:type="dxa"/>
            <w:tcBorders>
              <w:bottom w:val="single" w:sz="2" w:space="0" w:color="1F2668"/>
            </w:tcBorders>
            <w:vAlign w:val="center"/>
          </w:tcPr>
          <w:p>
            <w:pPr>
              <w:pStyle w:val="TableContents"/>
              <w:bidi w:val="0"/>
              <w:spacing w:before="0" w:after="0"/>
              <w:jc w:val="left"/>
              <w:rPr>
                <w:spacing w:val="1"/>
              </w:rPr>
            </w:pPr>
            <w:r>
              <w:rPr>
                <w:spacing w:val="1"/>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2023 </w:t>
              <w:br/>
              <w:t xml:space="preserve">Performance- </w:t>
              <w:br/>
              <w:t xml:space="preserve">Based </w:t>
              <w:br/>
              <w:t>LTIP Units</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9"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2022 </w:t>
              <w:br/>
              <w:t xml:space="preserve">Performance- </w:t>
              <w:br/>
              <w:t xml:space="preserve">Based LTIP </w:t>
              <w:br/>
              <w:t>Units</w:t>
            </w:r>
            <w:r>
              <w:rPr>
                <w:spacing w:val="1"/>
                <w:sz w:val="9"/>
              </w:rPr>
              <w:t>(b)</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6"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66" w:type="dxa"/>
            </w:tcMar>
            <w:vAlign w:val="center"/>
          </w:tcPr>
          <w:p>
            <w:pPr>
              <w:pStyle w:val="TableContents"/>
              <w:bidi w:val="0"/>
              <w:spacing w:before="0" w:after="283"/>
              <w:jc w:val="right"/>
              <w:rPr/>
            </w:pPr>
            <w:r>
              <w:rPr/>
              <w:t>​</w:t>
            </w:r>
          </w:p>
        </w:tc>
        <w:tc>
          <w:tcPr>
            <w:tcW w:w="1059" w:type="dxa"/>
            <w:tcBorders>
              <w:bottom w:val="single" w:sz="2" w:space="0" w:color="4B5088"/>
            </w:tcBorders>
            <w:tcMar>
              <w:bottom w:w="66" w:type="dxa"/>
            </w:tcMar>
            <w:vAlign w:val="center"/>
          </w:tcPr>
          <w:p>
            <w:pPr>
              <w:pStyle w:val="TableContents"/>
              <w:bidi w:val="0"/>
              <w:spacing w:before="0" w:after="283"/>
              <w:jc w:val="right"/>
              <w:rPr/>
            </w:pPr>
            <w:r>
              <w:rPr/>
              <w:t>276,137</w:t>
            </w:r>
          </w:p>
        </w:tc>
        <w:tc>
          <w:tcPr>
            <w:tcW w:w="1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66" w:type="dxa"/>
            </w:tcMar>
            <w:vAlign w:val="center"/>
          </w:tcPr>
          <w:p>
            <w:pPr>
              <w:pStyle w:val="TableContents"/>
              <w:bidi w:val="0"/>
              <w:spacing w:before="0" w:after="283"/>
              <w:jc w:val="right"/>
              <w:rPr/>
            </w:pPr>
            <w:r>
              <w:rPr/>
              <w:t>​</w:t>
            </w:r>
          </w:p>
        </w:tc>
        <w:tc>
          <w:tcPr>
            <w:tcW w:w="1016" w:type="dxa"/>
            <w:tcBorders>
              <w:bottom w:val="single" w:sz="2" w:space="0" w:color="4B5088"/>
            </w:tcBorders>
            <w:tcMar>
              <w:bottom w:w="66" w:type="dxa"/>
            </w:tcMar>
            <w:vAlign w:val="center"/>
          </w:tcPr>
          <w:p>
            <w:pPr>
              <w:pStyle w:val="TableContents"/>
              <w:bidi w:val="0"/>
              <w:spacing w:before="0" w:after="283"/>
              <w:jc w:val="right"/>
              <w:rPr/>
            </w:pPr>
            <w:r>
              <w:rPr/>
              <w:t>69,873</w:t>
            </w:r>
          </w:p>
        </w:tc>
        <w:tc>
          <w:tcPr>
            <w:tcW w:w="147"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6"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66" w:type="dxa"/>
            </w:tcMar>
            <w:vAlign w:val="center"/>
          </w:tcPr>
          <w:p>
            <w:pPr>
              <w:pStyle w:val="TableContents"/>
              <w:bidi w:val="0"/>
              <w:spacing w:before="0" w:after="283"/>
              <w:jc w:val="right"/>
              <w:rPr/>
            </w:pPr>
            <w:r>
              <w:rPr/>
              <w:t>​</w:t>
            </w:r>
          </w:p>
        </w:tc>
        <w:tc>
          <w:tcPr>
            <w:tcW w:w="1059" w:type="dxa"/>
            <w:tcBorders>
              <w:bottom w:val="single" w:sz="2" w:space="0" w:color="4B5088"/>
            </w:tcBorders>
            <w:tcMar>
              <w:bottom w:w="66" w:type="dxa"/>
            </w:tcMar>
            <w:vAlign w:val="center"/>
          </w:tcPr>
          <w:p>
            <w:pPr>
              <w:pStyle w:val="TableContents"/>
              <w:bidi w:val="0"/>
              <w:spacing w:before="0" w:after="283"/>
              <w:jc w:val="right"/>
              <w:rPr/>
            </w:pPr>
            <w:r>
              <w:rPr/>
              <w:t>220,910</w:t>
            </w:r>
          </w:p>
        </w:tc>
        <w:tc>
          <w:tcPr>
            <w:tcW w:w="1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66" w:type="dxa"/>
            </w:tcMar>
            <w:vAlign w:val="center"/>
          </w:tcPr>
          <w:p>
            <w:pPr>
              <w:pStyle w:val="TableContents"/>
              <w:bidi w:val="0"/>
              <w:spacing w:before="0" w:after="283"/>
              <w:jc w:val="right"/>
              <w:rPr/>
            </w:pPr>
            <w:r>
              <w:rPr/>
              <w:t>​</w:t>
            </w:r>
          </w:p>
        </w:tc>
        <w:tc>
          <w:tcPr>
            <w:tcW w:w="1016" w:type="dxa"/>
            <w:tcBorders>
              <w:bottom w:val="single" w:sz="2" w:space="0" w:color="4B5088"/>
            </w:tcBorders>
            <w:tcMar>
              <w:bottom w:w="66" w:type="dxa"/>
            </w:tcMar>
            <w:vAlign w:val="center"/>
          </w:tcPr>
          <w:p>
            <w:pPr>
              <w:pStyle w:val="TableContents"/>
              <w:bidi w:val="0"/>
              <w:spacing w:before="0" w:after="283"/>
              <w:jc w:val="right"/>
              <w:rPr/>
            </w:pPr>
            <w:r>
              <w:rPr/>
              <w:t>55,899</w:t>
            </w:r>
          </w:p>
        </w:tc>
        <w:tc>
          <w:tcPr>
            <w:tcW w:w="147"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6"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28" w:type="dxa"/>
            </w:tcMar>
            <w:vAlign w:val="center"/>
          </w:tcPr>
          <w:p>
            <w:pPr>
              <w:pStyle w:val="TableContents"/>
              <w:bidi w:val="0"/>
              <w:spacing w:before="0" w:after="283"/>
              <w:jc w:val="left"/>
              <w:rPr/>
            </w:pPr>
            <w:r>
              <w:rPr/>
              <w:t>​</w:t>
            </w:r>
          </w:p>
        </w:tc>
        <w:tc>
          <w:tcPr>
            <w:tcW w:w="129" w:type="dxa"/>
            <w:tcBorders>
              <w:bottom w:val="single" w:sz="2" w:space="0" w:color="4B5088"/>
            </w:tcBorders>
            <w:tcMar>
              <w:bottom w:w="66" w:type="dxa"/>
            </w:tcMar>
            <w:vAlign w:val="center"/>
          </w:tcPr>
          <w:p>
            <w:pPr>
              <w:pStyle w:val="TableContents"/>
              <w:bidi w:val="0"/>
              <w:spacing w:before="0" w:after="283"/>
              <w:jc w:val="right"/>
              <w:rPr/>
            </w:pPr>
            <w:r>
              <w:rPr/>
              <w:t>​</w:t>
            </w:r>
          </w:p>
        </w:tc>
        <w:tc>
          <w:tcPr>
            <w:tcW w:w="1059" w:type="dxa"/>
            <w:tcBorders>
              <w:bottom w:val="single" w:sz="2" w:space="0" w:color="4B5088"/>
            </w:tcBorders>
            <w:tcMar>
              <w:bottom w:w="66" w:type="dxa"/>
            </w:tcMar>
            <w:vAlign w:val="center"/>
          </w:tcPr>
          <w:p>
            <w:pPr>
              <w:pStyle w:val="TableContents"/>
              <w:bidi w:val="0"/>
              <w:spacing w:before="0" w:after="283"/>
              <w:jc w:val="right"/>
              <w:rPr/>
            </w:pPr>
            <w:r>
              <w:rPr/>
              <w:t>20,454</w:t>
            </w:r>
          </w:p>
        </w:tc>
        <w:tc>
          <w:tcPr>
            <w:tcW w:w="1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43" w:type="dxa"/>
            <w:tcBorders>
              <w:bottom w:val="single" w:sz="2" w:space="0" w:color="4B5088"/>
            </w:tcBorders>
            <w:tcMar>
              <w:bottom w:w="66" w:type="dxa"/>
            </w:tcMar>
            <w:vAlign w:val="center"/>
          </w:tcPr>
          <w:p>
            <w:pPr>
              <w:pStyle w:val="TableContents"/>
              <w:bidi w:val="0"/>
              <w:spacing w:before="0" w:after="283"/>
              <w:jc w:val="right"/>
              <w:rPr/>
            </w:pPr>
            <w:r>
              <w:rPr/>
              <w:t>​</w:t>
            </w:r>
          </w:p>
        </w:tc>
        <w:tc>
          <w:tcPr>
            <w:tcW w:w="1016" w:type="dxa"/>
            <w:tcBorders>
              <w:bottom w:val="single" w:sz="2" w:space="0" w:color="4B5088"/>
            </w:tcBorders>
            <w:tcMar>
              <w:bottom w:w="66" w:type="dxa"/>
            </w:tcMar>
            <w:vAlign w:val="center"/>
          </w:tcPr>
          <w:p>
            <w:pPr>
              <w:pStyle w:val="TableContents"/>
              <w:bidi w:val="0"/>
              <w:spacing w:before="0" w:after="283"/>
              <w:jc w:val="right"/>
              <w:rPr/>
            </w:pPr>
            <w:r>
              <w:rPr/>
              <w:t>5,176</w:t>
            </w:r>
          </w:p>
        </w:tc>
        <w:tc>
          <w:tcPr>
            <w:tcW w:w="147"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66"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1F2668"/>
            </w:tcBorders>
            <w:tcMar>
              <w:bottom w:w="28" w:type="dxa"/>
            </w:tcMar>
            <w:vAlign w:val="center"/>
          </w:tcPr>
          <w:p>
            <w:pPr>
              <w:pStyle w:val="TableContents"/>
              <w:bidi w:val="0"/>
              <w:spacing w:before="0" w:after="283"/>
              <w:jc w:val="left"/>
              <w:rPr/>
            </w:pPr>
            <w:r>
              <w:rPr/>
              <w:t>​</w:t>
            </w:r>
          </w:p>
        </w:tc>
        <w:tc>
          <w:tcPr>
            <w:tcW w:w="129" w:type="dxa"/>
            <w:tcBorders>
              <w:bottom w:val="single" w:sz="2" w:space="0" w:color="1F2668"/>
            </w:tcBorders>
            <w:tcMar>
              <w:bottom w:w="66" w:type="dxa"/>
            </w:tcMar>
            <w:vAlign w:val="center"/>
          </w:tcPr>
          <w:p>
            <w:pPr>
              <w:pStyle w:val="TableContents"/>
              <w:bidi w:val="0"/>
              <w:spacing w:before="0" w:after="283"/>
              <w:jc w:val="right"/>
              <w:rPr/>
            </w:pPr>
            <w:r>
              <w:rPr/>
              <w:t>​</w:t>
            </w:r>
          </w:p>
        </w:tc>
        <w:tc>
          <w:tcPr>
            <w:tcW w:w="1059" w:type="dxa"/>
            <w:tcBorders>
              <w:bottom w:val="single" w:sz="2" w:space="0" w:color="1F2668"/>
            </w:tcBorders>
            <w:tcMar>
              <w:bottom w:w="66" w:type="dxa"/>
            </w:tcMar>
            <w:vAlign w:val="center"/>
          </w:tcPr>
          <w:p>
            <w:pPr>
              <w:pStyle w:val="TableContents"/>
              <w:bidi w:val="0"/>
              <w:spacing w:before="0" w:after="283"/>
              <w:jc w:val="right"/>
              <w:rPr/>
            </w:pPr>
            <w:r>
              <w:rPr/>
              <w:t>20,454</w:t>
            </w:r>
          </w:p>
        </w:tc>
        <w:tc>
          <w:tcPr>
            <w:tcW w:w="13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1F2668"/>
            </w:tcBorders>
            <w:tcMar>
              <w:bottom w:w="28" w:type="dxa"/>
            </w:tcMar>
            <w:vAlign w:val="center"/>
          </w:tcPr>
          <w:p>
            <w:pPr>
              <w:pStyle w:val="TableContents"/>
              <w:bidi w:val="0"/>
              <w:spacing w:before="0" w:after="283"/>
              <w:jc w:val="left"/>
              <w:rPr/>
            </w:pPr>
            <w:r>
              <w:rPr/>
              <w:t>​</w:t>
            </w:r>
          </w:p>
        </w:tc>
        <w:tc>
          <w:tcPr>
            <w:tcW w:w="143" w:type="dxa"/>
            <w:tcBorders>
              <w:bottom w:val="single" w:sz="2" w:space="0" w:color="1F2668"/>
            </w:tcBorders>
            <w:tcMar>
              <w:bottom w:w="66" w:type="dxa"/>
            </w:tcMar>
            <w:vAlign w:val="center"/>
          </w:tcPr>
          <w:p>
            <w:pPr>
              <w:pStyle w:val="TableContents"/>
              <w:bidi w:val="0"/>
              <w:spacing w:before="0" w:after="283"/>
              <w:jc w:val="right"/>
              <w:rPr/>
            </w:pPr>
            <w:r>
              <w:rPr/>
              <w:t>​</w:t>
            </w:r>
          </w:p>
        </w:tc>
        <w:tc>
          <w:tcPr>
            <w:tcW w:w="1016" w:type="dxa"/>
            <w:tcBorders>
              <w:bottom w:val="single" w:sz="2" w:space="0" w:color="1F2668"/>
            </w:tcBorders>
            <w:tcMar>
              <w:bottom w:w="66" w:type="dxa"/>
            </w:tcMar>
            <w:vAlign w:val="center"/>
          </w:tcPr>
          <w:p>
            <w:pPr>
              <w:pStyle w:val="TableContents"/>
              <w:bidi w:val="0"/>
              <w:spacing w:before="0" w:after="283"/>
              <w:jc w:val="right"/>
              <w:rPr/>
            </w:pPr>
            <w:r>
              <w:rPr/>
              <w:t>5,176</w:t>
            </w:r>
          </w:p>
        </w:tc>
        <w:tc>
          <w:tcPr>
            <w:tcW w:w="147"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“maximum” performance goal were achieved with respect to the portion of the LTIP units eligible to be earned based on absolute TSR, (ii) the “maximum” performance goal were achieved with respect to the portion of the LTIP units eligible to be earned based on TSR relative to the constituents of the Dow Jones US Real Estate Office Index and (iii) the “maximum” performance goal was achieved with respect to the portion of the LTIP units eligible to be earned based on TSR relative to NYC peers. Earned LTIP units will vest 100% for Messrs. Holliday and Mathias on December 31, 2025, and 50% on each of December 31, 2025 and December 31, 2026 for Messrs. DiLiberto and Levine, subject, in each case, to continued employment. See “—Compensation Discussion and Analysis—Our 2023 Executive Compensation Program” and “—Compensation Discussion and Analysis—Other Compensation Policies and Information—Outstanding Annual Equity Award Performance Summary (2021-2023)” for a description of the terms of these performance-based awards and the Company’s projected performance as of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784">
                <wp:simplePos x="0" y="0"/>
                <wp:positionH relativeFrom="column">
                  <wp:align>left</wp:align>
                </wp:positionH>
                <wp:positionV relativeFrom="line">
                  <wp:align>top</wp:align>
                </wp:positionV>
                <wp:extent cx="254000" cy="350520"/>
                <wp:effectExtent l="0" t="0" r="0" b="0"/>
                <wp:wrapSquare wrapText="right"/>
                <wp:docPr id="866"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LTIP units that would be earned if (i) the “threshold” performance goal was achieved with respect to the portion of the LTIP units eligible to be earned based on absolute TSR, (ii) the “maximum” performance goal was achieved with respect to the portion of the LTIP units eligible to be earned based on TSR relative to the constituents of the SNL office index at the time the award was granted and (iii) the “threshold” performance goal was achieved with respect to the portion of the LTIP units eligible to be earned based on TSR relative to NYC peers. Earned LTIP units will vest 100% for Messrs. Holliday and Mathias on December 31, 2024, and 50% on each of December 31, 2024 and December 31, 2025 for Messrs. DiLiberto and Levine, subject, in each case, to continued employment. See “—Compensation Discussion and Analysis—Our 2023 Executive Compensation Program” and “—Compensation Discussion and Analysis—Other Compensation Policies and Information—</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2"/>
          <w:sz w:val="16"/>
        </w:rPr>
        <w:t>Outstanding Annual Equity Award Performance Summary (2021-2023)” for a description of the terms of these performance-based awards and the Company’s projected performance as of December 31,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254000" distR="0" simplePos="0" locked="0" layoutInCell="1" allowOverlap="1" relativeHeight="785">
                <wp:simplePos x="0" y="0"/>
                <wp:positionH relativeFrom="column">
                  <wp:align>left</wp:align>
                </wp:positionH>
                <wp:positionV relativeFrom="line">
                  <wp:align>top</wp:align>
                </wp:positionV>
                <wp:extent cx="254000" cy="350520"/>
                <wp:effectExtent l="0" t="0" r="0" b="0"/>
                <wp:wrapSquare wrapText="right"/>
                <wp:docPr id="867" name="Frame4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68"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Reflects awards of Class O LTIP units.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2"/>
          <w:sz w:val="16"/>
        </w:rPr>
        <w:t>Other Matters—LTIP units and Class O LTIP units” for a description of Class O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3180" distB="0" distL="0" distR="0" simplePos="0" locked="0" layoutInCell="1" allowOverlap="1" relativeHeight="786">
                <wp:simplePos x="0" y="0"/>
                <wp:positionH relativeFrom="column">
                  <wp:align>left</wp:align>
                </wp:positionH>
                <wp:positionV relativeFrom="line">
                  <wp:align>top</wp:align>
                </wp:positionV>
                <wp:extent cx="254000" cy="350520"/>
                <wp:effectExtent l="0" t="0" r="0" b="0"/>
                <wp:wrapSquare wrapText="right"/>
                <wp:docPr id="868" name="Frame4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00" w:before="35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Option Exercises and Stock Vested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3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2023.</w:t>
      </w:r>
      <w:r>
        <w:rPr>
          <w:rFonts w:ascii="Arial;Helvetica;sans-serif" w:hAnsi="Arial;Helvetica;sans-serif"/>
          <w:b w:val="false"/>
          <w:i w:val="false"/>
          <w:caps w:val="false"/>
          <w:smallCaps w:val="false"/>
          <w:color w:val="000000"/>
          <w:spacing w:val="4"/>
          <w:sz w:val="18"/>
        </w:rPr>
        <w:t xml:space="preserve"> </w:t>
      </w:r>
    </w:p>
    <w:tbl>
      <w:tblPr>
        <w:tblW w:w="8818" w:type="dxa"/>
        <w:jc w:val="left"/>
        <w:tblInd w:w="900" w:type="dxa"/>
        <w:tblLayout w:type="fixed"/>
        <w:tblCellMar>
          <w:top w:w="0" w:type="dxa"/>
          <w:left w:w="0" w:type="dxa"/>
          <w:bottom w:w="0" w:type="dxa"/>
          <w:right w:w="0" w:type="dxa"/>
        </w:tblCellMar>
      </w:tblPr>
      <w:tblGrid>
        <w:gridCol w:w="2341"/>
        <w:gridCol w:w="109"/>
        <w:gridCol w:w="109"/>
        <w:gridCol w:w="208"/>
        <w:gridCol w:w="208"/>
        <w:gridCol w:w="663"/>
        <w:gridCol w:w="212"/>
        <w:gridCol w:w="115"/>
        <w:gridCol w:w="115"/>
        <w:gridCol w:w="211"/>
        <w:gridCol w:w="211"/>
        <w:gridCol w:w="670"/>
        <w:gridCol w:w="212"/>
        <w:gridCol w:w="109"/>
        <w:gridCol w:w="109"/>
        <w:gridCol w:w="109"/>
        <w:gridCol w:w="109"/>
        <w:gridCol w:w="887"/>
        <w:gridCol w:w="109"/>
        <w:gridCol w:w="109"/>
        <w:gridCol w:w="109"/>
        <w:gridCol w:w="109"/>
        <w:gridCol w:w="226"/>
        <w:gridCol w:w="1186"/>
        <w:gridCol w:w="109"/>
        <w:gridCol w:w="154"/>
      </w:tblGrid>
      <w:tr>
        <w:trPr/>
        <w:tc>
          <w:tcPr>
            <w:tcW w:w="23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25" w:type="dxa"/>
            <w:gridSpan w:val="10"/>
            <w:tcBorders>
              <w:bottom w:val="single" w:sz="2" w:space="0" w:color="1F2668"/>
            </w:tcBorders>
            <w:tcMar>
              <w:bottom w:w="60" w:type="dxa"/>
            </w:tcMar>
            <w:vAlign w:val="center"/>
          </w:tcPr>
          <w:p>
            <w:pPr>
              <w:pStyle w:val="TableContents"/>
              <w:bidi w:val="0"/>
              <w:spacing w:before="0" w:after="0"/>
              <w:jc w:val="center"/>
              <w:rPr>
                <w:spacing w:val="2"/>
              </w:rPr>
            </w:pPr>
            <w:r>
              <w:rPr>
                <w:spacing w:val="2"/>
              </w:rPr>
              <w:t xml:space="preserve">Option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62" w:type="dxa"/>
            <w:gridSpan w:val="10"/>
            <w:tcBorders>
              <w:bottom w:val="single" w:sz="2" w:space="0" w:color="1F2668"/>
            </w:tcBorders>
            <w:tcMar>
              <w:bottom w:w="60" w:type="dxa"/>
            </w:tcMar>
            <w:vAlign w:val="center"/>
          </w:tcPr>
          <w:p>
            <w:pPr>
              <w:pStyle w:val="TableContents"/>
              <w:bidi w:val="0"/>
              <w:spacing w:before="0" w:after="0"/>
              <w:jc w:val="center"/>
              <w:rPr>
                <w:spacing w:val="2"/>
              </w:rPr>
            </w:pPr>
            <w:r>
              <w:rPr>
                <w:spacing w:val="2"/>
              </w:rPr>
              <w:t xml:space="preserve">Stock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5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1" w:type="dxa"/>
            <w:gridSpan w:val="4"/>
            <w:tcBorders>
              <w:bottom w:val="single" w:sz="2" w:space="0" w:color="1F2668"/>
            </w:tcBorders>
            <w:tcMar>
              <w:bottom w:w="53" w:type="dxa"/>
            </w:tcMar>
            <w:vAlign w:val="center"/>
          </w:tcPr>
          <w:p>
            <w:pPr>
              <w:pStyle w:val="TableContents"/>
              <w:bidi w:val="0"/>
              <w:spacing w:before="0" w:after="0"/>
              <w:jc w:val="right"/>
              <w:rPr/>
            </w:pPr>
            <w:r>
              <w:rPr>
                <w:spacing w:val="2"/>
              </w:rPr>
              <w:t xml:space="preserve">Number of </w:t>
              <w:br/>
              <w:t xml:space="preserve">Shares </w:t>
              <w:br/>
              <w:t xml:space="preserve">Acquired </w:t>
              <w:br/>
              <w:t xml:space="preserve">on Exercise </w:t>
              <w:br/>
              <w:t>(#)</w:t>
            </w:r>
            <w:r>
              <w:rPr/>
              <w:t xml:space="preserve"> </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304" w:type="dxa"/>
            <w:gridSpan w:val="4"/>
            <w:tcBorders>
              <w:bottom w:val="single" w:sz="2" w:space="0" w:color="1F2668"/>
            </w:tcBorders>
            <w:tcMar>
              <w:bottom w:w="53" w:type="dxa"/>
            </w:tcMar>
            <w:vAlign w:val="center"/>
          </w:tcPr>
          <w:p>
            <w:pPr>
              <w:pStyle w:val="TableContents"/>
              <w:bidi w:val="0"/>
              <w:spacing w:before="0" w:after="0"/>
              <w:jc w:val="right"/>
              <w:rPr/>
            </w:pPr>
            <w:r>
              <w:rPr>
                <w:spacing w:val="2"/>
              </w:rPr>
              <w:t xml:space="preserve">Value </w:t>
              <w:br/>
              <w:t xml:space="preserve">Realized on </w:t>
              <w:br/>
              <w:t xml:space="preserve">Vesting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1F2668"/>
            </w:tcBorders>
            <w:tcMar>
              <w:bottom w:w="53" w:type="dxa"/>
            </w:tcMar>
            <w:vAlign w:val="center"/>
          </w:tcPr>
          <w:p>
            <w:pPr>
              <w:pStyle w:val="TableContents"/>
              <w:bidi w:val="0"/>
              <w:spacing w:before="0" w:after="0"/>
              <w:jc w:val="right"/>
              <w:rPr/>
            </w:pPr>
            <w:r>
              <w:rPr>
                <w:spacing w:val="2"/>
              </w:rPr>
              <w:t xml:space="preserve">Number of </w:t>
              <w:br/>
              <w:t xml:space="preserve">Shares </w:t>
              <w:br/>
              <w:t xml:space="preserve">Acquired </w:t>
              <w:br/>
              <w:t xml:space="preserve">on Vesting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tcMar>
              <w:bottom w:w="53" w:type="dxa"/>
            </w:tcMar>
            <w:vAlign w:val="center"/>
          </w:tcPr>
          <w:p>
            <w:pPr>
              <w:pStyle w:val="TableContents"/>
              <w:bidi w:val="0"/>
              <w:spacing w:lineRule="atLeast" w:line="142" w:before="0" w:after="0"/>
              <w:jc w:val="right"/>
              <w:rPr/>
            </w:pPr>
            <w:r>
              <w:rPr>
                <w:spacing w:val="2"/>
              </w:rPr>
              <w:t xml:space="preserve">Value </w:t>
              <w:br/>
              <w:t xml:space="preserve">Realized on </w:t>
              <w:br/>
              <w:t>Vesting</w:t>
            </w:r>
            <w:r>
              <w:rPr>
                <w:spacing w:val="1"/>
                <w:sz w:val="10"/>
              </w:rPr>
              <w:t>(1)</w:t>
            </w:r>
            <w:r>
              <w:rPr/>
              <w:t xml:space="preserve"> </w:t>
              <w:br/>
            </w:r>
            <w:r>
              <w:rPr>
                <w:spacing w:val="2"/>
              </w:rP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60" w:type="dxa"/>
            </w:tcMar>
            <w:vAlign w:val="center"/>
          </w:tcPr>
          <w:p>
            <w:pPr>
              <w:pStyle w:val="TableContents"/>
              <w:bidi w:val="0"/>
              <w:spacing w:before="0" w:after="283"/>
              <w:jc w:val="right"/>
              <w:rPr/>
            </w:pPr>
            <w:r>
              <w:rPr/>
              <w:t>​</w:t>
            </w:r>
          </w:p>
        </w:tc>
        <w:tc>
          <w:tcPr>
            <w:tcW w:w="663"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60" w:type="dxa"/>
            </w:tcMar>
            <w:vAlign w:val="center"/>
          </w:tcPr>
          <w:p>
            <w:pPr>
              <w:pStyle w:val="TableContents"/>
              <w:bidi w:val="0"/>
              <w:spacing w:before="0" w:after="283"/>
              <w:jc w:val="right"/>
              <w:rPr/>
            </w:pPr>
            <w:r>
              <w:rPr/>
              <w:t>​</w:t>
            </w:r>
          </w:p>
        </w:tc>
        <w:tc>
          <w:tcPr>
            <w:tcW w:w="670"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0" w:type="dxa"/>
            </w:tcMar>
            <w:vAlign w:val="center"/>
          </w:tcPr>
          <w:p>
            <w:pPr>
              <w:pStyle w:val="TableContents"/>
              <w:bidi w:val="0"/>
              <w:spacing w:before="0" w:after="283"/>
              <w:jc w:val="right"/>
              <w:rPr/>
            </w:pPr>
            <w:r>
              <w:rPr/>
              <w:t>​</w:t>
            </w:r>
          </w:p>
        </w:tc>
        <w:tc>
          <w:tcPr>
            <w:tcW w:w="887" w:type="dxa"/>
            <w:tcBorders>
              <w:bottom w:val="single" w:sz="2" w:space="0" w:color="4B5088"/>
            </w:tcBorders>
            <w:tcMar>
              <w:bottom w:w="60" w:type="dxa"/>
            </w:tcMar>
            <w:vAlign w:val="center"/>
          </w:tcPr>
          <w:p>
            <w:pPr>
              <w:pStyle w:val="TableContents"/>
              <w:bidi w:val="0"/>
              <w:spacing w:before="0" w:after="283"/>
              <w:jc w:val="right"/>
              <w:rPr/>
            </w:pPr>
            <w:r>
              <w:rPr/>
              <w:t>328,885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0" w:type="dxa"/>
            </w:tcMar>
            <w:vAlign w:val="center"/>
          </w:tcPr>
          <w:p>
            <w:pPr>
              <w:pStyle w:val="TableContents"/>
              <w:bidi w:val="0"/>
              <w:spacing w:before="0" w:after="283"/>
              <w:jc w:val="right"/>
              <w:rPr/>
            </w:pPr>
            <w:r>
              <w:rPr/>
              <w:t>$</w:t>
            </w:r>
          </w:p>
        </w:tc>
        <w:tc>
          <w:tcPr>
            <w:tcW w:w="1186" w:type="dxa"/>
            <w:tcBorders>
              <w:bottom w:val="single" w:sz="2" w:space="0" w:color="4B5088"/>
            </w:tcBorders>
            <w:tcMar>
              <w:bottom w:w="60" w:type="dxa"/>
            </w:tcMar>
            <w:vAlign w:val="center"/>
          </w:tcPr>
          <w:p>
            <w:pPr>
              <w:pStyle w:val="TableContents"/>
              <w:bidi w:val="0"/>
              <w:spacing w:before="0" w:after="283"/>
              <w:jc w:val="right"/>
              <w:rPr/>
            </w:pPr>
            <w:r>
              <w:rPr/>
              <w:t>13,760,479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0"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60" w:type="dxa"/>
            </w:tcMar>
            <w:vAlign w:val="center"/>
          </w:tcPr>
          <w:p>
            <w:pPr>
              <w:pStyle w:val="TableContents"/>
              <w:bidi w:val="0"/>
              <w:spacing w:before="0" w:after="283"/>
              <w:jc w:val="right"/>
              <w:rPr/>
            </w:pPr>
            <w:r>
              <w:rPr/>
              <w:t>​</w:t>
            </w:r>
          </w:p>
        </w:tc>
        <w:tc>
          <w:tcPr>
            <w:tcW w:w="663"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60" w:type="dxa"/>
            </w:tcMar>
            <w:vAlign w:val="center"/>
          </w:tcPr>
          <w:p>
            <w:pPr>
              <w:pStyle w:val="TableContents"/>
              <w:bidi w:val="0"/>
              <w:spacing w:before="0" w:after="283"/>
              <w:jc w:val="right"/>
              <w:rPr/>
            </w:pPr>
            <w:r>
              <w:rPr/>
              <w:t>​</w:t>
            </w:r>
          </w:p>
        </w:tc>
        <w:tc>
          <w:tcPr>
            <w:tcW w:w="670"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0" w:type="dxa"/>
            </w:tcMar>
            <w:vAlign w:val="center"/>
          </w:tcPr>
          <w:p>
            <w:pPr>
              <w:pStyle w:val="TableContents"/>
              <w:bidi w:val="0"/>
              <w:spacing w:before="0" w:after="283"/>
              <w:jc w:val="right"/>
              <w:rPr/>
            </w:pPr>
            <w:r>
              <w:rPr/>
              <w:t>​</w:t>
            </w:r>
          </w:p>
        </w:tc>
        <w:tc>
          <w:tcPr>
            <w:tcW w:w="887" w:type="dxa"/>
            <w:tcBorders>
              <w:bottom w:val="single" w:sz="2" w:space="0" w:color="4B5088"/>
            </w:tcBorders>
            <w:tcMar>
              <w:bottom w:w="60" w:type="dxa"/>
            </w:tcMar>
            <w:vAlign w:val="center"/>
          </w:tcPr>
          <w:p>
            <w:pPr>
              <w:pStyle w:val="TableContents"/>
              <w:bidi w:val="0"/>
              <w:spacing w:before="0" w:after="283"/>
              <w:jc w:val="right"/>
              <w:rPr/>
            </w:pPr>
            <w:r>
              <w:rPr/>
              <w:t>235,505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0" w:type="dxa"/>
            </w:tcMar>
            <w:vAlign w:val="center"/>
          </w:tcPr>
          <w:p>
            <w:pPr>
              <w:pStyle w:val="TableContents"/>
              <w:bidi w:val="0"/>
              <w:spacing w:before="0" w:after="283"/>
              <w:jc w:val="right"/>
              <w:rPr/>
            </w:pPr>
            <w:r>
              <w:rPr/>
              <w:t>$</w:t>
            </w:r>
          </w:p>
        </w:tc>
        <w:tc>
          <w:tcPr>
            <w:tcW w:w="1186" w:type="dxa"/>
            <w:tcBorders>
              <w:bottom w:val="single" w:sz="2" w:space="0" w:color="4B5088"/>
            </w:tcBorders>
            <w:tcMar>
              <w:bottom w:w="60" w:type="dxa"/>
            </w:tcMar>
            <w:vAlign w:val="center"/>
          </w:tcPr>
          <w:p>
            <w:pPr>
              <w:pStyle w:val="TableContents"/>
              <w:bidi w:val="0"/>
              <w:spacing w:before="0" w:after="283"/>
              <w:jc w:val="right"/>
              <w:rPr/>
            </w:pPr>
            <w:r>
              <w:rPr/>
              <w:t>9,854,698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4B5088"/>
            </w:tcBorders>
            <w:tcMar>
              <w:bottom w:w="6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28" w:type="dxa"/>
            </w:tcMar>
            <w:vAlign w:val="center"/>
          </w:tcPr>
          <w:p>
            <w:pPr>
              <w:pStyle w:val="TableContents"/>
              <w:bidi w:val="0"/>
              <w:spacing w:before="0" w:after="283"/>
              <w:jc w:val="left"/>
              <w:rPr/>
            </w:pPr>
            <w:r>
              <w:rPr/>
              <w:t>​</w:t>
            </w:r>
          </w:p>
        </w:tc>
        <w:tc>
          <w:tcPr>
            <w:tcW w:w="208" w:type="dxa"/>
            <w:tcBorders>
              <w:bottom w:val="single" w:sz="2" w:space="0" w:color="4B5088"/>
            </w:tcBorders>
            <w:tcMar>
              <w:bottom w:w="60" w:type="dxa"/>
            </w:tcMar>
            <w:vAlign w:val="center"/>
          </w:tcPr>
          <w:p>
            <w:pPr>
              <w:pStyle w:val="TableContents"/>
              <w:bidi w:val="0"/>
              <w:spacing w:before="0" w:after="283"/>
              <w:jc w:val="right"/>
              <w:rPr/>
            </w:pPr>
            <w:r>
              <w:rPr/>
              <w:t>​</w:t>
            </w:r>
          </w:p>
        </w:tc>
        <w:tc>
          <w:tcPr>
            <w:tcW w:w="663"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28" w:type="dxa"/>
            </w:tcMar>
            <w:vAlign w:val="center"/>
          </w:tcPr>
          <w:p>
            <w:pPr>
              <w:pStyle w:val="TableContents"/>
              <w:bidi w:val="0"/>
              <w:spacing w:before="0" w:after="283"/>
              <w:jc w:val="left"/>
              <w:rPr/>
            </w:pPr>
            <w:r>
              <w:rPr/>
              <w:t>​</w:t>
            </w:r>
          </w:p>
        </w:tc>
        <w:tc>
          <w:tcPr>
            <w:tcW w:w="211" w:type="dxa"/>
            <w:tcBorders>
              <w:bottom w:val="single" w:sz="2" w:space="0" w:color="4B5088"/>
            </w:tcBorders>
            <w:tcMar>
              <w:bottom w:w="60" w:type="dxa"/>
            </w:tcMar>
            <w:vAlign w:val="center"/>
          </w:tcPr>
          <w:p>
            <w:pPr>
              <w:pStyle w:val="TableContents"/>
              <w:bidi w:val="0"/>
              <w:spacing w:before="0" w:after="283"/>
              <w:jc w:val="right"/>
              <w:rPr/>
            </w:pPr>
            <w:r>
              <w:rPr/>
              <w:t>​</w:t>
            </w:r>
          </w:p>
        </w:tc>
        <w:tc>
          <w:tcPr>
            <w:tcW w:w="670" w:type="dxa"/>
            <w:tcBorders>
              <w:bottom w:val="single" w:sz="2" w:space="0" w:color="4B5088"/>
            </w:tcBorders>
            <w:tcMar>
              <w:bottom w:w="60" w:type="dxa"/>
            </w:tcMar>
            <w:vAlign w:val="center"/>
          </w:tcPr>
          <w:p>
            <w:pPr>
              <w:pStyle w:val="TableContents"/>
              <w:bidi w:val="0"/>
              <w:spacing w:before="0" w:after="283"/>
              <w:jc w:val="right"/>
              <w:rPr/>
            </w:pPr>
            <w:r>
              <w:rPr/>
              <w:t>—</w:t>
            </w:r>
          </w:p>
        </w:tc>
        <w:tc>
          <w:tcPr>
            <w:tcW w:w="21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60" w:type="dxa"/>
            </w:tcMar>
            <w:vAlign w:val="center"/>
          </w:tcPr>
          <w:p>
            <w:pPr>
              <w:pStyle w:val="TableContents"/>
              <w:bidi w:val="0"/>
              <w:spacing w:before="0" w:after="283"/>
              <w:jc w:val="right"/>
              <w:rPr/>
            </w:pPr>
            <w:r>
              <w:rPr/>
              <w:t>​</w:t>
            </w:r>
          </w:p>
        </w:tc>
        <w:tc>
          <w:tcPr>
            <w:tcW w:w="887" w:type="dxa"/>
            <w:tcBorders>
              <w:bottom w:val="single" w:sz="2" w:space="0" w:color="4B5088"/>
            </w:tcBorders>
            <w:tcMar>
              <w:bottom w:w="60" w:type="dxa"/>
            </w:tcMar>
            <w:vAlign w:val="center"/>
          </w:tcPr>
          <w:p>
            <w:pPr>
              <w:pStyle w:val="TableContents"/>
              <w:bidi w:val="0"/>
              <w:spacing w:before="0" w:after="283"/>
              <w:jc w:val="right"/>
              <w:rPr/>
            </w:pPr>
            <w:r>
              <w:rPr/>
              <w:t>49,896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60" w:type="dxa"/>
            </w:tcMar>
            <w:vAlign w:val="center"/>
          </w:tcPr>
          <w:p>
            <w:pPr>
              <w:pStyle w:val="TableContents"/>
              <w:bidi w:val="0"/>
              <w:spacing w:before="0" w:after="283"/>
              <w:jc w:val="right"/>
              <w:rPr/>
            </w:pPr>
            <w:r>
              <w:rPr/>
              <w:t>$</w:t>
            </w:r>
          </w:p>
        </w:tc>
        <w:tc>
          <w:tcPr>
            <w:tcW w:w="1186" w:type="dxa"/>
            <w:tcBorders>
              <w:bottom w:val="single" w:sz="2" w:space="0" w:color="4B5088"/>
            </w:tcBorders>
            <w:tcMar>
              <w:bottom w:w="60" w:type="dxa"/>
            </w:tcMar>
            <w:vAlign w:val="center"/>
          </w:tcPr>
          <w:p>
            <w:pPr>
              <w:pStyle w:val="TableContents"/>
              <w:bidi w:val="0"/>
              <w:spacing w:before="0" w:after="283"/>
              <w:jc w:val="right"/>
              <w:rPr/>
            </w:pPr>
            <w:r>
              <w:rPr/>
              <w:t>1,956,966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1" w:type="dxa"/>
            <w:tcBorders>
              <w:bottom w:val="single" w:sz="2" w:space="0" w:color="1F2668"/>
            </w:tcBorders>
            <w:tcMar>
              <w:bottom w:w="6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1F2668"/>
            </w:tcBorders>
            <w:tcMar>
              <w:bottom w:w="28" w:type="dxa"/>
            </w:tcMar>
            <w:vAlign w:val="center"/>
          </w:tcPr>
          <w:p>
            <w:pPr>
              <w:pStyle w:val="TableContents"/>
              <w:bidi w:val="0"/>
              <w:spacing w:before="0" w:after="283"/>
              <w:jc w:val="left"/>
              <w:rPr/>
            </w:pPr>
            <w:r>
              <w:rPr/>
              <w:t>​</w:t>
            </w:r>
          </w:p>
        </w:tc>
        <w:tc>
          <w:tcPr>
            <w:tcW w:w="208" w:type="dxa"/>
            <w:tcBorders>
              <w:bottom w:val="single" w:sz="2" w:space="0" w:color="1F2668"/>
            </w:tcBorders>
            <w:tcMar>
              <w:bottom w:w="60" w:type="dxa"/>
            </w:tcMar>
            <w:vAlign w:val="center"/>
          </w:tcPr>
          <w:p>
            <w:pPr>
              <w:pStyle w:val="TableContents"/>
              <w:bidi w:val="0"/>
              <w:spacing w:before="0" w:after="283"/>
              <w:jc w:val="right"/>
              <w:rPr/>
            </w:pPr>
            <w:r>
              <w:rPr/>
              <w:t>​</w:t>
            </w:r>
          </w:p>
        </w:tc>
        <w:tc>
          <w:tcPr>
            <w:tcW w:w="663" w:type="dxa"/>
            <w:tcBorders>
              <w:bottom w:val="single" w:sz="2" w:space="0" w:color="1F2668"/>
            </w:tcBorders>
            <w:tcMar>
              <w:bottom w:w="60" w:type="dxa"/>
            </w:tcMar>
            <w:vAlign w:val="center"/>
          </w:tcPr>
          <w:p>
            <w:pPr>
              <w:pStyle w:val="TableContents"/>
              <w:bidi w:val="0"/>
              <w:spacing w:before="0" w:after="283"/>
              <w:jc w:val="right"/>
              <w:rPr/>
            </w:pPr>
            <w:r>
              <w:rPr/>
              <w:t>—</w:t>
            </w:r>
          </w:p>
        </w:tc>
        <w:tc>
          <w:tcPr>
            <w:tcW w:w="212" w:type="dxa"/>
            <w:tcBorders>
              <w:bottom w:val="single" w:sz="2" w:space="0" w:color="1F2668"/>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211" w:type="dxa"/>
            <w:tcBorders>
              <w:bottom w:val="single" w:sz="2" w:space="0" w:color="1F2668"/>
            </w:tcBorders>
            <w:tcMar>
              <w:bottom w:w="28" w:type="dxa"/>
            </w:tcMar>
            <w:vAlign w:val="center"/>
          </w:tcPr>
          <w:p>
            <w:pPr>
              <w:pStyle w:val="TableContents"/>
              <w:bidi w:val="0"/>
              <w:spacing w:before="0" w:after="283"/>
              <w:jc w:val="left"/>
              <w:rPr/>
            </w:pPr>
            <w:r>
              <w:rPr/>
              <w:t>​</w:t>
            </w:r>
          </w:p>
        </w:tc>
        <w:tc>
          <w:tcPr>
            <w:tcW w:w="211" w:type="dxa"/>
            <w:tcBorders>
              <w:bottom w:val="single" w:sz="2" w:space="0" w:color="1F2668"/>
            </w:tcBorders>
            <w:tcMar>
              <w:bottom w:w="60" w:type="dxa"/>
            </w:tcMar>
            <w:vAlign w:val="center"/>
          </w:tcPr>
          <w:p>
            <w:pPr>
              <w:pStyle w:val="TableContents"/>
              <w:bidi w:val="0"/>
              <w:spacing w:before="0" w:after="283"/>
              <w:jc w:val="right"/>
              <w:rPr/>
            </w:pPr>
            <w:r>
              <w:rPr/>
              <w:t>​</w:t>
            </w:r>
          </w:p>
        </w:tc>
        <w:tc>
          <w:tcPr>
            <w:tcW w:w="670" w:type="dxa"/>
            <w:tcBorders>
              <w:bottom w:val="single" w:sz="2" w:space="0" w:color="1F2668"/>
            </w:tcBorders>
            <w:tcMar>
              <w:bottom w:w="60" w:type="dxa"/>
            </w:tcMar>
            <w:vAlign w:val="center"/>
          </w:tcPr>
          <w:p>
            <w:pPr>
              <w:pStyle w:val="TableContents"/>
              <w:bidi w:val="0"/>
              <w:spacing w:before="0" w:after="283"/>
              <w:jc w:val="right"/>
              <w:rPr/>
            </w:pPr>
            <w:r>
              <w:rPr/>
              <w:t>—</w:t>
            </w:r>
          </w:p>
        </w:tc>
        <w:tc>
          <w:tcPr>
            <w:tcW w:w="21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60" w:type="dxa"/>
            </w:tcMar>
            <w:vAlign w:val="center"/>
          </w:tcPr>
          <w:p>
            <w:pPr>
              <w:pStyle w:val="TableContents"/>
              <w:bidi w:val="0"/>
              <w:spacing w:before="0" w:after="283"/>
              <w:jc w:val="right"/>
              <w:rPr/>
            </w:pPr>
            <w:r>
              <w:rPr/>
              <w:t>​</w:t>
            </w:r>
          </w:p>
        </w:tc>
        <w:tc>
          <w:tcPr>
            <w:tcW w:w="887" w:type="dxa"/>
            <w:tcBorders>
              <w:bottom w:val="single" w:sz="2" w:space="0" w:color="1F2668"/>
            </w:tcBorders>
            <w:tcMar>
              <w:bottom w:w="60" w:type="dxa"/>
            </w:tcMar>
            <w:vAlign w:val="center"/>
          </w:tcPr>
          <w:p>
            <w:pPr>
              <w:pStyle w:val="TableContents"/>
              <w:bidi w:val="0"/>
              <w:spacing w:before="0" w:after="283"/>
              <w:jc w:val="right"/>
              <w:rPr/>
            </w:pPr>
            <w:r>
              <w:rPr/>
              <w:t>46,578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60" w:type="dxa"/>
            </w:tcMar>
            <w:vAlign w:val="center"/>
          </w:tcPr>
          <w:p>
            <w:pPr>
              <w:pStyle w:val="TableContents"/>
              <w:bidi w:val="0"/>
              <w:spacing w:before="0" w:after="283"/>
              <w:jc w:val="right"/>
              <w:rPr/>
            </w:pPr>
            <w:r>
              <w:rPr/>
              <w:t>$</w:t>
            </w:r>
          </w:p>
        </w:tc>
        <w:tc>
          <w:tcPr>
            <w:tcW w:w="1186" w:type="dxa"/>
            <w:tcBorders>
              <w:bottom w:val="single" w:sz="2" w:space="0" w:color="1F2668"/>
            </w:tcBorders>
            <w:tcMar>
              <w:bottom w:w="60" w:type="dxa"/>
            </w:tcMar>
            <w:vAlign w:val="center"/>
          </w:tcPr>
          <w:p>
            <w:pPr>
              <w:pStyle w:val="TableContents"/>
              <w:bidi w:val="0"/>
              <w:spacing w:before="0" w:after="283"/>
              <w:jc w:val="right"/>
              <w:rPr/>
            </w:pPr>
            <w:r>
              <w:rPr/>
              <w:t>1,880,141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7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Amounts reflect the market value of the stock on the day the stock vested.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5260" distB="0" distL="0" distR="0" simplePos="0" locked="0" layoutInCell="1" allowOverlap="1" relativeHeight="787">
                <wp:simplePos x="0" y="0"/>
                <wp:positionH relativeFrom="column">
                  <wp:align>left</wp:align>
                </wp:positionH>
                <wp:positionV relativeFrom="line">
                  <wp:align>top</wp:align>
                </wp:positionV>
                <wp:extent cx="254000" cy="350520"/>
                <wp:effectExtent l="0" t="0" r="0" b="0"/>
                <wp:wrapSquare wrapText="right"/>
                <wp:docPr id="869"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8pt;mso-wrap-distance-bottom:0pt;margin-top:13.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2023 Nonqualified Deferred Compensation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certain information regarding non-tax qualified compensation deferred during the year ended December 31, 2023.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Under the employment agreements with our Named Executive Officers that were in effect during 2023, we have eliminated nonqualified deferred compensation.</w:t>
      </w:r>
      <w:r>
        <w:rPr>
          <w:rFonts w:ascii="Arial;Helvetica;sans-serif" w:hAnsi="Arial;Helvetica;sans-serif"/>
          <w:b w:val="false"/>
          <w:i w:val="false"/>
          <w:caps w:val="false"/>
          <w:smallCaps w:val="false"/>
          <w:color w:val="000000"/>
          <w:spacing w:val="4"/>
          <w:sz w:val="18"/>
        </w:rPr>
        <w:t xml:space="preserve"> </w:t>
      </w:r>
    </w:p>
    <w:tbl>
      <w:tblPr>
        <w:tblW w:w="9436" w:type="dxa"/>
        <w:jc w:val="left"/>
        <w:tblInd w:w="900" w:type="dxa"/>
        <w:tblLayout w:type="fixed"/>
        <w:tblCellMar>
          <w:top w:w="0" w:type="dxa"/>
          <w:left w:w="0" w:type="dxa"/>
          <w:bottom w:w="63" w:type="dxa"/>
          <w:right w:w="0" w:type="dxa"/>
        </w:tblCellMar>
      </w:tblPr>
      <w:tblGrid>
        <w:gridCol w:w="1126"/>
        <w:gridCol w:w="109"/>
        <w:gridCol w:w="109"/>
        <w:gridCol w:w="229"/>
        <w:gridCol w:w="229"/>
        <w:gridCol w:w="730"/>
        <w:gridCol w:w="232"/>
        <w:gridCol w:w="109"/>
        <w:gridCol w:w="109"/>
        <w:gridCol w:w="229"/>
        <w:gridCol w:w="229"/>
        <w:gridCol w:w="730"/>
        <w:gridCol w:w="232"/>
        <w:gridCol w:w="109"/>
        <w:gridCol w:w="109"/>
        <w:gridCol w:w="109"/>
        <w:gridCol w:w="226"/>
        <w:gridCol w:w="886"/>
        <w:gridCol w:w="109"/>
        <w:gridCol w:w="109"/>
        <w:gridCol w:w="109"/>
        <w:gridCol w:w="113"/>
        <w:gridCol w:w="235"/>
        <w:gridCol w:w="923"/>
        <w:gridCol w:w="115"/>
        <w:gridCol w:w="109"/>
        <w:gridCol w:w="109"/>
        <w:gridCol w:w="109"/>
        <w:gridCol w:w="226"/>
        <w:gridCol w:w="1066"/>
        <w:gridCol w:w="109"/>
        <w:gridCol w:w="154"/>
      </w:tblGrid>
      <w:tr>
        <w:trPr/>
        <w:tc>
          <w:tcPr>
            <w:tcW w:w="1126" w:type="dxa"/>
            <w:tcBorders>
              <w:bottom w:val="single" w:sz="2" w:space="0" w:color="1F2668"/>
            </w:tcBorders>
            <w:vAlign w:val="center"/>
          </w:tcPr>
          <w:p>
            <w:pPr>
              <w:pStyle w:val="TableContents"/>
              <w:bidi w:val="0"/>
              <w:spacing w:before="0" w:after="0"/>
              <w:jc w:val="left"/>
              <w:rPr>
                <w:spacing w:val="2"/>
              </w:rPr>
            </w:pPr>
            <w:r>
              <w:rPr>
                <w:spacing w:val="2"/>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0" w:type="dxa"/>
            <w:gridSpan w:val="4"/>
            <w:tcBorders>
              <w:bottom w:val="single" w:sz="2" w:space="0" w:color="1F2668"/>
            </w:tcBorders>
            <w:vAlign w:val="center"/>
          </w:tcPr>
          <w:p>
            <w:pPr>
              <w:pStyle w:val="TableContents"/>
              <w:bidi w:val="0"/>
              <w:spacing w:before="0" w:after="0"/>
              <w:jc w:val="right"/>
              <w:rPr/>
            </w:pPr>
            <w:r>
              <w:rPr>
                <w:spacing w:val="2"/>
              </w:rPr>
              <w:t xml:space="preserve">Executive </w:t>
              <w:br/>
              <w:t xml:space="preserve">Contributions </w:t>
              <w:br/>
              <w:t xml:space="preserve">in Last FY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0" w:type="dxa"/>
            <w:gridSpan w:val="4"/>
            <w:tcBorders>
              <w:bottom w:val="single" w:sz="2" w:space="0" w:color="1F2668"/>
            </w:tcBorders>
            <w:vAlign w:val="center"/>
          </w:tcPr>
          <w:p>
            <w:pPr>
              <w:pStyle w:val="TableContents"/>
              <w:bidi w:val="0"/>
              <w:spacing w:before="0" w:after="0"/>
              <w:jc w:val="right"/>
              <w:rPr/>
            </w:pPr>
            <w:r>
              <w:rPr>
                <w:spacing w:val="2"/>
              </w:rPr>
              <w:t xml:space="preserve">Registrant </w:t>
              <w:br/>
              <w:t xml:space="preserve">Contributions </w:t>
              <w:br/>
              <w:t xml:space="preserve">in Last FY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 xml:space="preserve">Earnings </w:t>
              <w:br/>
              <w:t xml:space="preserve">in Last FY </w:t>
              <w:br/>
              <w:t>($)</w:t>
            </w:r>
            <w:r>
              <w:rPr>
                <w:spacing w:val="1"/>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Withdrawals/</w:t>
            </w:r>
            <w:r>
              <w:rPr/>
              <w:t>​</w:t>
              <w:br/>
            </w:r>
            <w:r>
              <w:rPr>
                <w:spacing w:val="2"/>
              </w:rPr>
              <w:t>Distributions</w:t>
              <w:br/>
              <w:t>($)</w:t>
            </w:r>
            <w:r>
              <w:rPr>
                <w:spacing w:val="1"/>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lineRule="atLeast" w:line="142" w:before="0" w:after="0"/>
              <w:jc w:val="right"/>
              <w:rPr/>
            </w:pPr>
            <w:r>
              <w:rPr>
                <w:spacing w:val="2"/>
              </w:rPr>
              <w:t xml:space="preserve">Aggregate </w:t>
              <w:br/>
              <w:t xml:space="preserve">Balance </w:t>
              <w:br/>
              <w:t xml:space="preserve">at Last FYE </w:t>
              <w:br/>
              <w:t>($)</w:t>
            </w:r>
            <w:r>
              <w:rPr>
                <w:spacing w:val="1"/>
                <w:sz w:val="10"/>
              </w:rPr>
              <w:t>(1)(4)</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902,761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235" w:type="dxa"/>
            <w:tcBorders>
              <w:bottom w:val="single" w:sz="2" w:space="0" w:color="4B5088"/>
            </w:tcBorders>
            <w:tcMar>
              <w:bottom w:w="70" w:type="dxa"/>
            </w:tcMar>
            <w:vAlign w:val="center"/>
          </w:tcPr>
          <w:p>
            <w:pPr>
              <w:pStyle w:val="TableContents"/>
              <w:bidi w:val="0"/>
              <w:spacing w:before="0" w:after="283"/>
              <w:jc w:val="right"/>
              <w:rPr/>
            </w:pPr>
            <w:r>
              <w:rPr/>
              <w:t>$</w:t>
            </w:r>
          </w:p>
        </w:tc>
        <w:tc>
          <w:tcPr>
            <w:tcW w:w="923" w:type="dxa"/>
            <w:tcBorders>
              <w:bottom w:val="single" w:sz="2" w:space="0" w:color="4B5088"/>
            </w:tcBorders>
            <w:tcMar>
              <w:bottom w:w="70" w:type="dxa"/>
            </w:tcMar>
            <w:vAlign w:val="center"/>
          </w:tcPr>
          <w:p>
            <w:pPr>
              <w:pStyle w:val="TableContents"/>
              <w:bidi w:val="0"/>
              <w:spacing w:before="0" w:after="283"/>
              <w:jc w:val="right"/>
              <w:rPr/>
            </w:pPr>
            <w:r>
              <w:rPr/>
              <w:t>199,571</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2,774,070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Andrew Mathias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562,598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235" w:type="dxa"/>
            <w:tcBorders>
              <w:bottom w:val="single" w:sz="2" w:space="0" w:color="4B5088"/>
            </w:tcBorders>
            <w:tcMar>
              <w:bottom w:w="70" w:type="dxa"/>
            </w:tcMar>
            <w:vAlign w:val="center"/>
          </w:tcPr>
          <w:p>
            <w:pPr>
              <w:pStyle w:val="TableContents"/>
              <w:bidi w:val="0"/>
              <w:spacing w:before="0" w:after="283"/>
              <w:jc w:val="right"/>
              <w:rPr/>
            </w:pPr>
            <w:r>
              <w:rPr/>
              <w:t>$</w:t>
            </w:r>
          </w:p>
        </w:tc>
        <w:tc>
          <w:tcPr>
            <w:tcW w:w="923" w:type="dxa"/>
            <w:tcBorders>
              <w:bottom w:val="single" w:sz="2" w:space="0" w:color="4B5088"/>
            </w:tcBorders>
            <w:tcMar>
              <w:bottom w:w="70" w:type="dxa"/>
            </w:tcMar>
            <w:vAlign w:val="center"/>
          </w:tcPr>
          <w:p>
            <w:pPr>
              <w:pStyle w:val="TableContents"/>
              <w:bidi w:val="0"/>
              <w:spacing w:before="0" w:after="283"/>
              <w:jc w:val="right"/>
              <w:rPr/>
            </w:pPr>
            <w:r>
              <w:rPr/>
              <w:t>124,372</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1,728,791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730" w:type="dxa"/>
            <w:tcBorders>
              <w:bottom w:val="single" w:sz="2" w:space="0" w:color="4B5088"/>
            </w:tcBorders>
            <w:tcMar>
              <w:bottom w:w="70" w:type="dxa"/>
            </w:tcMar>
            <w:vAlign w:val="center"/>
          </w:tcPr>
          <w:p>
            <w:pPr>
              <w:pStyle w:val="TableContents"/>
              <w:bidi w:val="0"/>
              <w:spacing w:before="0" w:after="283"/>
              <w:jc w:val="right"/>
              <w:rPr/>
            </w:pPr>
            <w:r>
              <w:rPr/>
              <w:t>—</w:t>
            </w:r>
          </w:p>
        </w:tc>
        <w:tc>
          <w:tcPr>
            <w:tcW w:w="232"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8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4B5088"/>
            </w:tcBorders>
            <w:tcMar>
              <w:bottom w:w="28" w:type="dxa"/>
            </w:tcMar>
            <w:vAlign w:val="center"/>
          </w:tcPr>
          <w:p>
            <w:pPr>
              <w:pStyle w:val="TableContents"/>
              <w:bidi w:val="0"/>
              <w:spacing w:before="0" w:after="283"/>
              <w:jc w:val="left"/>
              <w:rPr/>
            </w:pPr>
            <w:r>
              <w:rPr/>
              <w:t>​</w:t>
            </w:r>
          </w:p>
        </w:tc>
        <w:tc>
          <w:tcPr>
            <w:tcW w:w="235" w:type="dxa"/>
            <w:tcBorders>
              <w:bottom w:val="single" w:sz="2" w:space="0" w:color="4B5088"/>
            </w:tcBorders>
            <w:tcMar>
              <w:bottom w:w="70" w:type="dxa"/>
            </w:tcMar>
            <w:vAlign w:val="center"/>
          </w:tcPr>
          <w:p>
            <w:pPr>
              <w:pStyle w:val="TableContents"/>
              <w:bidi w:val="0"/>
              <w:spacing w:before="0" w:after="283"/>
              <w:jc w:val="right"/>
              <w:rPr/>
            </w:pPr>
            <w:r>
              <w:rPr/>
              <w:t>​</w:t>
            </w:r>
          </w:p>
        </w:tc>
        <w:tc>
          <w:tcPr>
            <w:tcW w:w="923" w:type="dxa"/>
            <w:tcBorders>
              <w:bottom w:val="single" w:sz="2" w:space="0" w:color="4B5088"/>
            </w:tcBorders>
            <w:tcMar>
              <w:bottom w:w="70" w:type="dxa"/>
            </w:tcMar>
            <w:vAlign w:val="center"/>
          </w:tcPr>
          <w:p>
            <w:pPr>
              <w:pStyle w:val="TableContents"/>
              <w:bidi w:val="0"/>
              <w:spacing w:before="0" w:after="283"/>
              <w:jc w:val="right"/>
              <w:rPr/>
            </w:pPr>
            <w:r>
              <w:rPr/>
              <w:t>—</w:t>
            </w:r>
          </w:p>
        </w:tc>
        <w:tc>
          <w:tcPr>
            <w:tcW w:w="115"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6"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1F2668"/>
            </w:tcBorders>
            <w:tcMar>
              <w:bottom w:w="28" w:type="dxa"/>
            </w:tcMar>
            <w:vAlign w:val="center"/>
          </w:tcPr>
          <w:p>
            <w:pPr>
              <w:pStyle w:val="TableContents"/>
              <w:bidi w:val="0"/>
              <w:spacing w:before="0" w:after="283"/>
              <w:jc w:val="left"/>
              <w:rPr/>
            </w:pPr>
            <w:r>
              <w:rPr/>
              <w:t>​</w:t>
            </w:r>
          </w:p>
        </w:tc>
        <w:tc>
          <w:tcPr>
            <w:tcW w:w="229" w:type="dxa"/>
            <w:tcBorders>
              <w:bottom w:val="single" w:sz="2" w:space="0" w:color="1F2668"/>
            </w:tcBorders>
            <w:tcMar>
              <w:bottom w:w="70" w:type="dxa"/>
            </w:tcMar>
            <w:vAlign w:val="center"/>
          </w:tcPr>
          <w:p>
            <w:pPr>
              <w:pStyle w:val="TableContents"/>
              <w:bidi w:val="0"/>
              <w:spacing w:before="0" w:after="283"/>
              <w:jc w:val="right"/>
              <w:rPr/>
            </w:pPr>
            <w:r>
              <w:rPr/>
              <w:t>​</w:t>
            </w:r>
          </w:p>
        </w:tc>
        <w:tc>
          <w:tcPr>
            <w:tcW w:w="730" w:type="dxa"/>
            <w:tcBorders>
              <w:bottom w:val="single" w:sz="2" w:space="0" w:color="1F2668"/>
            </w:tcBorders>
            <w:tcMar>
              <w:bottom w:w="70" w:type="dxa"/>
            </w:tcMar>
            <w:vAlign w:val="center"/>
          </w:tcPr>
          <w:p>
            <w:pPr>
              <w:pStyle w:val="TableContents"/>
              <w:bidi w:val="0"/>
              <w:spacing w:before="0" w:after="283"/>
              <w:jc w:val="right"/>
              <w:rPr/>
            </w:pPr>
            <w:r>
              <w:rPr/>
              <w:t>—</w:t>
            </w:r>
          </w:p>
        </w:tc>
        <w:tc>
          <w:tcPr>
            <w:tcW w:w="23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9" w:type="dxa"/>
            <w:tcBorders>
              <w:bottom w:val="single" w:sz="2" w:space="0" w:color="1F2668"/>
            </w:tcBorders>
            <w:tcMar>
              <w:bottom w:w="28" w:type="dxa"/>
            </w:tcMar>
            <w:vAlign w:val="center"/>
          </w:tcPr>
          <w:p>
            <w:pPr>
              <w:pStyle w:val="TableContents"/>
              <w:bidi w:val="0"/>
              <w:spacing w:before="0" w:after="283"/>
              <w:jc w:val="left"/>
              <w:rPr/>
            </w:pPr>
            <w:r>
              <w:rPr/>
              <w:t>​</w:t>
            </w:r>
          </w:p>
        </w:tc>
        <w:tc>
          <w:tcPr>
            <w:tcW w:w="229" w:type="dxa"/>
            <w:tcBorders>
              <w:bottom w:val="single" w:sz="2" w:space="0" w:color="1F2668"/>
            </w:tcBorders>
            <w:tcMar>
              <w:bottom w:w="70" w:type="dxa"/>
            </w:tcMar>
            <w:vAlign w:val="center"/>
          </w:tcPr>
          <w:p>
            <w:pPr>
              <w:pStyle w:val="TableContents"/>
              <w:bidi w:val="0"/>
              <w:spacing w:before="0" w:after="283"/>
              <w:jc w:val="right"/>
              <w:rPr/>
            </w:pPr>
            <w:r>
              <w:rPr/>
              <w:t>​</w:t>
            </w:r>
          </w:p>
        </w:tc>
        <w:tc>
          <w:tcPr>
            <w:tcW w:w="730" w:type="dxa"/>
            <w:tcBorders>
              <w:bottom w:val="single" w:sz="2" w:space="0" w:color="1F2668"/>
            </w:tcBorders>
            <w:tcMar>
              <w:bottom w:w="70" w:type="dxa"/>
            </w:tcMar>
            <w:vAlign w:val="center"/>
          </w:tcPr>
          <w:p>
            <w:pPr>
              <w:pStyle w:val="TableContents"/>
              <w:bidi w:val="0"/>
              <w:spacing w:before="0" w:after="283"/>
              <w:jc w:val="right"/>
              <w:rPr/>
            </w:pPr>
            <w:r>
              <w:rPr/>
              <w:t>—</w:t>
            </w:r>
          </w:p>
        </w:tc>
        <w:tc>
          <w:tcPr>
            <w:tcW w:w="232"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88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 w:type="dxa"/>
            <w:tcBorders>
              <w:bottom w:val="single" w:sz="2" w:space="0" w:color="1F2668"/>
            </w:tcBorders>
            <w:tcMar>
              <w:bottom w:w="28" w:type="dxa"/>
            </w:tcMar>
            <w:vAlign w:val="center"/>
          </w:tcPr>
          <w:p>
            <w:pPr>
              <w:pStyle w:val="TableContents"/>
              <w:bidi w:val="0"/>
              <w:spacing w:before="0" w:after="283"/>
              <w:jc w:val="left"/>
              <w:rPr/>
            </w:pPr>
            <w:r>
              <w:rPr/>
              <w:t>​</w:t>
            </w:r>
          </w:p>
        </w:tc>
        <w:tc>
          <w:tcPr>
            <w:tcW w:w="235" w:type="dxa"/>
            <w:tcBorders>
              <w:bottom w:val="single" w:sz="2" w:space="0" w:color="1F2668"/>
            </w:tcBorders>
            <w:tcMar>
              <w:bottom w:w="70" w:type="dxa"/>
            </w:tcMar>
            <w:vAlign w:val="center"/>
          </w:tcPr>
          <w:p>
            <w:pPr>
              <w:pStyle w:val="TableContents"/>
              <w:bidi w:val="0"/>
              <w:spacing w:before="0" w:after="283"/>
              <w:jc w:val="right"/>
              <w:rPr/>
            </w:pPr>
            <w:r>
              <w:rPr/>
              <w:t>​</w:t>
            </w:r>
          </w:p>
        </w:tc>
        <w:tc>
          <w:tcPr>
            <w:tcW w:w="923" w:type="dxa"/>
            <w:tcBorders>
              <w:bottom w:val="single" w:sz="2" w:space="0" w:color="1F2668"/>
            </w:tcBorders>
            <w:tcMar>
              <w:bottom w:w="70" w:type="dxa"/>
            </w:tcMar>
            <w:vAlign w:val="center"/>
          </w:tcPr>
          <w:p>
            <w:pPr>
              <w:pStyle w:val="TableContents"/>
              <w:bidi w:val="0"/>
              <w:spacing w:before="0" w:after="283"/>
              <w:jc w:val="right"/>
              <w:rPr/>
            </w:pPr>
            <w:r>
              <w:rPr/>
              <w:t>—</w:t>
            </w:r>
          </w:p>
        </w:tc>
        <w:tc>
          <w:tcPr>
            <w:tcW w:w="115"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788">
                <wp:simplePos x="0" y="0"/>
                <wp:positionH relativeFrom="column">
                  <wp:align>left</wp:align>
                </wp:positionH>
                <wp:positionV relativeFrom="line">
                  <wp:align>top</wp:align>
                </wp:positionV>
                <wp:extent cx="254000" cy="254000"/>
                <wp:effectExtent l="0" t="0" r="0" b="0"/>
                <wp:wrapSquare wrapText="right"/>
                <wp:docPr id="870" name="Frame49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amounts in this column represent the increase or decrease in value of vested notional units from December 31, 2022 through December 31, 2023, as calculated based on the closing stock price on the NYSE of one share of our common stock on December 31, 2022 compared to the closing stock price on the NYSE of one share of our common stock on December 31, 2023, plus the aggregate value of dividend equivalent rights paid with respect to all vested and unvested notional units held by each executive during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89">
                <wp:simplePos x="0" y="0"/>
                <wp:positionH relativeFrom="column">
                  <wp:align>left</wp:align>
                </wp:positionH>
                <wp:positionV relativeFrom="line">
                  <wp:align>top</wp:align>
                </wp:positionV>
                <wp:extent cx="254000" cy="254000"/>
                <wp:effectExtent l="0" t="0" r="0" b="0"/>
                <wp:wrapSquare wrapText="right"/>
                <wp:docPr id="871" name="Frame49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aggregate value of dividend equivalent rights paid with respect to all vested and unvested notional units held by each executive during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90">
                <wp:simplePos x="0" y="0"/>
                <wp:positionH relativeFrom="column">
                  <wp:align>left</wp:align>
                </wp:positionH>
                <wp:positionV relativeFrom="line">
                  <wp:align>top</wp:align>
                </wp:positionV>
                <wp:extent cx="254000" cy="254000"/>
                <wp:effectExtent l="0" t="0" r="0" b="0"/>
                <wp:wrapSquare wrapText="right"/>
                <wp:docPr id="872" name="Frame49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a per share price of $45.17, which was the closing stock price on the NYSE of one share of our common stock on December 29,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791">
                <wp:simplePos x="0" y="0"/>
                <wp:positionH relativeFrom="column">
                  <wp:align>left</wp:align>
                </wp:positionH>
                <wp:positionV relativeFrom="line">
                  <wp:align>top</wp:align>
                </wp:positionV>
                <wp:extent cx="254000" cy="254000"/>
                <wp:effectExtent l="0" t="0" r="0" b="0"/>
                <wp:wrapSquare wrapText="right"/>
                <wp:docPr id="873" name="Frame49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Potential Payments Upon Termination or Change in Control</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Employment Agreements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During 2023, we had employment agreements with each of our named executive officers. Each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current employment agreements with each our named executive officers that were in effect during 2023.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2205"/>
        <w:gridCol w:w="109"/>
        <w:gridCol w:w="109"/>
        <w:gridCol w:w="1629"/>
        <w:gridCol w:w="135"/>
        <w:gridCol w:w="135"/>
        <w:gridCol w:w="1487"/>
        <w:gridCol w:w="128"/>
        <w:gridCol w:w="128"/>
        <w:gridCol w:w="1520"/>
        <w:gridCol w:w="128"/>
        <w:gridCol w:w="128"/>
        <w:gridCol w:w="1304"/>
        <w:gridCol w:w="160"/>
      </w:tblGrid>
      <w:tr>
        <w:trPr/>
        <w:tc>
          <w:tcPr>
            <w:tcW w:w="2205"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629"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Marc Holliday </w:t>
            </w:r>
          </w:p>
        </w:tc>
        <w:tc>
          <w:tcPr>
            <w:tcW w:w="135" w:type="dxa"/>
            <w:tcBorders>
              <w:bottom w:val="single" w:sz="12" w:space="0" w:color="FFFFFF"/>
            </w:tcBorders>
            <w:vAlign w:val="center"/>
          </w:tcPr>
          <w:p>
            <w:pPr>
              <w:pStyle w:val="TableContents"/>
              <w:bidi w:val="0"/>
              <w:spacing w:before="0" w:after="283"/>
              <w:jc w:val="left"/>
              <w:rPr/>
            </w:pPr>
            <w:r>
              <w:rPr/>
              <w:t>​</w:t>
            </w:r>
          </w:p>
        </w:tc>
        <w:tc>
          <w:tcPr>
            <w:tcW w:w="135" w:type="dxa"/>
            <w:tcBorders>
              <w:bottom w:val="single" w:sz="12" w:space="0" w:color="FFFFFF"/>
            </w:tcBorders>
            <w:vAlign w:val="center"/>
          </w:tcPr>
          <w:p>
            <w:pPr>
              <w:pStyle w:val="TableContents"/>
              <w:bidi w:val="0"/>
              <w:spacing w:before="0" w:after="283"/>
              <w:jc w:val="left"/>
              <w:rPr/>
            </w:pPr>
            <w:r>
              <w:rPr/>
              <w:t>​</w:t>
            </w:r>
          </w:p>
        </w:tc>
        <w:tc>
          <w:tcPr>
            <w:tcW w:w="1487"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Mathias </w:t>
            </w:r>
          </w:p>
        </w:tc>
        <w:tc>
          <w:tcPr>
            <w:tcW w:w="128" w:type="dxa"/>
            <w:tcBorders>
              <w:bottom w:val="single" w:sz="12" w:space="0" w:color="FFFFFF"/>
            </w:tcBorders>
            <w:vAlign w:val="center"/>
          </w:tcPr>
          <w:p>
            <w:pPr>
              <w:pStyle w:val="TableContents"/>
              <w:bidi w:val="0"/>
              <w:spacing w:before="0" w:after="283"/>
              <w:jc w:val="left"/>
              <w:rPr/>
            </w:pPr>
            <w:r>
              <w:rPr/>
              <w:t>​</w:t>
            </w:r>
          </w:p>
        </w:tc>
        <w:tc>
          <w:tcPr>
            <w:tcW w:w="128" w:type="dxa"/>
            <w:tcBorders>
              <w:bottom w:val="single" w:sz="12" w:space="0" w:color="FFFFFF"/>
            </w:tcBorders>
            <w:vAlign w:val="center"/>
          </w:tcPr>
          <w:p>
            <w:pPr>
              <w:pStyle w:val="TableContents"/>
              <w:bidi w:val="0"/>
              <w:spacing w:before="0" w:after="283"/>
              <w:jc w:val="left"/>
              <w:rPr/>
            </w:pPr>
            <w:r>
              <w:rPr/>
              <w:t>​</w:t>
            </w:r>
          </w:p>
        </w:tc>
        <w:tc>
          <w:tcPr>
            <w:tcW w:w="1520"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Matthew J. DiLiberto </w:t>
            </w:r>
          </w:p>
        </w:tc>
        <w:tc>
          <w:tcPr>
            <w:tcW w:w="128" w:type="dxa"/>
            <w:tcBorders>
              <w:bottom w:val="single" w:sz="12" w:space="0" w:color="FFFFFF"/>
            </w:tcBorders>
            <w:vAlign w:val="center"/>
          </w:tcPr>
          <w:p>
            <w:pPr>
              <w:pStyle w:val="TableContents"/>
              <w:bidi w:val="0"/>
              <w:spacing w:before="0" w:after="283"/>
              <w:jc w:val="left"/>
              <w:rPr/>
            </w:pPr>
            <w:r>
              <w:rPr/>
              <w:t>​</w:t>
            </w:r>
          </w:p>
        </w:tc>
        <w:tc>
          <w:tcPr>
            <w:tcW w:w="128" w:type="dxa"/>
            <w:tcBorders>
              <w:bottom w:val="single" w:sz="12" w:space="0" w:color="FFFFFF"/>
            </w:tcBorders>
            <w:vAlign w:val="center"/>
          </w:tcPr>
          <w:p>
            <w:pPr>
              <w:pStyle w:val="TableContents"/>
              <w:bidi w:val="0"/>
              <w:spacing w:before="0" w:after="283"/>
              <w:jc w:val="left"/>
              <w:rPr/>
            </w:pPr>
            <w:r>
              <w:rPr/>
              <w:t>​</w:t>
            </w:r>
          </w:p>
        </w:tc>
        <w:tc>
          <w:tcPr>
            <w:tcW w:w="1304"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S. Levine </w:t>
            </w:r>
          </w:p>
        </w:tc>
        <w:tc>
          <w:tcPr>
            <w:tcW w:w="160" w:type="dxa"/>
            <w:tcBorders>
              <w:bottom w:val="single" w:sz="1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Term</w:t>
            </w:r>
            <w:r>
              <w:rPr>
                <w:b/>
                <w:color w:val="1F2668"/>
                <w:sz w:val="10"/>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1/18/22 – 1/17/25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1/1/22 – 12/31/23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1/1/23 – 1/1/26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1/1/22 – 1/1/25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Annual Salary</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$1.25M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$950K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$600K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$580K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Formulaic Annual Bonus</w:t>
            </w:r>
            <w:r>
              <w:rPr>
                <w:b/>
                <w:color w:val="1F2668"/>
                <w:sz w:val="10"/>
              </w:rPr>
              <w:t>(2)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50-300% base salary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50-250% base salary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50-250% base salary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Performance-Based LTIP Units</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pPr>
            <w:r>
              <w:rPr>
                <w:spacing w:val="-2"/>
              </w:rPr>
              <w:t>$7.5M (Target)</w:t>
            </w:r>
            <w:r>
              <w:rPr>
                <w:spacing w:val="-1"/>
                <w:sz w:val="10"/>
              </w:rPr>
              <w:t>(3)</w:t>
            </w:r>
            <w:r>
              <w:rPr/>
              <w:t xml:space="preserve">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pPr>
            <w:r>
              <w:rPr>
                <w:spacing w:val="-2"/>
              </w:rPr>
              <w:t>$6.0M (Target)</w:t>
            </w:r>
            <w:r>
              <w:rPr>
                <w:spacing w:val="-1"/>
                <w:sz w:val="10"/>
              </w:rPr>
              <w:t>(3)</w:t>
            </w:r>
            <w:r>
              <w:rPr/>
              <w:t xml:space="preserv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Time-Based LTIP Units</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pPr>
            <w:r>
              <w:rPr>
                <w:spacing w:val="-2"/>
              </w:rPr>
              <w:t>$4.5M (Target)</w:t>
            </w:r>
            <w:r>
              <w:rPr>
                <w:spacing w:val="-1"/>
                <w:sz w:val="10"/>
              </w:rPr>
              <w:t>(4)</w:t>
            </w:r>
            <w:r>
              <w:rPr/>
              <w:t xml:space="preserve">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pPr>
            <w:r>
              <w:rPr>
                <w:spacing w:val="-2"/>
              </w:rPr>
              <w:t>$3.5M (Target)</w:t>
            </w:r>
            <w:r>
              <w:rPr>
                <w:spacing w:val="-1"/>
                <w:sz w:val="10"/>
              </w:rPr>
              <w:t>(4)</w:t>
            </w:r>
            <w:r>
              <w:rPr/>
              <w:t xml:space="preserv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pPr>
            <w:r>
              <w:rPr>
                <w:spacing w:val="-2"/>
              </w:rPr>
              <w:t>$1.4M (Target)</w:t>
            </w:r>
            <w:r>
              <w:rPr>
                <w:spacing w:val="-1"/>
                <w:sz w:val="10"/>
              </w:rPr>
              <w:t>(4)</w:t>
            </w:r>
            <w:r>
              <w:rPr/>
              <w:t xml:space="preserv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pPr>
            <w:r>
              <w:rPr>
                <w:spacing w:val="-2"/>
              </w:rPr>
              <w:t>$1.3M (Target)</w:t>
            </w:r>
            <w:r>
              <w:rPr>
                <w:spacing w:val="-1"/>
                <w:sz w:val="10"/>
              </w:rPr>
              <w:t>(4)</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Other Benefits</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9"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$10M of life insurance </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487"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520"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304" w:type="dxa"/>
            <w:tcBorders>
              <w:bottom w:val="single" w:sz="2" w:space="0" w:color="4B5088"/>
            </w:tcBorders>
            <w:tcMar>
              <w:bottom w:w="76" w:type="dxa"/>
            </w:tcMar>
            <w:vAlign w:val="center"/>
          </w:tcPr>
          <w:p>
            <w:pPr>
              <w:pStyle w:val="TableContents"/>
              <w:bidi w:val="0"/>
              <w:spacing w:before="0" w:after="283"/>
              <w:jc w:val="left"/>
              <w:rPr>
                <w:spacing w:val="-2"/>
              </w:rPr>
            </w:pPr>
            <w:r>
              <w:rPr>
                <w:spacing w:val="-2"/>
              </w:rPr>
              <w:t xml:space="preserve">None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vMerge w:val="restart"/>
            <w:tcBorders>
              <w:bottom w:val="single" w:sz="2" w:space="0" w:color="4B5088"/>
            </w:tcBorders>
            <w:tcMar>
              <w:bottom w:w="70" w:type="dxa"/>
            </w:tcMar>
            <w:vAlign w:val="center"/>
          </w:tcPr>
          <w:p>
            <w:pPr>
              <w:pStyle w:val="TableContents"/>
              <w:bidi w:val="0"/>
              <w:spacing w:lineRule="atLeast" w:line="180" w:before="0" w:after="0"/>
              <w:jc w:val="left"/>
              <w:rPr>
                <w:b/>
                <w:color w:val="1F2668"/>
              </w:rPr>
            </w:pPr>
            <w:r>
              <w:rPr>
                <w:b/>
                <w:color w:val="1F2668"/>
              </w:rPr>
              <w:t>Severance Benefits without</w:t>
              <w:br/>
              <w:t>Change-in-Control (“CiC”) and</w:t>
              <w:br/>
            </w:r>
            <w:r>
              <w:rPr>
                <w:b/>
                <w:i/>
                <w:color w:val="1F2668"/>
              </w:rPr>
              <w:t>(in connection with a CiC)</w:t>
            </w:r>
            <w:r>
              <w:rPr>
                <w:b/>
                <w:color w:val="1F2668"/>
                <w:sz w:val="10"/>
              </w:rPr>
              <w:t>(5)</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22" w:type="dxa"/>
            <w:gridSpan w:val="10"/>
            <w:tcBorders>
              <w:bottom w:val="single" w:sz="2" w:space="0" w:color="4B5088"/>
            </w:tcBorders>
            <w:tcMar>
              <w:bottom w:w="70" w:type="dxa"/>
            </w:tcMar>
            <w:vAlign w:val="center"/>
          </w:tcPr>
          <w:p>
            <w:pPr>
              <w:pStyle w:val="TableContents"/>
              <w:bidi w:val="0"/>
              <w:spacing w:lineRule="atLeast" w:line="180" w:before="0" w:after="0"/>
              <w:jc w:val="left"/>
              <w:rPr/>
            </w:pPr>
            <w:r>
              <w:rPr>
                <w:spacing w:val="-2"/>
              </w:rPr>
              <w:t xml:space="preserve">If the executive’s employment is terminated by us without Cause or by the executive for Good Reason during the term, the executive will be entitled to the following payments or benefits, subject to the effectiveness of a mutual release. </w:t>
            </w:r>
            <w:r>
              <w:rPr>
                <w:b/>
                <w:i/>
              </w:rPr>
              <w:t>(For all executives, a Section 280G modified cut-back will apply in connection with a termination in connection with or within 18 months after a CiC.)</w:t>
            </w:r>
            <w:r>
              <w:rPr>
                <w:b/>
                <w:sz w:val="10"/>
              </w:rPr>
              <w:t>(6)</w:t>
            </w:r>
            <w:r>
              <w:rPr/>
              <w:t xml:space="preserv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3386" w:type="dxa"/>
            <w:gridSpan w:val="4"/>
            <w:tcBorders>
              <w:bottom w:val="single" w:sz="2" w:space="0" w:color="4B5088"/>
            </w:tcBorders>
            <w:tcMar>
              <w:bottom w:w="91" w:type="dxa"/>
            </w:tcMar>
            <w:vAlign w:val="center"/>
          </w:tcPr>
          <w:p>
            <w:pPr>
              <w:pStyle w:val="TableContents"/>
              <w:bidi w:val="0"/>
              <w:spacing w:lineRule="atLeast" w:line="180" w:before="0" w:after="0"/>
              <w:ind w:left="160" w:right="0" w:hanging="0"/>
              <w:jc w:val="left"/>
              <w:rPr/>
            </w:pPr>
            <w:r>
              <w:rPr>
                <w:spacing w:val="-2"/>
              </w:rPr>
              <w:t xml:space="preserve">2.0x / 1.5x the sum of base salary, maximum formulaic bonus and target value of annual time-based equity award </w:t>
            </w:r>
            <w:r>
              <w:rPr>
                <w:b/>
                <w:i/>
              </w:rPr>
              <w:t>(if CiC: 3.0x / 2.5x the sum of base salary, average annual bonus for prior two years and target value of annual time-based award)</w:t>
            </w:r>
            <w:r>
              <w:rPr/>
              <w:t xml:space="preserve"> </w:t>
            </w:r>
            <w:r>
              <mc:AlternateContent>
                <mc:Choice Requires="wps">
                  <w:drawing>
                    <wp:anchor behindDoc="0" distT="0" distB="0" distL="0" distR="0" simplePos="0" locked="0" layoutInCell="1" allowOverlap="1" relativeHeight="792">
                      <wp:simplePos x="0" y="0"/>
                      <wp:positionH relativeFrom="column">
                        <wp:align>left</wp:align>
                      </wp:positionH>
                      <wp:positionV relativeFrom="line">
                        <wp:posOffset>635</wp:posOffset>
                      </wp:positionV>
                      <wp:extent cx="101600" cy="350520"/>
                      <wp:effectExtent l="0" t="0" r="0" b="0"/>
                      <wp:wrapSquare wrapText="right"/>
                      <wp:docPr id="874" name="Frame4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spacing w:val="-2"/>
              </w:rPr>
            </w:pPr>
            <w:r>
              <w:rPr>
                <w:spacing w:val="-2"/>
              </w:rPr>
              <w:t xml:space="preserve">Pro-rata bonus and pro-rata portion of target value of annual time-based award for partial year </w:t>
            </w:r>
            <w:r>
              <mc:AlternateContent>
                <mc:Choice Requires="wps">
                  <w:drawing>
                    <wp:anchor behindDoc="0" distT="38100" distB="0" distL="0" distR="0" simplePos="0" locked="0" layoutInCell="1" allowOverlap="1" relativeHeight="793">
                      <wp:simplePos x="0" y="0"/>
                      <wp:positionH relativeFrom="column">
                        <wp:align>left</wp:align>
                      </wp:positionH>
                      <wp:positionV relativeFrom="line">
                        <wp:align>top</wp:align>
                      </wp:positionV>
                      <wp:extent cx="101600" cy="350520"/>
                      <wp:effectExtent l="0" t="0" r="0" b="0"/>
                      <wp:wrapSquare wrapText="right"/>
                      <wp:docPr id="875" name="Frame4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1" w:after="0"/>
              <w:ind w:left="160" w:right="0" w:hanging="0"/>
              <w:jc w:val="left"/>
              <w:rPr>
                <w:spacing w:val="-2"/>
              </w:rPr>
            </w:pPr>
            <w:r>
              <w:rPr>
                <w:spacing w:val="-2"/>
              </w:rPr>
              <w:t xml:space="preserve">Acceleration of all unvested time-based equity awards </w:t>
            </w:r>
            <w:r>
              <mc:AlternateContent>
                <mc:Choice Requires="wps">
                  <w:drawing>
                    <wp:anchor behindDoc="0" distT="38735" distB="0" distL="0" distR="0" simplePos="0" locked="0" layoutInCell="1" allowOverlap="1" relativeHeight="794">
                      <wp:simplePos x="0" y="0"/>
                      <wp:positionH relativeFrom="column">
                        <wp:align>left</wp:align>
                      </wp:positionH>
                      <wp:positionV relativeFrom="line">
                        <wp:align>top</wp:align>
                      </wp:positionV>
                      <wp:extent cx="101600" cy="350520"/>
                      <wp:effectExtent l="0" t="0" r="0" b="0"/>
                      <wp:wrapSquare wrapText="right"/>
                      <wp:docPr id="876" name="Frame4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05pt;mso-wrap-distance-bottom:0pt;margin-top:3.0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spacing w:val="-2"/>
              </w:rPr>
            </w:pPr>
            <w:r>
              <w:rPr>
                <w:spacing w:val="-2"/>
              </w:rPr>
              <w:t xml:space="preserve">Class O LTIP unit/option exercise period extended to second January 1st following termination </w:t>
            </w:r>
            <w:r>
              <mc:AlternateContent>
                <mc:Choice Requires="wps">
                  <w:drawing>
                    <wp:anchor behindDoc="0" distT="38100" distB="0" distL="0" distR="0" simplePos="0" locked="0" layoutInCell="1" allowOverlap="1" relativeHeight="795">
                      <wp:simplePos x="0" y="0"/>
                      <wp:positionH relativeFrom="column">
                        <wp:align>left</wp:align>
                      </wp:positionH>
                      <wp:positionV relativeFrom="line">
                        <wp:align>top</wp:align>
                      </wp:positionV>
                      <wp:extent cx="101600" cy="350520"/>
                      <wp:effectExtent l="0" t="0" r="0" b="0"/>
                      <wp:wrapSquare wrapText="right"/>
                      <wp:docPr id="877" name="Frame4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 xml:space="preserve">24 </w:t>
            </w:r>
            <w:r>
              <w:rPr>
                <w:b/>
                <w:i/>
              </w:rPr>
              <w:t>(36 if CiC)</w:t>
            </w:r>
            <w:r>
              <w:rPr>
                <w:spacing w:val="-2"/>
              </w:rPr>
              <w:t xml:space="preserve"> / 18 </w:t>
            </w:r>
            <w:r>
              <w:rPr>
                <w:b/>
                <w:i/>
              </w:rPr>
              <w:t>(30 if CiC)</w:t>
            </w:r>
            <w:r>
              <w:rPr>
                <w:spacing w:val="-2"/>
              </w:rPr>
              <w:t xml:space="preserve"> months of benefit continuation payments </w:t>
            </w:r>
            <w:r>
              <mc:AlternateContent>
                <mc:Choice Requires="wps">
                  <w:drawing>
                    <wp:anchor behindDoc="0" distT="38100" distB="0" distL="0" distR="0" simplePos="0" locked="0" layoutInCell="1" allowOverlap="1" relativeHeight="796">
                      <wp:simplePos x="0" y="0"/>
                      <wp:positionH relativeFrom="column">
                        <wp:align>left</wp:align>
                      </wp:positionH>
                      <wp:positionV relativeFrom="line">
                        <wp:align>top</wp:align>
                      </wp:positionV>
                      <wp:extent cx="101600" cy="350520"/>
                      <wp:effectExtent l="0" t="0" r="0" b="0"/>
                      <wp:wrapSquare wrapText="right"/>
                      <wp:docPr id="878" name="Frame4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3080" w:type="dxa"/>
            <w:gridSpan w:val="4"/>
            <w:tcBorders>
              <w:bottom w:val="single" w:sz="2" w:space="0" w:color="4B5088"/>
            </w:tcBorders>
            <w:tcMar>
              <w:bottom w:w="91" w:type="dxa"/>
            </w:tcMar>
            <w:vAlign w:val="center"/>
          </w:tcPr>
          <w:p>
            <w:pPr>
              <w:pStyle w:val="TableContents"/>
              <w:bidi w:val="0"/>
              <w:spacing w:lineRule="atLeast" w:line="180" w:before="0" w:after="0"/>
              <w:ind w:left="160" w:right="0" w:hanging="0"/>
              <w:jc w:val="left"/>
              <w:rPr/>
            </w:pPr>
            <w:r>
              <w:rPr>
                <w:spacing w:val="-2"/>
              </w:rPr>
              <w:t xml:space="preserve">1x </w:t>
            </w:r>
            <w:r>
              <w:rPr>
                <w:b/>
                <w:i/>
              </w:rPr>
              <w:t>(2x if CiC)</w:t>
            </w:r>
            <w:r>
              <w:rPr>
                <w:spacing w:val="-2"/>
              </w:rPr>
              <w:t xml:space="preserve"> the sum of base salary and average annual bonus for prior two years (Levine) or prior three years (DiLiberto)</w:t>
            </w:r>
            <w:r>
              <w:rPr/>
              <w:t xml:space="preserve"> </w:t>
            </w:r>
            <w:r>
              <mc:AlternateContent>
                <mc:Choice Requires="wps">
                  <w:drawing>
                    <wp:anchor behindDoc="0" distT="0" distB="0" distL="0" distR="0" simplePos="0" locked="0" layoutInCell="1" allowOverlap="1" relativeHeight="797">
                      <wp:simplePos x="0" y="0"/>
                      <wp:positionH relativeFrom="column">
                        <wp:align>left</wp:align>
                      </wp:positionH>
                      <wp:positionV relativeFrom="line">
                        <wp:posOffset>635</wp:posOffset>
                      </wp:positionV>
                      <wp:extent cx="101600" cy="350520"/>
                      <wp:effectExtent l="0" t="0" r="0" b="0"/>
                      <wp:wrapSquare wrapText="right"/>
                      <wp:docPr id="879" name="Frame5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The target value of the annual time-based equity awards to be granted in each January remaining in the term, to the extent not yet granted</w:t>
            </w:r>
            <w:r>
              <w:rPr/>
              <w:t xml:space="preserve"> </w:t>
            </w:r>
            <w:r>
              <mc:AlternateContent>
                <mc:Choice Requires="wps">
                  <w:drawing>
                    <wp:anchor behindDoc="0" distT="38100" distB="0" distL="0" distR="0" simplePos="0" locked="0" layoutInCell="1" allowOverlap="1" relativeHeight="798">
                      <wp:simplePos x="0" y="0"/>
                      <wp:positionH relativeFrom="column">
                        <wp:align>left</wp:align>
                      </wp:positionH>
                      <wp:positionV relativeFrom="line">
                        <wp:align>top</wp:align>
                      </wp:positionV>
                      <wp:extent cx="101600" cy="350520"/>
                      <wp:effectExtent l="0" t="0" r="0" b="0"/>
                      <wp:wrapSquare wrapText="right"/>
                      <wp:docPr id="880" name="Frame5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799">
                      <wp:simplePos x="0" y="0"/>
                      <wp:positionH relativeFrom="column">
                        <wp:align>left</wp:align>
                      </wp:positionH>
                      <wp:positionV relativeFrom="line">
                        <wp:align>top</wp:align>
                      </wp:positionV>
                      <wp:extent cx="101600" cy="350520"/>
                      <wp:effectExtent l="0" t="0" r="0" b="0"/>
                      <wp:wrapSquare wrapText="right"/>
                      <wp:docPr id="881" name="Frame5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Acceleration of all unvested time-based equity awards</w:t>
            </w:r>
            <w:r>
              <w:rPr/>
              <w:t xml:space="preserve"> </w:t>
            </w:r>
            <w:r>
              <mc:AlternateContent>
                <mc:Choice Requires="wps">
                  <w:drawing>
                    <wp:anchor behindDoc="0" distT="38100" distB="0" distL="0" distR="0" simplePos="0" locked="0" layoutInCell="1" allowOverlap="1" relativeHeight="800">
                      <wp:simplePos x="0" y="0"/>
                      <wp:positionH relativeFrom="column">
                        <wp:align>left</wp:align>
                      </wp:positionH>
                      <wp:positionV relativeFrom="line">
                        <wp:align>top</wp:align>
                      </wp:positionV>
                      <wp:extent cx="101600" cy="350520"/>
                      <wp:effectExtent l="0" t="0" r="0" b="0"/>
                      <wp:wrapSquare wrapText="right"/>
                      <wp:docPr id="882" name="Frame5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Class O LTIP unit/option exercise period extended to second January 1st following termination</w:t>
            </w:r>
            <w:r>
              <w:rPr/>
              <w:t xml:space="preserve"> </w:t>
            </w:r>
            <w:r>
              <mc:AlternateContent>
                <mc:Choice Requires="wps">
                  <w:drawing>
                    <wp:anchor behindDoc="0" distT="38100" distB="0" distL="0" distR="0" simplePos="0" locked="0" layoutInCell="1" allowOverlap="1" relativeHeight="801">
                      <wp:simplePos x="0" y="0"/>
                      <wp:positionH relativeFrom="column">
                        <wp:align>left</wp:align>
                      </wp:positionH>
                      <wp:positionV relativeFrom="line">
                        <wp:align>top</wp:align>
                      </wp:positionV>
                      <wp:extent cx="101600" cy="350520"/>
                      <wp:effectExtent l="0" t="0" r="0" b="0"/>
                      <wp:wrapSquare wrapText="right"/>
                      <wp:docPr id="883" name="Frame5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 xml:space="preserve">12 </w:t>
            </w:r>
            <w:r>
              <w:rPr>
                <w:b/>
                <w:i/>
              </w:rPr>
              <w:t>(24 if CiC)</w:t>
            </w:r>
            <w:r>
              <w:rPr>
                <w:spacing w:val="-2"/>
              </w:rPr>
              <w:t xml:space="preserve"> months of benefit continuation payments </w:t>
            </w:r>
            <w:r>
              <mc:AlternateContent>
                <mc:Choice Requires="wps">
                  <w:drawing>
                    <wp:anchor behindDoc="0" distT="38100" distB="0" distL="0" distR="0" simplePos="0" locked="0" layoutInCell="1" allowOverlap="1" relativeHeight="802">
                      <wp:simplePos x="0" y="0"/>
                      <wp:positionH relativeFrom="column">
                        <wp:align>left</wp:align>
                      </wp:positionH>
                      <wp:positionV relativeFrom="line">
                        <wp:align>top</wp:align>
                      </wp:positionV>
                      <wp:extent cx="101600" cy="350520"/>
                      <wp:effectExtent l="0" t="0" r="0" b="0"/>
                      <wp:wrapSquare wrapText="right"/>
                      <wp:docPr id="884" name="Frame5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vMerge w:val="restart"/>
            <w:tcBorders>
              <w:bottom w:val="single" w:sz="2" w:space="0" w:color="4B5088"/>
            </w:tcBorders>
            <w:tcMar>
              <w:bottom w:w="70" w:type="dxa"/>
            </w:tcMar>
            <w:vAlign w:val="center"/>
          </w:tcPr>
          <w:p>
            <w:pPr>
              <w:pStyle w:val="TableContents"/>
              <w:bidi w:val="0"/>
              <w:spacing w:lineRule="atLeast" w:line="180" w:before="0" w:after="0"/>
              <w:jc w:val="left"/>
              <w:rPr>
                <w:b/>
                <w:color w:val="1F2668"/>
              </w:rPr>
            </w:pPr>
            <w:r>
              <w:rPr>
                <w:b/>
                <w:color w:val="1F2668"/>
              </w:rPr>
              <w:t xml:space="preserve">Death / </w:t>
            </w:r>
            <w:r>
              <w:rPr>
                <w:b/>
                <w:i/>
                <w:color w:val="1F2668"/>
              </w:rPr>
              <w:t>(Disability)</w:t>
            </w:r>
            <w:r>
              <w:rPr>
                <w:b/>
                <w:color w:val="1F2668"/>
                <w:sz w:val="10"/>
              </w:rPr>
              <w:t>(5)</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22" w:type="dxa"/>
            <w:gridSpan w:val="10"/>
            <w:tcBorders>
              <w:bottom w:val="single" w:sz="2" w:space="0" w:color="4B5088"/>
            </w:tcBorders>
            <w:tcMar>
              <w:bottom w:w="70" w:type="dxa"/>
            </w:tcMar>
            <w:vAlign w:val="center"/>
          </w:tcPr>
          <w:p>
            <w:pPr>
              <w:pStyle w:val="TableContents"/>
              <w:bidi w:val="0"/>
              <w:spacing w:lineRule="atLeast" w:line="180" w:before="0" w:after="0"/>
              <w:jc w:val="left"/>
              <w:rPr/>
            </w:pPr>
            <w:r>
              <w:rPr>
                <w:spacing w:val="-2"/>
              </w:rPr>
              <w:t xml:space="preserve">If the executive’s employment is terminated by us upon death or disability during the term, the executive will be entitled to all of the following payments or benefits, plus additional benefits in the case of disability, subject </w:t>
            </w:r>
            <w:r>
              <w:rPr>
                <w:b/>
                <w:i/>
              </w:rPr>
              <w:t>(in the case of disability)</w:t>
            </w:r>
            <w:r>
              <w:rPr>
                <w:spacing w:val="-2"/>
              </w:rPr>
              <w:t xml:space="preserve"> to the effectiveness of a mutual release: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205"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3386" w:type="dxa"/>
            <w:gridSpan w:val="4"/>
            <w:tcBorders>
              <w:bottom w:val="single" w:sz="2" w:space="0" w:color="4B5088"/>
            </w:tcBorders>
            <w:tcMar>
              <w:bottom w:w="70" w:type="dxa"/>
            </w:tcMar>
            <w:vAlign w:val="center"/>
          </w:tcPr>
          <w:p>
            <w:pPr>
              <w:pStyle w:val="TableContents"/>
              <w:bidi w:val="0"/>
              <w:spacing w:lineRule="atLeast" w:line="180" w:before="0" w:after="0"/>
              <w:ind w:left="160" w:right="0" w:hanging="0"/>
              <w:jc w:val="left"/>
              <w:rPr>
                <w:b/>
                <w:i/>
              </w:rPr>
            </w:pPr>
            <w:r>
              <w:rPr>
                <w:b/>
                <w:i/>
              </w:rPr>
              <w:t>(If Disability: 1x the sum of base salary, maximum formulaic bonus and target value of annual time-based equity award)</w:t>
            </w:r>
            <w:r>
              <mc:AlternateContent>
                <mc:Choice Requires="wps">
                  <w:drawing>
                    <wp:anchor behindDoc="0" distT="0" distB="0" distL="0" distR="0" simplePos="0" locked="0" layoutInCell="1" allowOverlap="1" relativeHeight="803">
                      <wp:simplePos x="0" y="0"/>
                      <wp:positionH relativeFrom="column">
                        <wp:align>left</wp:align>
                      </wp:positionH>
                      <wp:positionV relativeFrom="line">
                        <wp:posOffset>635</wp:posOffset>
                      </wp:positionV>
                      <wp:extent cx="101600" cy="350520"/>
                      <wp:effectExtent l="0" t="0" r="0" b="0"/>
                      <wp:wrapSquare wrapText="right"/>
                      <wp:docPr id="885" name="Frame5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80" w:after="0"/>
              <w:ind w:left="160" w:right="0" w:hanging="0"/>
              <w:jc w:val="left"/>
              <w:rPr>
                <w:spacing w:val="-2"/>
              </w:rPr>
            </w:pPr>
            <w:r>
              <w:rPr>
                <w:spacing w:val="-2"/>
              </w:rPr>
              <w:t xml:space="preserve">Pro-rata bonus for partial year </w:t>
            </w:r>
            <w:r>
              <mc:AlternateContent>
                <mc:Choice Requires="wps">
                  <w:drawing>
                    <wp:anchor behindDoc="0" distT="50800" distB="0" distL="0" distR="0" simplePos="0" locked="0" layoutInCell="1" allowOverlap="1" relativeHeight="804">
                      <wp:simplePos x="0" y="0"/>
                      <wp:positionH relativeFrom="column">
                        <wp:align>left</wp:align>
                      </wp:positionH>
                      <wp:positionV relativeFrom="line">
                        <wp:align>top</wp:align>
                      </wp:positionV>
                      <wp:extent cx="101600" cy="350520"/>
                      <wp:effectExtent l="0" t="0" r="0" b="0"/>
                      <wp:wrapSquare wrapText="right"/>
                      <wp:docPr id="886" name="Frame5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spacing w:val="-2"/>
              </w:rPr>
            </w:pPr>
            <w:r>
              <w:rPr>
                <w:spacing w:val="-2"/>
              </w:rPr>
              <w:t xml:space="preserve">Acceleration of all unvested equity awards (other than performance-based awards) </w:t>
            </w:r>
            <w:r>
              <mc:AlternateContent>
                <mc:Choice Requires="wps">
                  <w:drawing>
                    <wp:anchor behindDoc="0" distT="38100" distB="0" distL="0" distR="0" simplePos="0" locked="0" layoutInCell="1" allowOverlap="1" relativeHeight="805">
                      <wp:simplePos x="0" y="0"/>
                      <wp:positionH relativeFrom="column">
                        <wp:align>left</wp:align>
                      </wp:positionH>
                      <wp:positionV relativeFrom="line">
                        <wp:align>top</wp:align>
                      </wp:positionV>
                      <wp:extent cx="101600" cy="350520"/>
                      <wp:effectExtent l="0" t="0" r="0" b="0"/>
                      <wp:wrapSquare wrapText="right"/>
                      <wp:docPr id="887" name="Frame5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spacing w:val="-2"/>
              </w:rPr>
            </w:pPr>
            <w:r>
              <w:rPr>
                <w:spacing w:val="-2"/>
              </w:rPr>
              <w:t xml:space="preserve">Class O LTIP unit/option exercise period extended to second January 1st following termination </w:t>
            </w:r>
            <w:r>
              <mc:AlternateContent>
                <mc:Choice Requires="wps">
                  <w:drawing>
                    <wp:anchor behindDoc="0" distT="38100" distB="0" distL="0" distR="0" simplePos="0" locked="0" layoutInCell="1" allowOverlap="1" relativeHeight="806">
                      <wp:simplePos x="0" y="0"/>
                      <wp:positionH relativeFrom="column">
                        <wp:align>left</wp:align>
                      </wp:positionH>
                      <wp:positionV relativeFrom="line">
                        <wp:align>top</wp:align>
                      </wp:positionV>
                      <wp:extent cx="101600" cy="350520"/>
                      <wp:effectExtent l="0" t="0" r="0" b="0"/>
                      <wp:wrapSquare wrapText="right"/>
                      <wp:docPr id="888" name="Frame5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spacing w:val="-2"/>
              </w:rPr>
            </w:pPr>
            <w:r>
              <w:rPr>
                <w:spacing w:val="-2"/>
              </w:rPr>
              <w:t xml:space="preserve">Payments/benefits to Mr. Holliday are reduced by life insurance benefit </w:t>
            </w:r>
            <w:r>
              <mc:AlternateContent>
                <mc:Choice Requires="wps">
                  <w:drawing>
                    <wp:anchor behindDoc="0" distT="38100" distB="0" distL="0" distR="0" simplePos="0" locked="0" layoutInCell="1" allowOverlap="1" relativeHeight="807">
                      <wp:simplePos x="0" y="0"/>
                      <wp:positionH relativeFrom="column">
                        <wp:align>left</wp:align>
                      </wp:positionH>
                      <wp:positionV relativeFrom="line">
                        <wp:align>top</wp:align>
                      </wp:positionV>
                      <wp:extent cx="101600" cy="350520"/>
                      <wp:effectExtent l="0" t="0" r="0" b="0"/>
                      <wp:wrapSquare wrapText="right"/>
                      <wp:docPr id="889" name="Frame5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b/>
                <w:i/>
              </w:rPr>
              <w:t>(If Disability: 36 months of benefit continuation/</w:t>
            </w:r>
            <w:r>
              <w:rPr/>
              <w:t>​</w:t>
            </w:r>
            <w:r>
              <w:rPr>
                <w:b/>
                <w:i/>
              </w:rPr>
              <w:t>payments)</w:t>
            </w:r>
            <w:r>
              <mc:AlternateContent>
                <mc:Choice Requires="wps">
                  <w:drawing>
                    <wp:anchor behindDoc="0" distT="38100" distB="0" distL="0" distR="0" simplePos="0" locked="0" layoutInCell="1" allowOverlap="1" relativeHeight="808">
                      <wp:simplePos x="0" y="0"/>
                      <wp:positionH relativeFrom="column">
                        <wp:align>left</wp:align>
                      </wp:positionH>
                      <wp:positionV relativeFrom="line">
                        <wp:align>top</wp:align>
                      </wp:positionV>
                      <wp:extent cx="101600" cy="350520"/>
                      <wp:effectExtent l="0" t="0" r="0" b="0"/>
                      <wp:wrapSquare wrapText="right"/>
                      <wp:docPr id="890" name="Frame5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128" w:type="dxa"/>
            <w:tcBorders>
              <w:bottom w:val="single" w:sz="2" w:space="0" w:color="FFFFFF"/>
            </w:tcBorders>
            <w:vAlign w:val="center"/>
          </w:tcPr>
          <w:p>
            <w:pPr>
              <w:pStyle w:val="TableContents"/>
              <w:bidi w:val="0"/>
              <w:spacing w:before="0" w:after="283"/>
              <w:jc w:val="left"/>
              <w:rPr/>
            </w:pPr>
            <w:r>
              <w:rPr/>
              <w:t>​</w:t>
            </w:r>
          </w:p>
        </w:tc>
        <w:tc>
          <w:tcPr>
            <w:tcW w:w="3080" w:type="dxa"/>
            <w:gridSpan w:val="4"/>
            <w:tcBorders>
              <w:bottom w:val="single" w:sz="2" w:space="0" w:color="4B5088"/>
            </w:tcBorders>
            <w:tcMar>
              <w:bottom w:w="70" w:type="dxa"/>
            </w:tcMar>
            <w:vAlign w:val="center"/>
          </w:tcPr>
          <w:p>
            <w:pPr>
              <w:pStyle w:val="TableContents"/>
              <w:bidi w:val="0"/>
              <w:spacing w:lineRule="atLeast" w:line="180" w:before="0" w:after="0"/>
              <w:ind w:left="160" w:right="0" w:hanging="0"/>
              <w:jc w:val="left"/>
              <w:rPr>
                <w:b/>
                <w:i/>
              </w:rPr>
            </w:pPr>
            <w:r>
              <w:rPr>
                <w:b/>
                <w:i/>
              </w:rPr>
              <w:t>(If Disability: 1x the sum of base salary and average annual bonus for prior two years (Levine) or prior three years (DiLiberto))</w:t>
            </w:r>
            <w:r>
              <mc:AlternateContent>
                <mc:Choice Requires="wps">
                  <w:drawing>
                    <wp:anchor behindDoc="0" distT="0" distB="0" distL="0" distR="0" simplePos="0" locked="0" layoutInCell="1" allowOverlap="1" relativeHeight="809">
                      <wp:simplePos x="0" y="0"/>
                      <wp:positionH relativeFrom="column">
                        <wp:align>left</wp:align>
                      </wp:positionH>
                      <wp:positionV relativeFrom="line">
                        <wp:posOffset>635</wp:posOffset>
                      </wp:positionV>
                      <wp:extent cx="101600" cy="350520"/>
                      <wp:effectExtent l="0" t="0" r="0" b="0"/>
                      <wp:wrapSquare wrapText="right"/>
                      <wp:docPr id="891" name="Frame5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caps w:val="false"/>
                                <w:smallCaps w:val="false"/>
                                <w:spacing w:val="-2"/>
                              </w:rPr>
                              <w:t>•</w:t>
                            </w:r>
                            <w:r>
                              <w:rPr/>
                              <w:t xml:space="preserve"> </w:t>
                            </w:r>
                            <w:r>
                              <w:rPr>
                                <w:b/>
                                <w:i/>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60" w:before="80" w:after="0"/>
              <w:ind w:left="160" w:right="0" w:hanging="0"/>
              <w:jc w:val="left"/>
              <w:rPr/>
            </w:pPr>
            <w:r>
              <w:rPr>
                <w:spacing w:val="-2"/>
              </w:rPr>
              <w:t>Pro-rata bonus for partial year</w:t>
            </w:r>
            <w:r>
              <w:rPr/>
              <w:t xml:space="preserve"> </w:t>
            </w:r>
            <w:r>
              <mc:AlternateContent>
                <mc:Choice Requires="wps">
                  <w:drawing>
                    <wp:anchor behindDoc="0" distT="50800" distB="0" distL="0" distR="0" simplePos="0" locked="0" layoutInCell="1" allowOverlap="1" relativeHeight="810">
                      <wp:simplePos x="0" y="0"/>
                      <wp:positionH relativeFrom="column">
                        <wp:align>left</wp:align>
                      </wp:positionH>
                      <wp:positionV relativeFrom="line">
                        <wp:align>top</wp:align>
                      </wp:positionV>
                      <wp:extent cx="101600" cy="350520"/>
                      <wp:effectExtent l="0" t="0" r="0" b="0"/>
                      <wp:wrapSquare wrapText="right"/>
                      <wp:docPr id="892" name="Frame5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6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6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Pro-rated target value of the annual time-based equity awards (upon termination prior to final annual time-based grant)</w:t>
            </w:r>
            <w:r>
              <w:rPr/>
              <w:t xml:space="preserve"> </w:t>
            </w:r>
            <w:r>
              <mc:AlternateContent>
                <mc:Choice Requires="wps">
                  <w:drawing>
                    <wp:anchor behindDoc="0" distT="38100" distB="0" distL="0" distR="0" simplePos="0" locked="0" layoutInCell="1" allowOverlap="1" relativeHeight="811">
                      <wp:simplePos x="0" y="0"/>
                      <wp:positionH relativeFrom="column">
                        <wp:align>left</wp:align>
                      </wp:positionH>
                      <wp:positionV relativeFrom="line">
                        <wp:align>top</wp:align>
                      </wp:positionV>
                      <wp:extent cx="101600" cy="350520"/>
                      <wp:effectExtent l="0" t="0" r="0" b="0"/>
                      <wp:wrapSquare wrapText="right"/>
                      <wp:docPr id="893" name="Frame5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1" w:after="0"/>
              <w:ind w:left="160" w:right="0" w:hanging="0"/>
              <w:jc w:val="left"/>
              <w:rPr/>
            </w:pPr>
            <w:r>
              <w:rPr>
                <w:spacing w:val="-2"/>
              </w:rPr>
              <w:t>Acceleration of all unvested equity awards (other than performance-based awards)</w:t>
            </w:r>
            <w:r>
              <w:rPr/>
              <w:t xml:space="preserve"> </w:t>
            </w:r>
            <w:r>
              <mc:AlternateContent>
                <mc:Choice Requires="wps">
                  <w:drawing>
                    <wp:anchor behindDoc="0" distT="38735" distB="0" distL="0" distR="0" simplePos="0" locked="0" layoutInCell="1" allowOverlap="1" relativeHeight="812">
                      <wp:simplePos x="0" y="0"/>
                      <wp:positionH relativeFrom="column">
                        <wp:align>left</wp:align>
                      </wp:positionH>
                      <wp:positionV relativeFrom="line">
                        <wp:align>top</wp:align>
                      </wp:positionV>
                      <wp:extent cx="101600" cy="350520"/>
                      <wp:effectExtent l="0" t="0" r="0" b="0"/>
                      <wp:wrapSquare wrapText="right"/>
                      <wp:docPr id="894" name="Frame5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05pt;mso-wrap-distance-bottom:0pt;margin-top:3.0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spacing w:val="-2"/>
              </w:rPr>
              <w:t>Class O LTIP unit/ option exercise period extended to second January 1st following termination</w:t>
            </w:r>
            <w:r>
              <w:rPr/>
              <w:t xml:space="preserve"> </w:t>
            </w:r>
            <w:r>
              <mc:AlternateContent>
                <mc:Choice Requires="wps">
                  <w:drawing>
                    <wp:anchor behindDoc="0" distT="38100" distB="0" distL="0" distR="0" simplePos="0" locked="0" layoutInCell="1" allowOverlap="1" relativeHeight="813">
                      <wp:simplePos x="0" y="0"/>
                      <wp:positionH relativeFrom="column">
                        <wp:align>left</wp:align>
                      </wp:positionH>
                      <wp:positionV relativeFrom="line">
                        <wp:align>top</wp:align>
                      </wp:positionV>
                      <wp:extent cx="101600" cy="350520"/>
                      <wp:effectExtent l="0" t="0" r="0" b="0"/>
                      <wp:wrapSquare wrapText="right"/>
                      <wp:docPr id="895" name="Frame5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60" w:after="0"/>
              <w:ind w:left="160" w:right="0" w:hanging="0"/>
              <w:jc w:val="left"/>
              <w:rPr/>
            </w:pPr>
            <w:r>
              <w:rPr>
                <w:b/>
                <w:i/>
              </w:rPr>
              <w:t>(If Disability: 36 months of benefit continuation/</w:t>
            </w:r>
            <w:r>
              <w:rPr/>
              <w:t>​</w:t>
            </w:r>
            <w:r>
              <w:rPr>
                <w:b/>
                <w:i/>
              </w:rPr>
              <w:t>payments)</w:t>
            </w:r>
            <w:r>
              <mc:AlternateContent>
                <mc:Choice Requires="wps">
                  <w:drawing>
                    <wp:anchor behindDoc="0" distT="38100" distB="0" distL="0" distR="0" simplePos="0" locked="0" layoutInCell="1" allowOverlap="1" relativeHeight="814">
                      <wp:simplePos x="0" y="0"/>
                      <wp:positionH relativeFrom="column">
                        <wp:align>left</wp:align>
                      </wp:positionH>
                      <wp:positionV relativeFrom="line">
                        <wp:align>top</wp:align>
                      </wp:positionV>
                      <wp:extent cx="101600" cy="350520"/>
                      <wp:effectExtent l="0" t="0" r="0" b="0"/>
                      <wp:wrapSquare wrapText="right"/>
                      <wp:docPr id="896" name="Frame5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28" w:type="dxa"/>
          <w:right w:w="0" w:type="dxa"/>
        </w:tblCellMar>
      </w:tblPr>
      <w:tblGrid>
        <w:gridCol w:w="2566"/>
        <w:gridCol w:w="109"/>
        <w:gridCol w:w="109"/>
        <w:gridCol w:w="1026"/>
        <w:gridCol w:w="114"/>
        <w:gridCol w:w="114"/>
        <w:gridCol w:w="990"/>
        <w:gridCol w:w="109"/>
        <w:gridCol w:w="109"/>
        <w:gridCol w:w="1875"/>
        <w:gridCol w:w="109"/>
        <w:gridCol w:w="109"/>
        <w:gridCol w:w="1808"/>
        <w:gridCol w:w="158"/>
      </w:tblGrid>
      <w:tr>
        <w:trPr/>
        <w:tc>
          <w:tcPr>
            <w:tcW w:w="2566"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26"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Marc Holliday </w:t>
            </w:r>
          </w:p>
        </w:tc>
        <w:tc>
          <w:tcPr>
            <w:tcW w:w="114" w:type="dxa"/>
            <w:tcBorders>
              <w:bottom w:val="single" w:sz="12" w:space="0" w:color="FFFFFF"/>
            </w:tcBorders>
            <w:vAlign w:val="center"/>
          </w:tcPr>
          <w:p>
            <w:pPr>
              <w:pStyle w:val="TableContents"/>
              <w:bidi w:val="0"/>
              <w:spacing w:before="0" w:after="283"/>
              <w:jc w:val="left"/>
              <w:rPr/>
            </w:pPr>
            <w:r>
              <w:rPr/>
              <w:t>​</w:t>
            </w:r>
          </w:p>
        </w:tc>
        <w:tc>
          <w:tcPr>
            <w:tcW w:w="114" w:type="dxa"/>
            <w:tcBorders>
              <w:bottom w:val="single" w:sz="12" w:space="0" w:color="FFFFFF"/>
            </w:tcBorders>
            <w:vAlign w:val="center"/>
          </w:tcPr>
          <w:p>
            <w:pPr>
              <w:pStyle w:val="TableContents"/>
              <w:bidi w:val="0"/>
              <w:spacing w:before="0" w:after="283"/>
              <w:jc w:val="left"/>
              <w:rPr/>
            </w:pPr>
            <w:r>
              <w:rPr/>
              <w:t>​</w:t>
            </w:r>
          </w:p>
        </w:tc>
        <w:tc>
          <w:tcPr>
            <w:tcW w:w="990"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Mathias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75"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Matthew J. DiLiberto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08" w:type="dxa"/>
            <w:tcBorders>
              <w:bottom w:val="single" w:sz="2" w:space="0" w:color="1F2668"/>
            </w:tcBorders>
            <w:tcMar>
              <w:bottom w:w="70" w:type="dxa"/>
            </w:tcMar>
            <w:vAlign w:val="center"/>
          </w:tcPr>
          <w:p>
            <w:pPr>
              <w:pStyle w:val="TableContents"/>
              <w:bidi w:val="0"/>
              <w:spacing w:before="0" w:after="0"/>
              <w:jc w:val="left"/>
              <w:rPr>
                <w:spacing w:val="2"/>
              </w:rPr>
            </w:pPr>
            <w:r>
              <w:rPr>
                <w:spacing w:val="2"/>
              </w:rPr>
              <w:t xml:space="preserve">Andrew S. Levine </w:t>
            </w:r>
          </w:p>
        </w:tc>
        <w:tc>
          <w:tcPr>
            <w:tcW w:w="158" w:type="dxa"/>
            <w:tcBorders>
              <w:bottom w:val="single" w:sz="12" w:space="0" w:color="FFFFFF"/>
            </w:tcBorders>
            <w:vAlign w:val="center"/>
          </w:tcPr>
          <w:p>
            <w:pPr>
              <w:pStyle w:val="TableContents"/>
              <w:bidi w:val="0"/>
              <w:spacing w:before="0" w:after="283"/>
              <w:jc w:val="left"/>
              <w:rPr/>
            </w:pPr>
            <w:r>
              <w:rPr/>
              <w:t>​</w:t>
            </w:r>
          </w:p>
        </w:tc>
      </w:tr>
      <w:tr>
        <w:trPr/>
        <w:tc>
          <w:tcPr>
            <w:tcW w:w="2566" w:type="dxa"/>
            <w:vMerge w:val="restart"/>
            <w:tcBorders>
              <w:bottom w:val="single" w:sz="2" w:space="0" w:color="4B5088"/>
            </w:tcBorders>
            <w:tcMar>
              <w:bottom w:w="70" w:type="dxa"/>
            </w:tcMar>
            <w:vAlign w:val="center"/>
          </w:tcPr>
          <w:p>
            <w:pPr>
              <w:pStyle w:val="TableContents"/>
              <w:bidi w:val="0"/>
              <w:spacing w:lineRule="atLeast" w:line="180" w:before="0" w:after="0"/>
              <w:jc w:val="left"/>
              <w:rPr>
                <w:b/>
                <w:color w:val="1F2668"/>
              </w:rPr>
            </w:pPr>
            <w:r>
              <w:rPr>
                <w:b/>
                <w:color w:val="1F2668"/>
              </w:rPr>
              <w:t>Post-Change-in-Control</w:t>
              <w:br/>
              <w:t>Compensation</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63" w:type="dxa"/>
            <w:gridSpan w:val="10"/>
            <w:tcBorders>
              <w:bottom w:val="single" w:sz="2" w:space="0" w:color="4B5088"/>
            </w:tcBorders>
            <w:tcMar>
              <w:bottom w:w="70" w:type="dxa"/>
            </w:tcMar>
            <w:vAlign w:val="center"/>
          </w:tcPr>
          <w:p>
            <w:pPr>
              <w:pStyle w:val="TableContents"/>
              <w:bidi w:val="0"/>
              <w:spacing w:lineRule="atLeast" w:line="180" w:before="0" w:after="0"/>
              <w:jc w:val="left"/>
              <w:rPr>
                <w:spacing w:val="-2"/>
              </w:rPr>
            </w:pPr>
            <w:r>
              <w:rPr>
                <w:spacing w:val="-2"/>
              </w:rPr>
              <w:t xml:space="preserve">Upon a Change-in-Control, for pro-rata payments, and while employed for periods following a Change-in-Control, in lieu of the base salary, annual bonus, and the equity awards described above, each executive will be entitled to the following: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66" w:type="dxa"/>
            <w:vMerge w:val="continue"/>
            <w:tcBorders>
              <w:bottom w:val="single" w:sz="2" w:space="0" w:color="4B5088"/>
            </w:tcBorders>
            <w:tcMar>
              <w:bottom w:w="7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2244" w:type="dxa"/>
            <w:gridSpan w:val="4"/>
            <w:tcBorders>
              <w:bottom w:val="single" w:sz="2" w:space="0" w:color="4B5088"/>
            </w:tcBorders>
            <w:tcMar>
              <w:bottom w:w="77" w:type="dxa"/>
            </w:tcMar>
            <w:vAlign w:val="center"/>
          </w:tcPr>
          <w:p>
            <w:pPr>
              <w:pStyle w:val="TableContents"/>
              <w:bidi w:val="0"/>
              <w:spacing w:lineRule="atLeast" w:line="180" w:before="0" w:after="0"/>
              <w:ind w:left="160" w:right="0" w:hanging="0"/>
              <w:jc w:val="left"/>
              <w:rPr/>
            </w:pPr>
            <w:r>
              <w:rPr>
                <w:spacing w:val="-2"/>
              </w:rPr>
              <w:t>Pro-rata bonus based on average annual bonus for prior two years and pro-rata portion of target value of annual time-based award for partial year prior to Change-in-Control</w:t>
            </w:r>
            <w:r>
              <w:rPr/>
              <w:t xml:space="preserve"> </w:t>
            </w:r>
            <w:r>
              <mc:AlternateContent>
                <mc:Choice Requires="wps">
                  <w:drawing>
                    <wp:anchor behindDoc="0" distT="0" distB="0" distL="0" distR="0" simplePos="0" locked="0" layoutInCell="1" allowOverlap="1" relativeHeight="815">
                      <wp:simplePos x="0" y="0"/>
                      <wp:positionH relativeFrom="column">
                        <wp:align>left</wp:align>
                      </wp:positionH>
                      <wp:positionV relativeFrom="line">
                        <wp:posOffset>635</wp:posOffset>
                      </wp:positionV>
                      <wp:extent cx="101600" cy="350520"/>
                      <wp:effectExtent l="0" t="0" r="0" b="0"/>
                      <wp:wrapSquare wrapText="right"/>
                      <wp:docPr id="897" name="Frame5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spacing w:val="-2"/>
              </w:rPr>
            </w:pPr>
            <w:r>
              <w:rPr>
                <w:spacing w:val="-2"/>
              </w:rPr>
              <w:t xml:space="preserve">Annual cash salary equal to the sum of prior base salary, prior year cash bonus and target value of annual time-based and performance-based equity awards </w:t>
            </w:r>
            <w:r>
              <mc:AlternateContent>
                <mc:Choice Requires="wps">
                  <w:drawing>
                    <wp:anchor behindDoc="0" distT="50800" distB="0" distL="0" distR="0" simplePos="0" locked="0" layoutInCell="1" allowOverlap="1" relativeHeight="816">
                      <wp:simplePos x="0" y="0"/>
                      <wp:positionH relativeFrom="column">
                        <wp:align>left</wp:align>
                      </wp:positionH>
                      <wp:positionV relativeFrom="line">
                        <wp:align>top</wp:align>
                      </wp:positionV>
                      <wp:extent cx="101600" cy="350520"/>
                      <wp:effectExtent l="0" t="0" r="0" b="0"/>
                      <wp:wrapSquare wrapText="right"/>
                      <wp:docPr id="898" name="Frame5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01" w:type="dxa"/>
            <w:gridSpan w:val="4"/>
            <w:tcBorders>
              <w:bottom w:val="single" w:sz="2" w:space="0" w:color="4B5088"/>
            </w:tcBorders>
            <w:tcMar>
              <w:bottom w:w="77" w:type="dxa"/>
            </w:tcMar>
            <w:vAlign w:val="center"/>
          </w:tcPr>
          <w:p>
            <w:pPr>
              <w:pStyle w:val="TableContents"/>
              <w:bidi w:val="0"/>
              <w:spacing w:lineRule="atLeast" w:line="180" w:before="0" w:after="0"/>
              <w:ind w:left="160" w:right="0" w:hanging="0"/>
              <w:jc w:val="left"/>
              <w:rPr/>
            </w:pPr>
            <w:r>
              <w:rPr>
                <w:spacing w:val="-2"/>
              </w:rPr>
              <w:t>Pro-rata bonus for partial year prior to Change-in-Control based on average annual bonus for prior two years (Levine) or prior three years (DiLiberto)</w:t>
            </w:r>
            <w:r>
              <w:rPr/>
              <w:t xml:space="preserve"> </w:t>
            </w:r>
            <w:r>
              <mc:AlternateContent>
                <mc:Choice Requires="wps">
                  <w:drawing>
                    <wp:anchor behindDoc="0" distT="0" distB="0" distL="0" distR="0" simplePos="0" locked="0" layoutInCell="1" allowOverlap="1" relativeHeight="817">
                      <wp:simplePos x="0" y="0"/>
                      <wp:positionH relativeFrom="column">
                        <wp:align>left</wp:align>
                      </wp:positionH>
                      <wp:positionV relativeFrom="line">
                        <wp:posOffset>635</wp:posOffset>
                      </wp:positionV>
                      <wp:extent cx="101600" cy="350520"/>
                      <wp:effectExtent l="0" t="0" r="0" b="0"/>
                      <wp:wrapSquare wrapText="right"/>
                      <wp:docPr id="899" name="Frame5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80" w:after="0"/>
              <w:ind w:left="160" w:right="0" w:hanging="0"/>
              <w:jc w:val="left"/>
              <w:rPr>
                <w:spacing w:val="-2"/>
              </w:rPr>
            </w:pPr>
            <w:r>
              <w:rPr>
                <w:spacing w:val="-2"/>
              </w:rPr>
              <w:t xml:space="preserve">Annual cash salary equal to the sum of prior base salary, prior year cash bonus (or average of three prior fiscal year cash bonuses, for DiLiberto) and, beginning in the year following the most recent grant of a time-based equity award, target value of annual time-based equity awards </w:t>
            </w:r>
            <w:r>
              <mc:AlternateContent>
                <mc:Choice Requires="wps">
                  <w:drawing>
                    <wp:anchor behindDoc="0" distT="50800" distB="0" distL="0" distR="0" simplePos="0" locked="0" layoutInCell="1" allowOverlap="1" relativeHeight="818">
                      <wp:simplePos x="0" y="0"/>
                      <wp:positionH relativeFrom="column">
                        <wp:align>left</wp:align>
                      </wp:positionH>
                      <wp:positionV relativeFrom="line">
                        <wp:align>top</wp:align>
                      </wp:positionV>
                      <wp:extent cx="101600" cy="350520"/>
                      <wp:effectExtent l="0" t="0" r="0" b="0"/>
                      <wp:wrapSquare wrapText="right"/>
                      <wp:docPr id="900" name="Frame5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66" w:type="dxa"/>
            <w:vMerge w:val="restart"/>
            <w:tcBorders>
              <w:bottom w:val="single" w:sz="2" w:space="0" w:color="1F2668"/>
            </w:tcBorders>
            <w:tcMar>
              <w:bottom w:w="76" w:type="dxa"/>
            </w:tcMar>
            <w:vAlign w:val="center"/>
          </w:tcPr>
          <w:p>
            <w:pPr>
              <w:pStyle w:val="TableContents"/>
              <w:bidi w:val="0"/>
              <w:spacing w:lineRule="atLeast" w:line="180" w:before="0" w:after="0"/>
              <w:jc w:val="left"/>
              <w:rPr>
                <w:b/>
              </w:rPr>
            </w:pPr>
            <w:r>
              <w:rPr>
                <w:b/>
              </w:rPr>
              <w:t>Restrictive Covenants</w:t>
            </w:r>
          </w:p>
        </w:tc>
        <w:tc>
          <w:tcPr>
            <w:tcW w:w="109" w:type="dxa"/>
            <w:vMerge w:val="restart"/>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63" w:type="dxa"/>
            <w:gridSpan w:val="10"/>
            <w:tcBorders>
              <w:bottom w:val="single" w:sz="2" w:space="0" w:color="4B5088"/>
            </w:tcBorders>
            <w:tcMar>
              <w:bottom w:w="76" w:type="dxa"/>
            </w:tcMar>
            <w:vAlign w:val="center"/>
          </w:tcPr>
          <w:p>
            <w:pPr>
              <w:pStyle w:val="TableContents"/>
              <w:bidi w:val="0"/>
              <w:spacing w:lineRule="atLeast" w:line="180" w:before="0" w:after="0"/>
              <w:jc w:val="left"/>
              <w:rPr>
                <w:color w:val="000000"/>
                <w:spacing w:val="-2"/>
              </w:rPr>
            </w:pPr>
            <w:r>
              <w:rPr>
                <w:color w:val="000000"/>
                <w:spacing w:val="-2"/>
              </w:rPr>
              <w:t xml:space="preserve">The executive agreed to the following covenants: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66" w:type="dxa"/>
            <w:vMerge w:val="continue"/>
            <w:tcBorders>
              <w:bottom w:val="single" w:sz="2" w:space="0" w:color="1F2668"/>
            </w:tcBorders>
            <w:tcMar>
              <w:bottom w:w="76" w:type="dxa"/>
            </w:tcMar>
            <w:vAlign w:val="center"/>
          </w:tcPr>
          <w:p>
            <w:pPr>
              <w:pStyle w:val="Normal"/>
              <w:bidi w:val="0"/>
              <w:jc w:val="left"/>
              <w:rPr/>
            </w:pPr>
            <w:r>
              <w:rPr/>
            </w:r>
          </w:p>
        </w:tc>
        <w:tc>
          <w:tcPr>
            <w:tcW w:w="109" w:type="dxa"/>
            <w:vMerge w:val="continue"/>
            <w:tcBorders>
              <w:bottom w:val="single" w:sz="12" w:space="0" w:color="FFFFFF"/>
            </w:tcBorders>
            <w:vAlign w:val="center"/>
          </w:tcPr>
          <w:p>
            <w:pPr>
              <w:pStyle w:val="Normal"/>
              <w:bidi w:val="0"/>
              <w:jc w:val="left"/>
              <w:rPr/>
            </w:pPr>
            <w:r>
              <w:rPr/>
            </w:r>
          </w:p>
        </w:tc>
        <w:tc>
          <w:tcPr>
            <w:tcW w:w="109" w:type="dxa"/>
            <w:tcBorders>
              <w:bottom w:val="single" w:sz="12" w:space="0" w:color="FFFFFF"/>
            </w:tcBorders>
            <w:vAlign w:val="center"/>
          </w:tcPr>
          <w:p>
            <w:pPr>
              <w:pStyle w:val="TableContents"/>
              <w:bidi w:val="0"/>
              <w:spacing w:before="0" w:after="283"/>
              <w:jc w:val="left"/>
              <w:rPr/>
            </w:pPr>
            <w:r>
              <w:rPr/>
              <w:t>​</w:t>
            </w:r>
          </w:p>
        </w:tc>
        <w:tc>
          <w:tcPr>
            <w:tcW w:w="2244" w:type="dxa"/>
            <w:gridSpan w:val="4"/>
            <w:tcBorders>
              <w:bottom w:val="single" w:sz="2" w:space="0" w:color="1F2668"/>
            </w:tcBorders>
            <w:tcMar>
              <w:bottom w:w="76" w:type="dxa"/>
            </w:tcMar>
            <w:vAlign w:val="center"/>
          </w:tcPr>
          <w:p>
            <w:pPr>
              <w:pStyle w:val="TableContents"/>
              <w:bidi w:val="0"/>
              <w:spacing w:lineRule="atLeast" w:line="180" w:before="0" w:after="0"/>
              <w:jc w:val="left"/>
              <w:rPr>
                <w:spacing w:val="-2"/>
              </w:rPr>
            </w:pPr>
            <w:r>
              <w:rPr>
                <w:spacing w:val="-2"/>
              </w:rPr>
              <w:t xml:space="preserve">Noncompetition with us for 12 months following termination (6 months if employment is terminated in connection with or within 18 months after a Change-in-Control). Non-solicitation, non-disparagement, non-interference and litigation cooperation covenants also apply.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75" w:type="dxa"/>
            <w:tcBorders>
              <w:bottom w:val="single" w:sz="2" w:space="0" w:color="1F2668"/>
            </w:tcBorders>
            <w:tcMar>
              <w:bottom w:w="70" w:type="dxa"/>
            </w:tcMar>
            <w:vAlign w:val="center"/>
          </w:tcPr>
          <w:p>
            <w:pPr>
              <w:pStyle w:val="TableContents"/>
              <w:bidi w:val="0"/>
              <w:spacing w:lineRule="atLeast" w:line="180" w:before="0" w:after="0"/>
              <w:jc w:val="left"/>
              <w:rPr>
                <w:spacing w:val="-2"/>
              </w:rPr>
            </w:pPr>
            <w:r>
              <w:rPr>
                <w:spacing w:val="-2"/>
              </w:rPr>
              <w:t xml:space="preserve">Noncompetition with us for 6 months after termination, including upon non-renewal of the agreement, provided that if termination occurs upon or following the term, entitled to receive 6 months of salary and bonus. Non-solicitation, non-disparagement, non-interference and litigation cooperation covenants also apply.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08" w:type="dxa"/>
            <w:tcBorders>
              <w:bottom w:val="single" w:sz="2" w:space="0" w:color="1F2668"/>
            </w:tcBorders>
            <w:tcMar>
              <w:bottom w:w="70" w:type="dxa"/>
            </w:tcMar>
            <w:vAlign w:val="center"/>
          </w:tcPr>
          <w:p>
            <w:pPr>
              <w:pStyle w:val="TableContents"/>
              <w:bidi w:val="0"/>
              <w:spacing w:lineRule="atLeast" w:line="180" w:before="0" w:after="0"/>
              <w:jc w:val="left"/>
              <w:rPr/>
            </w:pPr>
            <w:r>
              <w:rPr>
                <w:spacing w:val="-2"/>
              </w:rPr>
              <w:t>Noncompetition with us for 6 months after termination unless employment is terminated upon non-renewal of the agreement. Non-solicitation, non-disparagement, non-interference and litigation cooperation covenants also apply.</w:t>
            </w:r>
            <w:r>
              <w:rPr/>
              <w:t xml:space="preserve"> </w:t>
            </w:r>
          </w:p>
        </w:tc>
        <w:tc>
          <w:tcPr>
            <w:tcW w:w="158" w:type="dxa"/>
            <w:tcBorders>
              <w:bottom w:val="single" w:sz="12" w:space="0" w:color="FFFFFF"/>
            </w:tcBorders>
            <w:vAlign w:val="center"/>
          </w:tcPr>
          <w:p>
            <w:pPr>
              <w:pStyle w:val="TableContents"/>
              <w:bidi w:val="0"/>
              <w:spacing w:before="0" w:after="283"/>
              <w:jc w:val="left"/>
              <w:rPr/>
            </w:pPr>
            <w:r>
              <w:rPr/>
              <w:t>​</w:t>
            </w:r>
          </w:p>
        </w:tc>
      </w:tr>
      <w:tr>
        <w:trPr/>
        <w:tc>
          <w:tcPr>
            <w:tcW w:w="9305" w:type="dxa"/>
            <w:gridSpan w:val="14"/>
            <w:tcBorders/>
            <w:tcMar>
              <w:bottom w:w="0"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2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 xml:space="preserve">The terms automatically renew for one year for Messrs. Holliday and Mathias, unless either party provides advance written notice of </w:t>
        <w:br/>
        <w:t>non-renewal.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0" distB="0" distL="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901"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Messrs. Holliday, Mathias and DiLiberto are eligible to participate in an annual formulaic bonus program pursuant to which they will be able to earn from 50-300% (Holliday) and 50-250% (Mathias and DiLiberto) of their base salary based on the achievement of specific goals established in advance by the Committee. For Mr. DiLiberto, this formulaic component represents 60% of his total bonus opportunity, with the remaining 40% to be determined by the Committee. Mr. Levine may be awarded a bonus in an amount determined by the Committee. Bonuses may be paid in equity or cash.</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902" name="Frame5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Each of Messrs. Holliday and Mathias are entitled to receive annual awards of performance-based LTIP units with the target values set forth in the table above. See “Executive Compensation—Compensation Discussion and Analysis—Our 2023 Executive Compensation Program” for details regarding the structure of these awards for 2023. A summary of the terms applicable to these awards in connection with a termination of the executive’s employment is set forth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903" name="Frame5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Each executive is eligible to receive an annual grant of LTIP units subject to time-based vesting conditions. See “Executive Compensation—Compensation Discussion and Analysis—Our 2023 Executive Compensation Program” for details regarding the structure of these awards for 2023. A summary of the terms applicable to these awards in connection with a termination of the executive’s employment is set forth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904" name="Frame5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Performance-based equity awards will be treated in accordance with their terms. See table below for relevant terms to be included in performance-based LTIP units granted pursuant to the employment agreements.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905" name="Frame5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906"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terms Cause, Good Reason and Change-in-Control, as used above, are specifically defined in each executive’s employment agreement. For Messrs. Holliday and Mathias, the term Cause is defined to include a non-renewal of the term of the employment agreement, provided that the cash severance multiple in such instance would be 1.0x instead of 2.0x for Mr. Holliday and 1.5x for Mr. Mathias. The summary above is qualified in its entirety by reference to the copies of the employment agreements with our named executive officers, which have been previously filed by us with the SEC, and are incorporated herein by reference.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Performance-Based Equity Awards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table below summarizes the treatment of our annual performance-based equity awards, including those granted in 2022 and 2023 that were outstanding at December 31, 2023 (the “Annual Performance-Based Awards”), in connection with a change-in-control and various hypothetical termination scenarios for our named executive officers.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1151"/>
        <w:gridCol w:w="109"/>
        <w:gridCol w:w="109"/>
        <w:gridCol w:w="2397"/>
        <w:gridCol w:w="109"/>
        <w:gridCol w:w="109"/>
        <w:gridCol w:w="2450"/>
        <w:gridCol w:w="109"/>
        <w:gridCol w:w="109"/>
        <w:gridCol w:w="2497"/>
        <w:gridCol w:w="156"/>
      </w:tblGrid>
      <w:tr>
        <w:trPr/>
        <w:tc>
          <w:tcPr>
            <w:tcW w:w="9149" w:type="dxa"/>
            <w:gridSpan w:val="10"/>
            <w:tcBorders>
              <w:bottom w:val="single" w:sz="2" w:space="0" w:color="1F2668"/>
            </w:tcBorders>
            <w:vAlign w:val="center"/>
          </w:tcPr>
          <w:p>
            <w:pPr>
              <w:pStyle w:val="TableContents"/>
              <w:bidi w:val="0"/>
              <w:spacing w:before="0" w:after="0"/>
              <w:jc w:val="center"/>
              <w:rPr>
                <w:spacing w:val="2"/>
              </w:rPr>
            </w:pPr>
            <w:r>
              <w:rPr>
                <w:spacing w:val="2"/>
              </w:rPr>
              <w:t xml:space="preserve">Annual Performance-Based Awards </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r>
      <w:tr>
        <w:trPr/>
        <w:tc>
          <w:tcPr>
            <w:tcW w:w="1151" w:type="dxa"/>
            <w:tcBorders>
              <w:bottom w:val="single" w:sz="2" w:space="0" w:color="1F2668"/>
            </w:tcBorders>
            <w:tcMar>
              <w:bottom w:w="43"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397" w:type="dxa"/>
            <w:tcBorders>
              <w:bottom w:val="single" w:sz="2" w:space="0" w:color="1F2668"/>
            </w:tcBorders>
            <w:tcMar>
              <w:bottom w:w="43" w:type="dxa"/>
            </w:tcMar>
            <w:vAlign w:val="center"/>
          </w:tcPr>
          <w:p>
            <w:pPr>
              <w:pStyle w:val="TableContents"/>
              <w:bidi w:val="0"/>
              <w:spacing w:before="0" w:after="0"/>
              <w:jc w:val="left"/>
              <w:rPr>
                <w:spacing w:val="2"/>
              </w:rPr>
            </w:pPr>
            <w:r>
              <w:rPr>
                <w:spacing w:val="2"/>
              </w:rPr>
              <w:t xml:space="preserve">Change-in-Control (“CiC”)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450" w:type="dxa"/>
            <w:tcBorders>
              <w:bottom w:val="single" w:sz="2" w:space="0" w:color="1F2668"/>
            </w:tcBorders>
            <w:tcMar>
              <w:bottom w:w="43" w:type="dxa"/>
            </w:tcMar>
            <w:vAlign w:val="center"/>
          </w:tcPr>
          <w:p>
            <w:pPr>
              <w:pStyle w:val="TableContents"/>
              <w:bidi w:val="0"/>
              <w:spacing w:lineRule="atLeast" w:line="142" w:before="0" w:after="283"/>
              <w:jc w:val="left"/>
              <w:rPr/>
            </w:pPr>
            <w:r>
              <w:rPr>
                <w:spacing w:val="2"/>
              </w:rPr>
              <w:t xml:space="preserve">Change-in-Control &amp; Termination </w:t>
              <w:br/>
              <w:t xml:space="preserve">Without Cause or For Good </w:t>
              <w:br/>
              <w:t>Reason</w:t>
            </w:r>
            <w:r>
              <w:rPr>
                <w:spacing w:val="1"/>
                <w:sz w:val="10"/>
              </w:rPr>
              <w:t>(1)</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497" w:type="dxa"/>
            <w:tcBorders>
              <w:bottom w:val="single" w:sz="2" w:space="0" w:color="1F2668"/>
            </w:tcBorders>
            <w:tcMar>
              <w:bottom w:w="43" w:type="dxa"/>
            </w:tcMar>
            <w:vAlign w:val="center"/>
          </w:tcPr>
          <w:p>
            <w:pPr>
              <w:pStyle w:val="TableContents"/>
              <w:bidi w:val="0"/>
              <w:spacing w:lineRule="atLeast" w:line="142" w:before="0" w:after="283"/>
              <w:jc w:val="left"/>
              <w:rPr/>
            </w:pPr>
            <w:r>
              <w:rPr>
                <w:spacing w:val="2"/>
              </w:rPr>
              <w:t xml:space="preserve">Death/Disability &amp; Termination </w:t>
              <w:br/>
              <w:t xml:space="preserve">Without Cause or For Good </w:t>
              <w:br/>
              <w:t>Reason</w:t>
            </w:r>
            <w:r>
              <w:rPr>
                <w:spacing w:val="1"/>
                <w:sz w:val="10"/>
              </w:rPr>
              <w:t>(1)</w:t>
            </w:r>
            <w:r>
              <w:rPr/>
              <w:t xml:space="preserve"> </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r>
      <w:tr>
        <w:trPr/>
        <w:tc>
          <w:tcPr>
            <w:tcW w:w="1151" w:type="dxa"/>
            <w:tcBorders>
              <w:bottom w:val="single" w:sz="2" w:space="0" w:color="4B5088"/>
            </w:tcBorders>
            <w:tcMar>
              <w:bottom w:w="28" w:type="dxa"/>
            </w:tcMar>
            <w:vAlign w:val="center"/>
          </w:tcPr>
          <w:p>
            <w:pPr>
              <w:pStyle w:val="TableContents"/>
              <w:bidi w:val="0"/>
              <w:spacing w:before="0" w:after="0"/>
              <w:jc w:val="left"/>
              <w:rPr>
                <w:b/>
                <w:color w:val="1F2668"/>
              </w:rPr>
            </w:pPr>
            <w:r>
              <w:rPr>
                <w:b/>
                <w:color w:val="1F2668"/>
              </w:rPr>
              <w:t>Holliday /​</w:t>
              <w:br/>
              <w:t>Mathias</w:t>
              <w:br/>
              <w:t>Awards</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397" w:type="dxa"/>
            <w:tcBorders>
              <w:bottom w:val="single" w:sz="2" w:space="0" w:color="4B5088"/>
            </w:tcBorders>
            <w:tcMar>
              <w:bottom w:w="37" w:type="dxa"/>
            </w:tcMar>
            <w:vAlign w:val="center"/>
          </w:tcPr>
          <w:p>
            <w:pPr>
              <w:pStyle w:val="TableContents"/>
              <w:bidi w:val="0"/>
              <w:spacing w:lineRule="atLeast" w:line="220" w:before="0" w:after="0"/>
              <w:ind w:left="180" w:right="0" w:hanging="0"/>
              <w:jc w:val="left"/>
              <w:rPr/>
            </w:pPr>
            <w:r>
              <w:rPr>
                <w:spacing w:val="-2"/>
              </w:rPr>
              <w:t>If one-year performance period ends early, Operational Component deemed achieved at target, subject to Absolute TSR modifier</w:t>
            </w:r>
            <w:r>
              <w:rPr/>
              <w:t xml:space="preserve"> </w:t>
            </w:r>
            <w:r>
              <mc:AlternateContent>
                <mc:Choice Requires="wps">
                  <w:drawing>
                    <wp:anchor behindDoc="0" distT="0" distB="0" distL="0" distR="0" simplePos="0" locked="0" layoutInCell="1" allowOverlap="1" relativeHeight="825">
                      <wp:simplePos x="0" y="0"/>
                      <wp:positionH relativeFrom="column">
                        <wp:align>left</wp:align>
                      </wp:positionH>
                      <wp:positionV relativeFrom="line">
                        <wp:posOffset>635</wp:posOffset>
                      </wp:positionV>
                      <wp:extent cx="114300" cy="350520"/>
                      <wp:effectExtent l="0" t="0" r="0" b="0"/>
                      <wp:wrapSquare wrapText="right"/>
                      <wp:docPr id="907" name="Frame5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Relative Component determined as of date of CiC</w:t>
            </w:r>
            <w:r>
              <w:rPr/>
              <w:t xml:space="preserve"> </w:t>
            </w:r>
            <w:r>
              <mc:AlternateContent>
                <mc:Choice Requires="wps">
                  <w:drawing>
                    <wp:anchor behindDoc="0" distT="63500" distB="0" distL="0" distR="0" simplePos="0" locked="0" layoutInCell="1" allowOverlap="1" relativeHeight="826">
                      <wp:simplePos x="0" y="0"/>
                      <wp:positionH relativeFrom="column">
                        <wp:align>left</wp:align>
                      </wp:positionH>
                      <wp:positionV relativeFrom="line">
                        <wp:align>top</wp:align>
                      </wp:positionV>
                      <wp:extent cx="114300" cy="350520"/>
                      <wp:effectExtent l="0" t="0" r="0" b="0"/>
                      <wp:wrapSquare wrapText="right"/>
                      <wp:docPr id="908" name="Frame5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Earned awards remain subject to time-based vesting </w:t>
            </w:r>
            <w:r>
              <mc:AlternateContent>
                <mc:Choice Requires="wps">
                  <w:drawing>
                    <wp:anchor behindDoc="0" distT="63500" distB="0" distL="0" distR="0" simplePos="0" locked="0" layoutInCell="1" allowOverlap="1" relativeHeight="827">
                      <wp:simplePos x="0" y="0"/>
                      <wp:positionH relativeFrom="column">
                        <wp:align>left</wp:align>
                      </wp:positionH>
                      <wp:positionV relativeFrom="line">
                        <wp:align>top</wp:align>
                      </wp:positionV>
                      <wp:extent cx="114300" cy="350520"/>
                      <wp:effectExtent l="0" t="0" r="0" b="0"/>
                      <wp:wrapSquare wrapText="right"/>
                      <wp:docPr id="909" name="Frame5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450" w:type="dxa"/>
            <w:tcBorders>
              <w:bottom w:val="single" w:sz="2" w:space="0" w:color="4B5088"/>
            </w:tcBorders>
            <w:tcMar>
              <w:bottom w:w="37" w:type="dxa"/>
            </w:tcMar>
            <w:vAlign w:val="center"/>
          </w:tcPr>
          <w:p>
            <w:pPr>
              <w:pStyle w:val="TableContents"/>
              <w:bidi w:val="0"/>
              <w:spacing w:lineRule="atLeast" w:line="220" w:before="0" w:after="0"/>
              <w:ind w:left="180" w:right="0" w:hanging="0"/>
              <w:jc w:val="left"/>
              <w:rPr/>
            </w:pPr>
            <w:r>
              <w:rPr>
                <w:spacing w:val="-2"/>
              </w:rPr>
              <w:t>If one-year performance period ends early, Operational Component deemed achieved at maximum (200%), subject to Absolute TSR modifier</w:t>
            </w:r>
            <w:r>
              <w:rPr/>
              <w:t xml:space="preserve"> </w:t>
            </w:r>
            <w:r>
              <mc:AlternateContent>
                <mc:Choice Requires="wps">
                  <w:drawing>
                    <wp:anchor behindDoc="0" distT="0" distB="0" distL="0" distR="0" simplePos="0" locked="0" layoutInCell="1" allowOverlap="1" relativeHeight="828">
                      <wp:simplePos x="0" y="0"/>
                      <wp:positionH relativeFrom="column">
                        <wp:align>left</wp:align>
                      </wp:positionH>
                      <wp:positionV relativeFrom="line">
                        <wp:posOffset>635</wp:posOffset>
                      </wp:positionV>
                      <wp:extent cx="114300" cy="350520"/>
                      <wp:effectExtent l="0" t="0" r="0" b="0"/>
                      <wp:wrapSquare wrapText="right"/>
                      <wp:docPr id="910" name="Frame5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Relative Component determined as of date of CiC</w:t>
            </w:r>
            <w:r>
              <w:rPr/>
              <w:t xml:space="preserve"> </w:t>
            </w:r>
            <w:r>
              <mc:AlternateContent>
                <mc:Choice Requires="wps">
                  <w:drawing>
                    <wp:anchor behindDoc="0" distT="63500" distB="0" distL="0" distR="0" simplePos="0" locked="0" layoutInCell="1" allowOverlap="1" relativeHeight="829">
                      <wp:simplePos x="0" y="0"/>
                      <wp:positionH relativeFrom="column">
                        <wp:align>left</wp:align>
                      </wp:positionH>
                      <wp:positionV relativeFrom="line">
                        <wp:align>top</wp:align>
                      </wp:positionV>
                      <wp:extent cx="114300" cy="350520"/>
                      <wp:effectExtent l="0" t="0" r="0" b="0"/>
                      <wp:wrapSquare wrapText="right"/>
                      <wp:docPr id="911" name="Frame5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Earned awards vest in full </w:t>
            </w:r>
            <w:r>
              <mc:AlternateContent>
                <mc:Choice Requires="wps">
                  <w:drawing>
                    <wp:anchor behindDoc="0" distT="63500" distB="0" distL="0" distR="0" simplePos="0" locked="0" layoutInCell="1" allowOverlap="1" relativeHeight="830">
                      <wp:simplePos x="0" y="0"/>
                      <wp:positionH relativeFrom="column">
                        <wp:align>left</wp:align>
                      </wp:positionH>
                      <wp:positionV relativeFrom="line">
                        <wp:align>top</wp:align>
                      </wp:positionV>
                      <wp:extent cx="114300" cy="350520"/>
                      <wp:effectExtent l="0" t="0" r="0" b="0"/>
                      <wp:wrapSquare wrapText="right"/>
                      <wp:docPr id="912" name="Frame5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497" w:type="dxa"/>
            <w:tcBorders>
              <w:bottom w:val="single" w:sz="2" w:space="0" w:color="4B5088"/>
            </w:tcBorders>
            <w:tcMar>
              <w:bottom w:w="37" w:type="dxa"/>
            </w:tcMar>
            <w:vAlign w:val="center"/>
          </w:tcPr>
          <w:p>
            <w:pPr>
              <w:pStyle w:val="TableContents"/>
              <w:bidi w:val="0"/>
              <w:spacing w:lineRule="atLeast" w:line="220" w:before="0" w:after="0"/>
              <w:ind w:left="180" w:right="0" w:hanging="0"/>
              <w:jc w:val="left"/>
              <w:rPr/>
            </w:pPr>
            <w:r>
              <w:rPr>
                <w:spacing w:val="-2"/>
              </w:rPr>
              <w:t>Performance calculated as of end of performance period</w:t>
            </w:r>
            <w:r>
              <w:rPr/>
              <w:t xml:space="preserve"> </w:t>
            </w:r>
            <w:r>
              <mc:AlternateContent>
                <mc:Choice Requires="wps">
                  <w:drawing>
                    <wp:anchor behindDoc="0" distT="0" distB="0" distL="0" distR="0" simplePos="0" locked="0" layoutInCell="1" allowOverlap="1" relativeHeight="831">
                      <wp:simplePos x="0" y="0"/>
                      <wp:positionH relativeFrom="column">
                        <wp:align>left</wp:align>
                      </wp:positionH>
                      <wp:positionV relativeFrom="line">
                        <wp:posOffset>635</wp:posOffset>
                      </wp:positionV>
                      <wp:extent cx="114300" cy="350520"/>
                      <wp:effectExtent l="0" t="0" r="0" b="0"/>
                      <wp:wrapSquare wrapText="right"/>
                      <wp:docPr id="913" name="Frame5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Earned awards fully vested </w:t>
            </w:r>
            <w:r>
              <mc:AlternateContent>
                <mc:Choice Requires="wps">
                  <w:drawing>
                    <wp:anchor behindDoc="0" distT="63500" distB="0" distL="0" distR="0" simplePos="0" locked="0" layoutInCell="1" allowOverlap="1" relativeHeight="832">
                      <wp:simplePos x="0" y="0"/>
                      <wp:positionH relativeFrom="column">
                        <wp:align>left</wp:align>
                      </wp:positionH>
                      <wp:positionV relativeFrom="line">
                        <wp:align>top</wp:align>
                      </wp:positionV>
                      <wp:extent cx="114300" cy="350520"/>
                      <wp:effectExtent l="0" t="0" r="0" b="0"/>
                      <wp:wrapSquare wrapText="right"/>
                      <wp:docPr id="914" name="Frame5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4B5088"/>
            </w:tcBorders>
            <w:tcMar>
              <w:bottom w:w="28" w:type="dxa"/>
            </w:tcMar>
            <w:vAlign w:val="center"/>
          </w:tcPr>
          <w:p>
            <w:pPr>
              <w:pStyle w:val="TableContents"/>
              <w:bidi w:val="0"/>
              <w:spacing w:before="0" w:after="283"/>
              <w:jc w:val="left"/>
              <w:rPr/>
            </w:pPr>
            <w:r>
              <w:rPr/>
              <w:t>​</w:t>
            </w:r>
          </w:p>
        </w:tc>
      </w:tr>
      <w:tr>
        <w:trPr/>
        <w:tc>
          <w:tcPr>
            <w:tcW w:w="1151" w:type="dxa"/>
            <w:tcBorders>
              <w:bottom w:val="single" w:sz="2" w:space="0" w:color="1F2668"/>
            </w:tcBorders>
            <w:tcMar>
              <w:bottom w:w="28" w:type="dxa"/>
            </w:tcMar>
            <w:vAlign w:val="center"/>
          </w:tcPr>
          <w:p>
            <w:pPr>
              <w:pStyle w:val="TableContents"/>
              <w:bidi w:val="0"/>
              <w:spacing w:before="0" w:after="0"/>
              <w:jc w:val="left"/>
              <w:rPr>
                <w:b/>
                <w:color w:val="1F2668"/>
              </w:rPr>
            </w:pPr>
            <w:r>
              <w:rPr>
                <w:b/>
                <w:color w:val="1F2668"/>
              </w:rPr>
              <w:t>DiLiberto /​</w:t>
              <w:br/>
              <w:t>Levine Awards</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397" w:type="dxa"/>
            <w:tcBorders>
              <w:bottom w:val="single" w:sz="2" w:space="0" w:color="1F2668"/>
            </w:tcBorders>
            <w:tcMar>
              <w:bottom w:w="37" w:type="dxa"/>
            </w:tcMar>
            <w:vAlign w:val="center"/>
          </w:tcPr>
          <w:p>
            <w:pPr>
              <w:pStyle w:val="TableContents"/>
              <w:bidi w:val="0"/>
              <w:spacing w:lineRule="atLeast" w:line="220" w:before="0" w:after="0"/>
              <w:ind w:left="180" w:right="0" w:hanging="0"/>
              <w:jc w:val="left"/>
              <w:rPr/>
            </w:pPr>
            <w:r>
              <w:rPr>
                <w:spacing w:val="-2"/>
              </w:rPr>
              <w:t>If one-year performance period ends early, Operational Component deemed achieved at target, subject to Absolute TSR modifier</w:t>
            </w:r>
            <w:r>
              <w:rPr/>
              <w:t xml:space="preserve"> </w:t>
            </w:r>
            <w:r>
              <mc:AlternateContent>
                <mc:Choice Requires="wps">
                  <w:drawing>
                    <wp:anchor behindDoc="0" distT="0" distB="0" distL="0" distR="0" simplePos="0" locked="0" layoutInCell="1" allowOverlap="1" relativeHeight="833">
                      <wp:simplePos x="0" y="0"/>
                      <wp:positionH relativeFrom="column">
                        <wp:align>left</wp:align>
                      </wp:positionH>
                      <wp:positionV relativeFrom="line">
                        <wp:posOffset>635</wp:posOffset>
                      </wp:positionV>
                      <wp:extent cx="114300" cy="350520"/>
                      <wp:effectExtent l="0" t="0" r="0" b="0"/>
                      <wp:wrapSquare wrapText="right"/>
                      <wp:docPr id="915" name="Frame5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Relative Component determined as of date of CiC</w:t>
            </w:r>
            <w:r>
              <w:rPr/>
              <w:t xml:space="preserve"> </w:t>
            </w:r>
            <w:r>
              <mc:AlternateContent>
                <mc:Choice Requires="wps">
                  <w:drawing>
                    <wp:anchor behindDoc="0" distT="63500" distB="0" distL="0" distR="0" simplePos="0" locked="0" layoutInCell="1" allowOverlap="1" relativeHeight="834">
                      <wp:simplePos x="0" y="0"/>
                      <wp:positionH relativeFrom="column">
                        <wp:align>left</wp:align>
                      </wp:positionH>
                      <wp:positionV relativeFrom="line">
                        <wp:align>top</wp:align>
                      </wp:positionV>
                      <wp:extent cx="114300" cy="350520"/>
                      <wp:effectExtent l="0" t="0" r="0" b="0"/>
                      <wp:wrapSquare wrapText="right"/>
                      <wp:docPr id="916" name="Frame5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spacing w:val="-2"/>
              </w:rPr>
            </w:pPr>
            <w:r>
              <w:rPr>
                <w:spacing w:val="-2"/>
              </w:rPr>
              <w:t xml:space="preserve">Earned awards remain subject to time-based vesting </w:t>
            </w:r>
            <w:r>
              <mc:AlternateContent>
                <mc:Choice Requires="wps">
                  <w:drawing>
                    <wp:anchor behindDoc="0" distT="63500" distB="0" distL="0" distR="0" simplePos="0" locked="0" layoutInCell="1" allowOverlap="1" relativeHeight="835">
                      <wp:simplePos x="0" y="0"/>
                      <wp:positionH relativeFrom="column">
                        <wp:align>left</wp:align>
                      </wp:positionH>
                      <wp:positionV relativeFrom="line">
                        <wp:align>top</wp:align>
                      </wp:positionV>
                      <wp:extent cx="114300" cy="350520"/>
                      <wp:effectExtent l="0" t="0" r="0" b="0"/>
                      <wp:wrapSquare wrapText="right"/>
                      <wp:docPr id="917" name="Frame5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450" w:type="dxa"/>
            <w:tcBorders>
              <w:bottom w:val="single" w:sz="2" w:space="0" w:color="1F2668"/>
            </w:tcBorders>
            <w:tcMar>
              <w:bottom w:w="37" w:type="dxa"/>
            </w:tcMar>
            <w:vAlign w:val="center"/>
          </w:tcPr>
          <w:p>
            <w:pPr>
              <w:pStyle w:val="TableContents"/>
              <w:bidi w:val="0"/>
              <w:spacing w:lineRule="atLeast" w:line="220" w:before="0" w:after="0"/>
              <w:ind w:left="180" w:right="0" w:hanging="0"/>
              <w:jc w:val="left"/>
              <w:rPr/>
            </w:pPr>
            <w:r>
              <w:rPr>
                <w:spacing w:val="-2"/>
              </w:rPr>
              <w:t>If one-year performance period ends early, Operational Component deemed achieved at target, subject to Absolute TSR modifier</w:t>
            </w:r>
            <w:r>
              <w:rPr/>
              <w:t xml:space="preserve"> </w:t>
            </w:r>
            <w:r>
              <mc:AlternateContent>
                <mc:Choice Requires="wps">
                  <w:drawing>
                    <wp:anchor behindDoc="0" distT="0" distB="0" distL="0" distR="0" simplePos="0" locked="0" layoutInCell="1" allowOverlap="1" relativeHeight="836">
                      <wp:simplePos x="0" y="0"/>
                      <wp:positionH relativeFrom="column">
                        <wp:align>left</wp:align>
                      </wp:positionH>
                      <wp:positionV relativeFrom="line">
                        <wp:posOffset>635</wp:posOffset>
                      </wp:positionV>
                      <wp:extent cx="114300" cy="350520"/>
                      <wp:effectExtent l="0" t="0" r="0" b="0"/>
                      <wp:wrapSquare wrapText="right"/>
                      <wp:docPr id="918" name="Frame5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Relative Component determined as of date of CiC</w:t>
            </w:r>
            <w:r>
              <w:rPr/>
              <w:t xml:space="preserve"> </w:t>
            </w:r>
            <w:r>
              <mc:AlternateContent>
                <mc:Choice Requires="wps">
                  <w:drawing>
                    <wp:anchor behindDoc="0" distT="63500" distB="0" distL="0" distR="0" simplePos="0" locked="0" layoutInCell="1" allowOverlap="1" relativeHeight="837">
                      <wp:simplePos x="0" y="0"/>
                      <wp:positionH relativeFrom="column">
                        <wp:align>left</wp:align>
                      </wp:positionH>
                      <wp:positionV relativeFrom="line">
                        <wp:align>top</wp:align>
                      </wp:positionV>
                      <wp:extent cx="114300" cy="350520"/>
                      <wp:effectExtent l="0" t="0" r="0" b="0"/>
                      <wp:wrapSquare wrapText="right"/>
                      <wp:docPr id="919" name="Frame5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spacing w:val="-2"/>
              </w:rPr>
            </w:pPr>
            <w:r>
              <w:rPr>
                <w:spacing w:val="-2"/>
              </w:rPr>
              <w:t xml:space="preserve">Earned awards vest in full </w:t>
            </w:r>
            <w:r>
              <mc:AlternateContent>
                <mc:Choice Requires="wps">
                  <w:drawing>
                    <wp:anchor behindDoc="0" distT="63500" distB="0" distL="0" distR="0" simplePos="0" locked="0" layoutInCell="1" allowOverlap="1" relativeHeight="838">
                      <wp:simplePos x="0" y="0"/>
                      <wp:positionH relativeFrom="column">
                        <wp:align>left</wp:align>
                      </wp:positionH>
                      <wp:positionV relativeFrom="line">
                        <wp:align>top</wp:align>
                      </wp:positionV>
                      <wp:extent cx="114300" cy="350520"/>
                      <wp:effectExtent l="0" t="0" r="0" b="0"/>
                      <wp:wrapSquare wrapText="right"/>
                      <wp:docPr id="920" name="Frame5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497" w:type="dxa"/>
            <w:tcBorders>
              <w:bottom w:val="single" w:sz="2" w:space="0" w:color="1F2668"/>
            </w:tcBorders>
            <w:tcMar>
              <w:bottom w:w="37" w:type="dxa"/>
            </w:tcMar>
            <w:vAlign w:val="center"/>
          </w:tcPr>
          <w:p>
            <w:pPr>
              <w:pStyle w:val="TableContents"/>
              <w:bidi w:val="0"/>
              <w:spacing w:lineRule="atLeast" w:line="220" w:before="0" w:after="0"/>
              <w:ind w:left="180" w:right="0" w:hanging="0"/>
              <w:jc w:val="left"/>
              <w:rPr/>
            </w:pPr>
            <w:r>
              <w:rPr>
                <w:spacing w:val="-2"/>
              </w:rPr>
              <w:t>Performance calculated as of end of performance period</w:t>
            </w:r>
            <w:r>
              <w:rPr/>
              <w:t xml:space="preserve"> </w:t>
            </w:r>
            <w:r>
              <mc:AlternateContent>
                <mc:Choice Requires="wps">
                  <w:drawing>
                    <wp:anchor behindDoc="0" distT="0" distB="0" distL="0" distR="0" simplePos="0" locked="0" layoutInCell="1" allowOverlap="1" relativeHeight="839">
                      <wp:simplePos x="0" y="0"/>
                      <wp:positionH relativeFrom="column">
                        <wp:align>left</wp:align>
                      </wp:positionH>
                      <wp:positionV relativeFrom="line">
                        <wp:posOffset>635</wp:posOffset>
                      </wp:positionV>
                      <wp:extent cx="114300" cy="350520"/>
                      <wp:effectExtent l="0" t="0" r="0" b="0"/>
                      <wp:wrapSquare wrapText="right"/>
                      <wp:docPr id="921" name="Frame5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00" w:after="0"/>
              <w:ind w:left="180" w:right="0" w:hanging="0"/>
              <w:jc w:val="left"/>
              <w:rPr/>
            </w:pPr>
            <w:r>
              <w:rPr>
                <w:spacing w:val="-2"/>
              </w:rPr>
              <w:t>Earned awards fully vest, subject to proration such that no units vest if termination occurs during the first year, one-third vest if the termination occurs during the second year and two-thirds will vest if the termination occurs during the third year</w:t>
            </w:r>
            <w:r>
              <w:rPr/>
              <w:t xml:space="preserve"> </w:t>
            </w:r>
            <w:r>
              <mc:AlternateContent>
                <mc:Choice Requires="wps">
                  <w:drawing>
                    <wp:anchor behindDoc="0" distT="63500" distB="0" distL="0" distR="0" simplePos="0" locked="0" layoutInCell="1" allowOverlap="1" relativeHeight="840">
                      <wp:simplePos x="0" y="0"/>
                      <wp:positionH relativeFrom="column">
                        <wp:align>left</wp:align>
                      </wp:positionH>
                      <wp:positionV relativeFrom="line">
                        <wp:align>top</wp:align>
                      </wp:positionV>
                      <wp:extent cx="114300" cy="350520"/>
                      <wp:effectExtent l="0" t="0" r="0" b="0"/>
                      <wp:wrapSquare wrapText="right"/>
                      <wp:docPr id="922" name="Frame5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bottom w:val="single" w:sz="2" w:space="0" w:color="1F2668"/>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Accelerated vesting under the Annual Performance-Based Awards is generally subject to the effectiveness of a mutual release, except upon a termination as a result of death or in connection with or within 18 months after a change in control.</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841">
                <wp:simplePos x="0" y="0"/>
                <wp:positionH relativeFrom="column">
                  <wp:align>left</wp:align>
                </wp:positionH>
                <wp:positionV relativeFrom="line">
                  <wp:align>top</wp:align>
                </wp:positionV>
                <wp:extent cx="254000" cy="254000"/>
                <wp:effectExtent l="0" t="0" r="0" b="0"/>
                <wp:wrapSquare wrapText="right"/>
                <wp:docPr id="923" name="Frame54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Terms of Non-Renewal and Advisory Agreement</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October 2023, as previously disclosed, we provided a notice of non-renewal pursuant to the terms of the employment agreement we had with our former President, Mr. Mathias. Pursuant to the terms of the employment agreement and his outstanding equity award agreements, Mr. Mathias became entitled in January 2024 to the payments and benefits due as a result of such non-renewal that are summarized above, subject to a customary release of claims. In the aggregate, Mr. Mathias became entitled to (i) receive a cash payment of $12,081,610, (ii) the acceleration of 172,847 unvested time-based LTIP units having a value of $7,807,499 based on our closing stock price on the NYSE on December 31, 2023, (iii) the settlement of 38,273 deferred compensation units having a value of $1,773,800 based on the ten-day trailing average closing price of our common stock on the NYSE on December 31, 2023 and (iv) a medical and welfare benefit continuation amount of $94,198. In addition, Mr. Mathias did not forfeit his outstanding performance-based LTIP units, which may be earned and may become vested in the ordinary course based on our performance through the applicable performance periods. In connection with the end of this employment term, Mr. Mathias remains subject to the restrictive covenants set forth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To assist with an orderly transition of his responsibilities, we also entered into a consulting arrangement with Mr. Mathias, pursuant to which he will receive a fee of $8,333 per month in exchange for the provision of certain services at our request from January 1, 2024 through December 31, 2024, subject to successive one-year renewal periods. In addition, in connection with the consulting arrangement and his continuing service as a director, Mr. Mathias will be entitled to certain perquisites and benefits consistent with those he received while serving as an officer of the Company. This summary is qualified in its entirety by reference to the copy of the non-renewal and advisory agreement, which has been previously filed by us with the SEC, and is incorporated herein by reference.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Hypothetical Illustration of Payments upon Termination or Change in Control</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tables show the potential payments and estimated value of the benefits that our named executive officers, other than our former President, would have been entitled to receive upon a termination of their employment by us without cause or by them for good reason or upon the death or disability as of December 31, 2023.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Marc Holliday</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1734"/>
        <w:gridCol w:w="109"/>
        <w:gridCol w:w="109"/>
        <w:gridCol w:w="110"/>
        <w:gridCol w:w="229"/>
        <w:gridCol w:w="1203"/>
        <w:gridCol w:w="110"/>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57"/>
      </w:tblGrid>
      <w:tr>
        <w:trPr/>
        <w:tc>
          <w:tcPr>
            <w:tcW w:w="1734"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2"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1F2668"/>
            </w:tcBorders>
            <w:vAlign w:val="center"/>
          </w:tcPr>
          <w:p>
            <w:pPr>
              <w:pStyle w:val="TableContents"/>
              <w:bidi w:val="0"/>
              <w:spacing w:lineRule="atLeast" w:line="142" w:before="0" w:after="0"/>
              <w:jc w:val="right"/>
              <w:rPr/>
            </w:pPr>
            <w:r>
              <w:rPr>
                <w:spacing w:val="2"/>
              </w:rPr>
              <w:t>Death</w:t>
            </w:r>
            <w:r>
              <w:rPr>
                <w:spacing w:val="1"/>
                <w:sz w:val="10"/>
              </w:rPr>
              <w:t>(1)</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1203" w:type="dxa"/>
            <w:tcBorders>
              <w:bottom w:val="single" w:sz="2" w:space="0" w:color="4B5088"/>
            </w:tcBorders>
            <w:tcMar>
              <w:bottom w:w="70" w:type="dxa"/>
            </w:tcMar>
            <w:vAlign w:val="center"/>
          </w:tcPr>
          <w:p>
            <w:pPr>
              <w:pStyle w:val="TableContents"/>
              <w:bidi w:val="0"/>
              <w:spacing w:before="0" w:after="283"/>
              <w:jc w:val="right"/>
              <w:rPr/>
            </w:pPr>
            <w:r>
              <w:rPr/>
              <w:t>7,232,344</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7,232,344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7,232,344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7,232,344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1203" w:type="dxa"/>
            <w:tcBorders>
              <w:bottom w:val="single" w:sz="2" w:space="0" w:color="4B5088"/>
            </w:tcBorders>
            <w:tcMar>
              <w:bottom w:w="70" w:type="dxa"/>
            </w:tcMar>
            <w:vAlign w:val="center"/>
          </w:tcPr>
          <w:p>
            <w:pPr>
              <w:pStyle w:val="TableContents"/>
              <w:bidi w:val="0"/>
              <w:spacing w:before="0" w:after="283"/>
              <w:jc w:val="right"/>
              <w:rPr/>
            </w:pPr>
            <w:r>
              <w:rPr/>
              <w:t>19,000,000</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28,500,000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9,500,000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1203"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229" w:type="dxa"/>
            <w:tcBorders>
              <w:bottom w:val="single" w:sz="2" w:space="0" w:color="4B5088"/>
            </w:tcBorders>
            <w:tcMar>
              <w:bottom w:w="70" w:type="dxa"/>
            </w:tcMar>
            <w:vAlign w:val="center"/>
          </w:tcPr>
          <w:p>
            <w:pPr>
              <w:pStyle w:val="TableContents"/>
              <w:bidi w:val="0"/>
              <w:spacing w:before="0" w:after="283"/>
              <w:jc w:val="right"/>
              <w:rPr/>
            </w:pPr>
            <w:r>
              <w:rPr/>
              <w:t>$</w:t>
            </w:r>
          </w:p>
        </w:tc>
        <w:tc>
          <w:tcPr>
            <w:tcW w:w="1203" w:type="dxa"/>
            <w:tcBorders>
              <w:bottom w:val="single" w:sz="2" w:space="0" w:color="4B5088"/>
            </w:tcBorders>
            <w:tcMar>
              <w:bottom w:w="70" w:type="dxa"/>
            </w:tcMar>
            <w:vAlign w:val="center"/>
          </w:tcPr>
          <w:p>
            <w:pPr>
              <w:pStyle w:val="TableContents"/>
              <w:bidi w:val="0"/>
              <w:spacing w:before="0" w:after="283"/>
              <w:jc w:val="right"/>
              <w:rPr/>
            </w:pPr>
            <w:r>
              <w:rPr/>
              <w:t>16,768,007</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33,110,597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16,768,007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16,768,007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4"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229" w:type="dxa"/>
            <w:tcBorders>
              <w:bottom w:val="single" w:sz="2" w:space="0" w:color="1F2668"/>
            </w:tcBorders>
            <w:tcMar>
              <w:bottom w:w="70" w:type="dxa"/>
            </w:tcMar>
            <w:vAlign w:val="center"/>
          </w:tcPr>
          <w:p>
            <w:pPr>
              <w:pStyle w:val="TableContents"/>
              <w:bidi w:val="0"/>
              <w:spacing w:before="0" w:after="283"/>
              <w:jc w:val="right"/>
              <w:rPr/>
            </w:pPr>
            <w:r>
              <w:rPr/>
              <w:t>$</w:t>
            </w:r>
          </w:p>
        </w:tc>
        <w:tc>
          <w:tcPr>
            <w:tcW w:w="1203" w:type="dxa"/>
            <w:tcBorders>
              <w:bottom w:val="single" w:sz="2" w:space="0" w:color="1F2668"/>
            </w:tcBorders>
            <w:tcMar>
              <w:bottom w:w="70" w:type="dxa"/>
            </w:tcMar>
            <w:vAlign w:val="center"/>
          </w:tcPr>
          <w:p>
            <w:pPr>
              <w:pStyle w:val="TableContents"/>
              <w:bidi w:val="0"/>
              <w:spacing w:before="0" w:after="283"/>
              <w:jc w:val="right"/>
              <w:rPr/>
            </w:pPr>
            <w:r>
              <w:rPr/>
              <w:t>133,024</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199,535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199,535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0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Matthew J. DiLiberto</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2154"/>
        <w:gridCol w:w="109"/>
        <w:gridCol w:w="109"/>
        <w:gridCol w:w="114"/>
        <w:gridCol w:w="238"/>
        <w:gridCol w:w="1125"/>
        <w:gridCol w:w="11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8"/>
      </w:tblGrid>
      <w:tr>
        <w:trPr/>
        <w:tc>
          <w:tcPr>
            <w:tcW w:w="2154"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1"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Death</w:t>
            </w:r>
            <w:r>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1,670,000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1,670,000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1,670,000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1,670,000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5,070,000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7,340,000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3,670,000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1,400,000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2,536,747</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4,385,633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2,536,747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2,536,747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8" w:type="dxa"/>
            <w:tcBorders>
              <w:bottom w:val="single" w:sz="2" w:space="0" w:color="1F2668"/>
            </w:tcBorders>
            <w:tcMar>
              <w:bottom w:w="70" w:type="dxa"/>
            </w:tcMar>
            <w:vAlign w:val="center"/>
          </w:tcPr>
          <w:p>
            <w:pPr>
              <w:pStyle w:val="TableContents"/>
              <w:bidi w:val="0"/>
              <w:spacing w:before="0" w:after="283"/>
              <w:jc w:val="right"/>
              <w:rPr/>
            </w:pPr>
            <w:r>
              <w:rPr/>
              <w:t>$</w:t>
            </w:r>
          </w:p>
        </w:tc>
        <w:tc>
          <w:tcPr>
            <w:tcW w:w="1125" w:type="dxa"/>
            <w:tcBorders>
              <w:bottom w:val="single" w:sz="2" w:space="0" w:color="1F2668"/>
            </w:tcBorders>
            <w:tcMar>
              <w:bottom w:w="70" w:type="dxa"/>
            </w:tcMar>
            <w:vAlign w:val="center"/>
          </w:tcPr>
          <w:p>
            <w:pPr>
              <w:pStyle w:val="TableContents"/>
              <w:bidi w:val="0"/>
              <w:spacing w:before="0" w:after="283"/>
              <w:jc w:val="right"/>
              <w:rPr/>
            </w:pPr>
            <w:r>
              <w:rPr/>
              <w:t>47,227</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94,454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141,681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20" w:after="283"/>
        <w:ind w:left="90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Andrew S. Levine</w:t>
      </w:r>
      <w:r>
        <w:rPr>
          <w:rFonts w:ascii="Arial;Helvetica;sans-serif" w:hAnsi="Arial;Helvetica;sans-serif"/>
          <w:b/>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2154"/>
        <w:gridCol w:w="109"/>
        <w:gridCol w:w="109"/>
        <w:gridCol w:w="114"/>
        <w:gridCol w:w="238"/>
        <w:gridCol w:w="1125"/>
        <w:gridCol w:w="11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8"/>
      </w:tblGrid>
      <w:tr>
        <w:trPr/>
        <w:tc>
          <w:tcPr>
            <w:tcW w:w="2154" w:type="dxa"/>
            <w:tcBorders>
              <w:bottom w:val="single" w:sz="2" w:space="0" w:color="1F2668"/>
            </w:tcBorders>
            <w:vAlign w:val="center"/>
          </w:tcPr>
          <w:p>
            <w:pPr>
              <w:pStyle w:val="TableContents"/>
              <w:bidi w:val="0"/>
              <w:spacing w:before="0" w:after="0"/>
              <w:jc w:val="left"/>
              <w:rPr>
                <w:spacing w:val="2"/>
              </w:rPr>
            </w:pPr>
            <w:r>
              <w:rPr>
                <w:spacing w:val="2"/>
              </w:rPr>
              <w:t xml:space="preserve">Payment/Benefit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1"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without Cause or </w:t>
              <w:br/>
              <w:t>for Good Reason</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 xml:space="preserve">Termination </w:t>
              <w:br/>
              <w:t xml:space="preserve">w/ Change in </w:t>
              <w:br/>
              <w:t>Control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Disability</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1F2668"/>
            </w:tcBorders>
            <w:vAlign w:val="center"/>
          </w:tcPr>
          <w:p>
            <w:pPr>
              <w:pStyle w:val="TableContents"/>
              <w:bidi w:val="0"/>
              <w:spacing w:before="0" w:after="0"/>
              <w:jc w:val="right"/>
              <w:rPr/>
            </w:pPr>
            <w:r>
              <w:rPr>
                <w:spacing w:val="2"/>
              </w:rPr>
              <w:t>Death</w:t>
            </w:r>
            <w:r>
              <w:rP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Pro-Rata Bonus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1,062,500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1,062,500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1,062,500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1,062,500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Cash Severance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2,942,500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4,585,000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2,942,500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1,300,000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pPr>
            <w:r>
              <w:rPr>
                <w:spacing w:val="-2"/>
              </w:rPr>
              <w:t>Stock Option / Class O LTIP Unit Vesting</w:t>
            </w:r>
            <w:r>
              <w:rPr>
                <w:spacing w:val="-1"/>
                <w:sz w:val="11"/>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4B5088"/>
            </w:tcBorders>
            <w:tcMar>
              <w:bottom w:w="70" w:type="dxa"/>
            </w:tcMar>
            <w:vAlign w:val="center"/>
          </w:tcPr>
          <w:p>
            <w:pPr>
              <w:pStyle w:val="TableContents"/>
              <w:bidi w:val="0"/>
              <w:spacing w:before="0" w:after="283"/>
              <w:jc w:val="left"/>
              <w:rPr/>
            </w:pPr>
            <w:r>
              <w:rPr>
                <w:spacing w:val="-2"/>
              </w:rPr>
              <w:t>LTIP Unit / Stock Unit Vesting</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238" w:type="dxa"/>
            <w:tcBorders>
              <w:bottom w:val="single" w:sz="2" w:space="0" w:color="4B5088"/>
            </w:tcBorders>
            <w:tcMar>
              <w:bottom w:w="70" w:type="dxa"/>
            </w:tcMar>
            <w:vAlign w:val="center"/>
          </w:tcPr>
          <w:p>
            <w:pPr>
              <w:pStyle w:val="TableContents"/>
              <w:bidi w:val="0"/>
              <w:spacing w:before="0" w:after="283"/>
              <w:jc w:val="right"/>
              <w:rPr/>
            </w:pPr>
            <w:r>
              <w:rPr/>
              <w:t>$</w:t>
            </w:r>
          </w:p>
        </w:tc>
        <w:tc>
          <w:tcPr>
            <w:tcW w:w="1125" w:type="dxa"/>
            <w:tcBorders>
              <w:bottom w:val="single" w:sz="2" w:space="0" w:color="4B5088"/>
            </w:tcBorders>
            <w:tcMar>
              <w:bottom w:w="70" w:type="dxa"/>
            </w:tcMar>
            <w:vAlign w:val="center"/>
          </w:tcPr>
          <w:p>
            <w:pPr>
              <w:pStyle w:val="TableContents"/>
              <w:bidi w:val="0"/>
              <w:spacing w:before="0" w:after="283"/>
              <w:jc w:val="right"/>
              <w:rPr/>
            </w:pPr>
            <w:r>
              <w:rPr/>
              <w:t>2,903,979</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4,542,689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2,903,973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2,903,973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54" w:type="dxa"/>
            <w:tcBorders>
              <w:bottom w:val="single" w:sz="2" w:space="0" w:color="1F2668"/>
            </w:tcBorders>
            <w:tcMar>
              <w:bottom w:w="70" w:type="dxa"/>
            </w:tcMar>
            <w:vAlign w:val="center"/>
          </w:tcPr>
          <w:p>
            <w:pPr>
              <w:pStyle w:val="TableContents"/>
              <w:bidi w:val="0"/>
              <w:spacing w:before="0" w:after="283"/>
              <w:jc w:val="left"/>
              <w:rPr/>
            </w:pPr>
            <w:r>
              <w:rPr>
                <w:spacing w:val="-2"/>
              </w:rPr>
              <w:t>Benefits Continuation</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238" w:type="dxa"/>
            <w:tcBorders>
              <w:bottom w:val="single" w:sz="2" w:space="0" w:color="1F2668"/>
            </w:tcBorders>
            <w:tcMar>
              <w:bottom w:w="70" w:type="dxa"/>
            </w:tcMar>
            <w:vAlign w:val="center"/>
          </w:tcPr>
          <w:p>
            <w:pPr>
              <w:pStyle w:val="TableContents"/>
              <w:bidi w:val="0"/>
              <w:spacing w:before="0" w:after="283"/>
              <w:jc w:val="right"/>
              <w:rPr/>
            </w:pPr>
            <w:r>
              <w:rPr/>
              <w:t>$</w:t>
            </w:r>
          </w:p>
        </w:tc>
        <w:tc>
          <w:tcPr>
            <w:tcW w:w="1125" w:type="dxa"/>
            <w:tcBorders>
              <w:bottom w:val="single" w:sz="2" w:space="0" w:color="1F2668"/>
            </w:tcBorders>
            <w:tcMar>
              <w:bottom w:w="70" w:type="dxa"/>
            </w:tcMar>
            <w:vAlign w:val="center"/>
          </w:tcPr>
          <w:p>
            <w:pPr>
              <w:pStyle w:val="TableContents"/>
              <w:bidi w:val="0"/>
              <w:spacing w:before="0" w:after="283"/>
              <w:jc w:val="right"/>
              <w:rPr/>
            </w:pPr>
            <w:r>
              <w:rPr/>
              <w:t xml:space="preserve">47,474 </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 xml:space="preserve">94,948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 xml:space="preserve">142,421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As we maintained life insurance policies for the benefit of the beneficiaries of Mr. Holliday in the amount of $10 million, as of December 31, 2023, the amount of the payments and benefits to be received by Mr. Holliday in the event of a termination upon death will be reduced by these amounts in accordance with his employment agreement.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842">
                <wp:simplePos x="0" y="0"/>
                <wp:positionH relativeFrom="column">
                  <wp:align>left</wp:align>
                </wp:positionH>
                <wp:positionV relativeFrom="line">
                  <wp:align>top</wp:align>
                </wp:positionV>
                <wp:extent cx="254000" cy="254000"/>
                <wp:effectExtent l="0" t="0" r="0" b="0"/>
                <wp:wrapSquare wrapText="right"/>
                <wp:docPr id="924" name="Frame54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value of the stock options or Class O LTIP units, if any, that would vest. Assumes that the per share value of the stock options or Class O LTIP units that vest equals (i) $45.17 per share, which was the closing price on the NYSE of one share of our common stock on December 29, 2023, less (ii) the exercise price per share of such stock options or the conversion threshold of such Class O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43">
                <wp:simplePos x="0" y="0"/>
                <wp:positionH relativeFrom="column">
                  <wp:align>left</wp:align>
                </wp:positionH>
                <wp:positionV relativeFrom="line">
                  <wp:align>top</wp:align>
                </wp:positionV>
                <wp:extent cx="254000" cy="254000"/>
                <wp:effectExtent l="0" t="0" r="0" b="0"/>
                <wp:wrapSquare wrapText="right"/>
                <wp:docPr id="925" name="Frame54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(2)</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Represents the value of the LTIP units, if any, that would vest based on a price of $45.17 per unit, which was the closing price on the NYSE of one share of our common stock on December 29, 2023. Assumes that the value of LTIP units on a per unit basis is equal to the per share value of our common stock. Does not include performance-based LTIP units that would only vest to the extent earned </w:t>
      </w:r>
      <w:r>
        <mc:AlternateContent>
          <mc:Choice Requires="wps">
            <w:drawing>
              <wp:anchor behindDoc="0" distT="50800" distB="0" distL="0" distR="0" simplePos="0" locked="0" layoutInCell="1" allowOverlap="1" relativeHeight="844">
                <wp:simplePos x="0" y="0"/>
                <wp:positionH relativeFrom="column">
                  <wp:align>left</wp:align>
                </wp:positionH>
                <wp:positionV relativeFrom="line">
                  <wp:align>top</wp:align>
                </wp:positionV>
                <wp:extent cx="254000" cy="254000"/>
                <wp:effectExtent l="0" t="0" r="0" b="0"/>
                <wp:wrapSquare wrapText="right"/>
                <wp:docPr id="926" name="Frame54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(3)</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the achievement of performance-based vesting criteria through the end of the performance period. Based on our performance as of December 31, 2022, our named executive officers would have (i) earned a portion of the performance-based LTIP units granted in 2022 and 2023 subject to operational performance hurdles and (ii) earned a portion of the performance-based LTIP units granted in 2022 and 2023 subject to relative TSR performance. See “—Compensation Discussion and Analysis—Other Compensation Policies and Information—Outstanding Annual Equity Award Performance Summary (2021-2023).”</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2"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Benefits continuation amounts are based on the actual expense for financial reporting purposes for the year ended December 31, 2023 for covering an employee under each of our group health plans during the applicable severance period.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0" distR="0" simplePos="0" locked="0" layoutInCell="1" allowOverlap="1" relativeHeight="845">
                <wp:simplePos x="0" y="0"/>
                <wp:positionH relativeFrom="column">
                  <wp:align>left</wp:align>
                </wp:positionH>
                <wp:positionV relativeFrom="line">
                  <wp:align>top</wp:align>
                </wp:positionV>
                <wp:extent cx="254000" cy="254000"/>
                <wp:effectExtent l="0" t="0" r="0" b="0"/>
                <wp:wrapSquare wrapText="right"/>
                <wp:docPr id="927" name="Frame54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(4)</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the event a change in control had occurred on December 31, 2023 without the termination of the employment of our named executive officers, Messrs. Holliday, DiLiberto and Levine would have been entitled to the pro-rata bonus payments set forth in the table above. In addition, TSR performance would have been measured pursuant to the Annual Performance-Based Awards, which would have resulted in (i) a portion of the awards granted in 2022 subject to relative TSR performance being earned and (ii) all of the awards granted in 2023 subject to both the absolute TSR modifier and relative TSR performance being earned, which earned awards would have remained subject to vesting based on continued employment, as described above. The aggregate number of LTIP units earned in such event is as follows: Mr. Holliday—333,307; Mr. DiLiberto—24,689; and Mr. Levine—24,689. Upon earning these additional LTIP units, each of our named executive officers would have been entitled to cash payments and distributions with respect to the following number of such LTIP units equal to (i) $6.9184 per unit granted in 2022: Mr. Holliday—57,169; Mr. DiLiberto—4,235; and Mr. Levine—4,235 and (ii) $3.2288 per unit granted in 2023: Mr. Holliday—276,138;Mr. DiLiberto—20,454; and Mr. Levine—20,454. In each case, these amounts equal the amounts that would have been received if such LTIP units had been entitled to receive full distributions from the beginning of the applicable performance period.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Compensation Committee Interlocks and Insider Participation</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Lauren B. Dillard (Chair), Carol N. Brown, Edwin T. Burton, III and John S. Levy, a former director, each served on the Compensation Committee during 2023. There are no Compensation Committee interlocks and none of our employees is a member of our Compensation Committee.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Pay Ratio Disclosure Rule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Pursuant to a mandate of the Dodd-Frank Wall Street Reform and Consumer Protection Act, the SEC adopted a rule requiring annual disclosure of the ratio of the median employee’s annual total compensation to the total annual compensation of the principal executive officer, or PEO. The PEO of our Company is Mr. Holliday.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2023, the annual total compensation of Mr. Holliday, our PEO, of $18,508,171 as shown in the Summary Compensation Table above, was approximately 313 times the annual total compensation of $59,083 of a median employee calculated in the same manner. We identified the median employee using the annual base salary and target annual cash incentive compensation, as of December 31, 2023, plus any long-term equity incentive awards granted in 2023 for all individuals (excluding our PEO) who were employed by us on December 31, 2023, the last day of our payroll year, whether employed on a full-time or part-time basis.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of December 31, 2023, 880 of our 1,188 employees were hourly-paid employees involved in building operations, most of whom are subject to collective bargaining agreements. If these employees were not included for purposes of identifying our median employee, the annual total compensation of a median employee would be $163,151 and the annual total compensation of our PEO would be approximately 113 times such amount.</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Pay Versus Performance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information below presents the relationship between the compensation of our named executive officer and certain performance measures in accordance with Item 402(v) of Regulation S-K. For a discussion of our compensation programs and pay for performance philosophy, please refer to the section captioned “Compensation Discussion and Analysis,” above.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Pay Versus Performance Table</w:t>
      </w:r>
      <w:r>
        <w:rPr>
          <w:rFonts w:ascii="Arial;Helvetica;sans-serif" w:hAnsi="Arial;Helvetica;sans-serif"/>
          <w:b/>
          <w:i w:val="false"/>
          <w:caps w:val="false"/>
          <w:smallCaps w:val="false"/>
          <w:color w:val="000000"/>
          <w:spacing w:val="4"/>
          <w:sz w:val="22"/>
        </w:rPr>
        <w:t xml:space="preserve"> </w:t>
      </w:r>
    </w:p>
    <w:tbl>
      <w:tblPr>
        <w:tblW w:w="13690" w:type="dxa"/>
        <w:jc w:val="left"/>
        <w:tblInd w:w="900" w:type="dxa"/>
        <w:tblLayout w:type="fixed"/>
        <w:tblCellMar>
          <w:top w:w="0" w:type="dxa"/>
          <w:left w:w="0" w:type="dxa"/>
          <w:bottom w:w="0" w:type="dxa"/>
          <w:right w:w="0" w:type="dxa"/>
        </w:tblCellMar>
      </w:tblPr>
      <w:tblGrid>
        <w:gridCol w:w="601"/>
        <w:gridCol w:w="109"/>
        <w:gridCol w:w="109"/>
        <w:gridCol w:w="109"/>
        <w:gridCol w:w="109"/>
        <w:gridCol w:w="1186"/>
        <w:gridCol w:w="109"/>
        <w:gridCol w:w="109"/>
        <w:gridCol w:w="109"/>
        <w:gridCol w:w="109"/>
        <w:gridCol w:w="109"/>
        <w:gridCol w:w="1261"/>
        <w:gridCol w:w="109"/>
        <w:gridCol w:w="109"/>
        <w:gridCol w:w="109"/>
        <w:gridCol w:w="109"/>
        <w:gridCol w:w="109"/>
        <w:gridCol w:w="1166"/>
        <w:gridCol w:w="109"/>
        <w:gridCol w:w="109"/>
        <w:gridCol w:w="109"/>
        <w:gridCol w:w="109"/>
        <w:gridCol w:w="109"/>
        <w:gridCol w:w="1216"/>
        <w:gridCol w:w="109"/>
        <w:gridCol w:w="109"/>
        <w:gridCol w:w="109"/>
        <w:gridCol w:w="205"/>
        <w:gridCol w:w="205"/>
        <w:gridCol w:w="650"/>
        <w:gridCol w:w="206"/>
        <w:gridCol w:w="109"/>
        <w:gridCol w:w="109"/>
        <w:gridCol w:w="179"/>
        <w:gridCol w:w="179"/>
        <w:gridCol w:w="765"/>
        <w:gridCol w:w="143"/>
        <w:gridCol w:w="109"/>
        <w:gridCol w:w="109"/>
        <w:gridCol w:w="109"/>
        <w:gridCol w:w="109"/>
        <w:gridCol w:w="961"/>
        <w:gridCol w:w="109"/>
        <w:gridCol w:w="109"/>
        <w:gridCol w:w="109"/>
        <w:gridCol w:w="157"/>
        <w:gridCol w:w="157"/>
        <w:gridCol w:w="760"/>
        <w:gridCol w:w="160"/>
        <w:gridCol w:w="154"/>
      </w:tblGrid>
      <w:tr>
        <w:trPr/>
        <w:tc>
          <w:tcPr>
            <w:tcW w:w="60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1F2668"/>
            </w:tcBorders>
            <w:tcMar>
              <w:bottom w:w="63" w:type="dxa"/>
            </w:tcMar>
            <w:vAlign w:val="center"/>
          </w:tcPr>
          <w:p>
            <w:pPr>
              <w:pStyle w:val="TableContents"/>
              <w:bidi w:val="0"/>
              <w:spacing w:lineRule="atLeast" w:line="180" w:before="0" w:after="0"/>
              <w:jc w:val="right"/>
              <w:rPr/>
            </w:pPr>
            <w:r>
              <w:rPr>
                <w:spacing w:val="2"/>
              </w:rPr>
              <w:t xml:space="preserve">Summary </w:t>
              <w:br/>
              <w:t xml:space="preserve">Compensation </w:t>
              <w:br/>
              <w:t xml:space="preserve">Table Total </w:t>
              <w:br/>
              <w:t xml:space="preserve">for PEO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vMerge w:val="restart"/>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Compensation </w:t>
              <w:br/>
              <w:t xml:space="preserve">Actually Paid </w:t>
              <w:br/>
              <w:t xml:space="preserve">to PEO </w:t>
              <w:br/>
              <w:t>($)</w:t>
            </w:r>
            <w:r>
              <w:rPr>
                <w:spacing w:val="1"/>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93" w:type="dxa"/>
            <w:gridSpan w:val="4"/>
            <w:vMerge w:val="restart"/>
            <w:tcBorders>
              <w:bottom w:val="single" w:sz="2" w:space="0" w:color="1F2668"/>
            </w:tcBorders>
            <w:tcMar>
              <w:bottom w:w="63" w:type="dxa"/>
            </w:tcMar>
            <w:vAlign w:val="center"/>
          </w:tcPr>
          <w:p>
            <w:pPr>
              <w:pStyle w:val="TableContents"/>
              <w:bidi w:val="0"/>
              <w:spacing w:lineRule="atLeast" w:line="180" w:before="0" w:after="0"/>
              <w:jc w:val="right"/>
              <w:rPr/>
            </w:pPr>
            <w:r>
              <w:rPr>
                <w:spacing w:val="2"/>
              </w:rPr>
              <w:t xml:space="preserve">Average </w:t>
              <w:br/>
              <w:t xml:space="preserve">Summary </w:t>
              <w:br/>
              <w:t xml:space="preserve">Compensation </w:t>
              <w:br/>
              <w:t xml:space="preserve">Table Total </w:t>
              <w:br/>
              <w:t xml:space="preserve">for Non-PEO </w:t>
              <w:br/>
              <w:t xml:space="preserve">NEOs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vMerge w:val="restart"/>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Average </w:t>
              <w:br/>
              <w:t xml:space="preserve">Compensation </w:t>
              <w:br/>
              <w:t xml:space="preserve">Actually Paid to </w:t>
              <w:br/>
              <w:t xml:space="preserve">Non-PEO NEOs </w:t>
              <w:br/>
              <w:t>($)</w:t>
            </w:r>
            <w:r>
              <w:rPr>
                <w:spacing w:val="1"/>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50" w:type="dxa"/>
            <w:gridSpan w:val="10"/>
            <w:tcBorders>
              <w:bottom w:val="single" w:sz="2" w:space="0" w:color="1F2668"/>
            </w:tcBorders>
            <w:tcMar>
              <w:bottom w:w="63" w:type="dxa"/>
            </w:tcMar>
            <w:vAlign w:val="center"/>
          </w:tcPr>
          <w:p>
            <w:pPr>
              <w:pStyle w:val="TableContents"/>
              <w:bidi w:val="0"/>
              <w:spacing w:before="0" w:after="0"/>
              <w:jc w:val="center"/>
              <w:rPr>
                <w:spacing w:val="2"/>
              </w:rPr>
            </w:pPr>
            <w:r>
              <w:rPr>
                <w:spacing w:val="2"/>
              </w:rPr>
              <w:t xml:space="preserve">Value of Initial Fixed $100 </w:t>
              <w:br/>
              <w:t xml:space="preserve">Investment Based 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vMerge w:val="restart"/>
            <w:tcBorders>
              <w:bottom w:val="single" w:sz="2" w:space="0" w:color="1F2668"/>
            </w:tcBorders>
            <w:tcMar>
              <w:bottom w:w="63" w:type="dxa"/>
            </w:tcMar>
            <w:vAlign w:val="center"/>
          </w:tcPr>
          <w:p>
            <w:pPr>
              <w:pStyle w:val="TableContents"/>
              <w:bidi w:val="0"/>
              <w:spacing w:lineRule="atLeast" w:line="180" w:before="0" w:after="0"/>
              <w:jc w:val="right"/>
              <w:rPr/>
            </w:pPr>
            <w:r>
              <w:rPr>
                <w:spacing w:val="2"/>
              </w:rPr>
              <w:t xml:space="preserve">Net (Loss) </w:t>
              <w:br/>
              <w:t xml:space="preserve">Income, in </w:t>
              <w:br/>
              <w:t xml:space="preserve">thousands </w:t>
              <w:br/>
              <w:t>($)</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34" w:type="dxa"/>
            <w:gridSpan w:val="4"/>
            <w:vMerge w:val="restart"/>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Normalized </w:t>
              <w:br/>
              <w:t xml:space="preserve">FFO per </w:t>
              <w:br/>
              <w:t xml:space="preserve">Share </w:t>
              <w:br/>
              <w:t>($)</w:t>
            </w:r>
            <w:r>
              <w:rPr>
                <w:spacing w:val="1"/>
                <w:sz w:val="10"/>
              </w:rPr>
              <w:t>(5)</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88"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93"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43"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Total </w:t>
              <w:br/>
              <w:t xml:space="preserve">Stockholder </w:t>
              <w:br/>
              <w:t xml:space="preserve">Return </w:t>
              <w:br/>
              <w:t>($)</w:t>
            </w:r>
            <w:r>
              <w:rPr>
                <w:spacing w:val="1"/>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Peer Group </w:t>
              <w:br/>
              <w:t xml:space="preserve">Total </w:t>
              <w:br/>
              <w:t xml:space="preserve">Stockholder </w:t>
              <w:br/>
              <w:t xml:space="preserve">Return </w:t>
              <w:br/>
              <w:t>($)</w:t>
            </w:r>
            <w:r>
              <w:rPr>
                <w:spacing w:val="1"/>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88" w:type="dxa"/>
            <w:gridSpan w:val="4"/>
            <w:vMerge w:val="continue"/>
            <w:tcBorders>
              <w:bottom w:val="single" w:sz="2" w:space="0" w:color="1F2668"/>
            </w:tcBorders>
            <w:tcMar>
              <w:bottom w:w="63"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34" w:type="dxa"/>
            <w:gridSpan w:val="4"/>
            <w:vMerge w:val="continue"/>
            <w:tcBorders>
              <w:bottom w:val="single" w:sz="2" w:space="0" w:color="1F2668"/>
            </w:tcBorders>
            <w:tcMar>
              <w:bottom w:w="63" w:type="dxa"/>
            </w:tcMar>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0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2023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18,508,171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30,796,068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66" w:type="dxa"/>
            <w:tcBorders>
              <w:bottom w:val="single" w:sz="2" w:space="0" w:color="4B5088"/>
            </w:tcBorders>
            <w:tcMar>
              <w:bottom w:w="70" w:type="dxa"/>
            </w:tcMar>
            <w:vAlign w:val="center"/>
          </w:tcPr>
          <w:p>
            <w:pPr>
              <w:pStyle w:val="TableContents"/>
              <w:bidi w:val="0"/>
              <w:spacing w:before="0" w:after="283"/>
              <w:jc w:val="right"/>
              <w:rPr/>
            </w:pPr>
            <w:r>
              <w:rPr/>
              <w:t>6,439,504</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10,630,597</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70" w:type="dxa"/>
            </w:tcMar>
            <w:vAlign w:val="center"/>
          </w:tcPr>
          <w:p>
            <w:pPr>
              <w:pStyle w:val="TableContents"/>
              <w:bidi w:val="0"/>
              <w:spacing w:before="0" w:after="283"/>
              <w:jc w:val="right"/>
              <w:rPr/>
            </w:pPr>
            <w:r>
              <w:rPr/>
              <w:t>​</w:t>
            </w:r>
          </w:p>
        </w:tc>
        <w:tc>
          <w:tcPr>
            <w:tcW w:w="650" w:type="dxa"/>
            <w:tcBorders>
              <w:bottom w:val="single" w:sz="2" w:space="0" w:color="4B5088"/>
            </w:tcBorders>
            <w:tcMar>
              <w:bottom w:w="70" w:type="dxa"/>
            </w:tcMar>
            <w:vAlign w:val="center"/>
          </w:tcPr>
          <w:p>
            <w:pPr>
              <w:pStyle w:val="TableContents"/>
              <w:bidi w:val="0"/>
              <w:spacing w:before="0" w:after="283"/>
              <w:jc w:val="right"/>
              <w:rPr/>
            </w:pPr>
            <w:r>
              <w:rPr/>
              <w:t>66</w:t>
            </w:r>
          </w:p>
        </w:tc>
        <w:tc>
          <w:tcPr>
            <w:tcW w:w="20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70" w:type="dxa"/>
            </w:tcMar>
            <w:vAlign w:val="center"/>
          </w:tcPr>
          <w:p>
            <w:pPr>
              <w:pStyle w:val="TableContents"/>
              <w:bidi w:val="0"/>
              <w:spacing w:before="0" w:after="283"/>
              <w:jc w:val="right"/>
              <w:rPr/>
            </w:pPr>
            <w:r>
              <w:rPr/>
              <w:t>​</w:t>
            </w:r>
          </w:p>
        </w:tc>
        <w:tc>
          <w:tcPr>
            <w:tcW w:w="765" w:type="dxa"/>
            <w:tcBorders>
              <w:bottom w:val="single" w:sz="2" w:space="0" w:color="4B5088"/>
            </w:tcBorders>
            <w:tcMar>
              <w:bottom w:w="70" w:type="dxa"/>
            </w:tcMar>
            <w:vAlign w:val="center"/>
          </w:tcPr>
          <w:p>
            <w:pPr>
              <w:pStyle w:val="TableContents"/>
              <w:bidi w:val="0"/>
              <w:spacing w:before="0" w:after="283"/>
              <w:jc w:val="right"/>
              <w:rPr/>
            </w:pPr>
            <w:r>
              <w:rPr/>
              <w:t>71</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(599,337)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70" w:type="dxa"/>
            </w:tcMar>
            <w:vAlign w:val="center"/>
          </w:tcPr>
          <w:p>
            <w:pPr>
              <w:pStyle w:val="TableContents"/>
              <w:bidi w:val="0"/>
              <w:spacing w:before="0" w:after="283"/>
              <w:jc w:val="right"/>
              <w:rPr/>
            </w:pPr>
            <w:r>
              <w:rPr/>
              <w:t>​</w:t>
            </w:r>
          </w:p>
        </w:tc>
        <w:tc>
          <w:tcPr>
            <w:tcW w:w="760" w:type="dxa"/>
            <w:tcBorders>
              <w:bottom w:val="single" w:sz="2" w:space="0" w:color="4B5088"/>
            </w:tcBorders>
            <w:tcMar>
              <w:bottom w:w="70" w:type="dxa"/>
            </w:tcMar>
            <w:vAlign w:val="center"/>
          </w:tcPr>
          <w:p>
            <w:pPr>
              <w:pStyle w:val="TableContents"/>
              <w:bidi w:val="0"/>
              <w:spacing w:before="0" w:after="283"/>
              <w:jc w:val="right"/>
              <w:rPr/>
            </w:pPr>
            <w:r>
              <w:rPr/>
              <w:t>5.48</w:t>
            </w:r>
          </w:p>
        </w:tc>
        <w:tc>
          <w:tcPr>
            <w:tcW w:w="160"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2022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16,660,855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(11,758,654)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66" w:type="dxa"/>
            <w:tcBorders>
              <w:bottom w:val="single" w:sz="2" w:space="0" w:color="4B5088"/>
            </w:tcBorders>
            <w:tcMar>
              <w:bottom w:w="70" w:type="dxa"/>
            </w:tcMar>
            <w:vAlign w:val="center"/>
          </w:tcPr>
          <w:p>
            <w:pPr>
              <w:pStyle w:val="TableContents"/>
              <w:bidi w:val="0"/>
              <w:spacing w:before="0" w:after="283"/>
              <w:jc w:val="right"/>
              <w:rPr/>
            </w:pPr>
            <w:r>
              <w:rPr/>
              <w:t>7,006,710</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(2,389,306)</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70" w:type="dxa"/>
            </w:tcMar>
            <w:vAlign w:val="center"/>
          </w:tcPr>
          <w:p>
            <w:pPr>
              <w:pStyle w:val="TableContents"/>
              <w:bidi w:val="0"/>
              <w:spacing w:before="0" w:after="283"/>
              <w:jc w:val="right"/>
              <w:rPr/>
            </w:pPr>
            <w:r>
              <w:rPr/>
              <w:t>​</w:t>
            </w:r>
          </w:p>
        </w:tc>
        <w:tc>
          <w:tcPr>
            <w:tcW w:w="650" w:type="dxa"/>
            <w:tcBorders>
              <w:bottom w:val="single" w:sz="2" w:space="0" w:color="4B5088"/>
            </w:tcBorders>
            <w:tcMar>
              <w:bottom w:w="70" w:type="dxa"/>
            </w:tcMar>
            <w:vAlign w:val="center"/>
          </w:tcPr>
          <w:p>
            <w:pPr>
              <w:pStyle w:val="TableContents"/>
              <w:bidi w:val="0"/>
              <w:spacing w:before="0" w:after="283"/>
              <w:jc w:val="right"/>
              <w:rPr/>
            </w:pPr>
            <w:r>
              <w:rPr/>
              <w:t>44</w:t>
            </w:r>
          </w:p>
        </w:tc>
        <w:tc>
          <w:tcPr>
            <w:tcW w:w="20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70" w:type="dxa"/>
            </w:tcMar>
            <w:vAlign w:val="center"/>
          </w:tcPr>
          <w:p>
            <w:pPr>
              <w:pStyle w:val="TableContents"/>
              <w:bidi w:val="0"/>
              <w:spacing w:before="0" w:after="283"/>
              <w:jc w:val="right"/>
              <w:rPr/>
            </w:pPr>
            <w:r>
              <w:rPr/>
              <w:t>​</w:t>
            </w:r>
          </w:p>
        </w:tc>
        <w:tc>
          <w:tcPr>
            <w:tcW w:w="765" w:type="dxa"/>
            <w:tcBorders>
              <w:bottom w:val="single" w:sz="2" w:space="0" w:color="4B5088"/>
            </w:tcBorders>
            <w:tcMar>
              <w:bottom w:w="70" w:type="dxa"/>
            </w:tcMar>
            <w:vAlign w:val="center"/>
          </w:tcPr>
          <w:p>
            <w:pPr>
              <w:pStyle w:val="TableContents"/>
              <w:bidi w:val="0"/>
              <w:spacing w:before="0" w:after="283"/>
              <w:jc w:val="right"/>
              <w:rPr/>
            </w:pPr>
            <w:r>
              <w:rPr/>
              <w:t>68</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(76,303)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70" w:type="dxa"/>
            </w:tcMar>
            <w:vAlign w:val="center"/>
          </w:tcPr>
          <w:p>
            <w:pPr>
              <w:pStyle w:val="TableContents"/>
              <w:bidi w:val="0"/>
              <w:spacing w:before="0" w:after="283"/>
              <w:jc w:val="right"/>
              <w:rPr/>
            </w:pPr>
            <w:r>
              <w:rPr/>
              <w:t>​</w:t>
            </w:r>
          </w:p>
        </w:tc>
        <w:tc>
          <w:tcPr>
            <w:tcW w:w="760" w:type="dxa"/>
            <w:tcBorders>
              <w:bottom w:val="single" w:sz="2" w:space="0" w:color="4B5088"/>
            </w:tcBorders>
            <w:tcMar>
              <w:bottom w:w="70" w:type="dxa"/>
            </w:tcMar>
            <w:vAlign w:val="center"/>
          </w:tcPr>
          <w:p>
            <w:pPr>
              <w:pStyle w:val="TableContents"/>
              <w:bidi w:val="0"/>
              <w:spacing w:before="0" w:after="283"/>
              <w:jc w:val="right"/>
              <w:rPr/>
            </w:pPr>
            <w:r>
              <w:rPr/>
              <w:t>6.76</w:t>
            </w:r>
          </w:p>
        </w:tc>
        <w:tc>
          <w:tcPr>
            <w:tcW w:w="160"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2021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21,088,057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61" w:type="dxa"/>
            <w:tcBorders>
              <w:bottom w:val="single" w:sz="2" w:space="0" w:color="4B5088"/>
            </w:tcBorders>
            <w:tcMar>
              <w:bottom w:w="70" w:type="dxa"/>
            </w:tcMar>
            <w:vAlign w:val="center"/>
          </w:tcPr>
          <w:p>
            <w:pPr>
              <w:pStyle w:val="TableContents"/>
              <w:bidi w:val="0"/>
              <w:spacing w:before="0" w:after="283"/>
              <w:jc w:val="right"/>
              <w:rPr/>
            </w:pPr>
            <w:r>
              <w:rPr/>
              <w:t>32,642,206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66" w:type="dxa"/>
            <w:tcBorders>
              <w:bottom w:val="single" w:sz="2" w:space="0" w:color="4B5088"/>
            </w:tcBorders>
            <w:tcMar>
              <w:bottom w:w="70" w:type="dxa"/>
            </w:tcMar>
            <w:vAlign w:val="center"/>
          </w:tcPr>
          <w:p>
            <w:pPr>
              <w:pStyle w:val="TableContents"/>
              <w:bidi w:val="0"/>
              <w:spacing w:before="0" w:after="283"/>
              <w:jc w:val="right"/>
              <w:rPr/>
            </w:pPr>
            <w:r>
              <w:rPr/>
              <w:t>7,711,773</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216" w:type="dxa"/>
            <w:tcBorders>
              <w:bottom w:val="single" w:sz="2" w:space="0" w:color="4B5088"/>
            </w:tcBorders>
            <w:tcMar>
              <w:bottom w:w="70" w:type="dxa"/>
            </w:tcMar>
            <w:vAlign w:val="center"/>
          </w:tcPr>
          <w:p>
            <w:pPr>
              <w:pStyle w:val="TableContents"/>
              <w:bidi w:val="0"/>
              <w:spacing w:before="0" w:after="283"/>
              <w:jc w:val="right"/>
              <w:rPr/>
            </w:pPr>
            <w:r>
              <w:rPr/>
              <w:t>11,565,039</w:t>
            </w:r>
            <w:r>
              <w:rPr>
                <w:sz w:val="11"/>
              </w:rPr>
              <w:t>(6)</w:t>
            </w: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28" w:type="dxa"/>
            </w:tcMar>
            <w:vAlign w:val="center"/>
          </w:tcPr>
          <w:p>
            <w:pPr>
              <w:pStyle w:val="TableContents"/>
              <w:bidi w:val="0"/>
              <w:spacing w:before="0" w:after="283"/>
              <w:jc w:val="left"/>
              <w:rPr/>
            </w:pPr>
            <w:r>
              <w:rPr/>
              <w:t>​</w:t>
            </w:r>
          </w:p>
        </w:tc>
        <w:tc>
          <w:tcPr>
            <w:tcW w:w="205" w:type="dxa"/>
            <w:tcBorders>
              <w:bottom w:val="single" w:sz="2" w:space="0" w:color="4B5088"/>
            </w:tcBorders>
            <w:tcMar>
              <w:bottom w:w="70" w:type="dxa"/>
            </w:tcMar>
            <w:vAlign w:val="center"/>
          </w:tcPr>
          <w:p>
            <w:pPr>
              <w:pStyle w:val="TableContents"/>
              <w:bidi w:val="0"/>
              <w:spacing w:before="0" w:after="283"/>
              <w:jc w:val="right"/>
              <w:rPr/>
            </w:pPr>
            <w:r>
              <w:rPr/>
              <w:t>​</w:t>
            </w:r>
          </w:p>
        </w:tc>
        <w:tc>
          <w:tcPr>
            <w:tcW w:w="650" w:type="dxa"/>
            <w:tcBorders>
              <w:bottom w:val="single" w:sz="2" w:space="0" w:color="4B5088"/>
            </w:tcBorders>
            <w:tcMar>
              <w:bottom w:w="70" w:type="dxa"/>
            </w:tcMar>
            <w:vAlign w:val="center"/>
          </w:tcPr>
          <w:p>
            <w:pPr>
              <w:pStyle w:val="TableContents"/>
              <w:bidi w:val="0"/>
              <w:spacing w:before="0" w:after="283"/>
              <w:jc w:val="right"/>
              <w:rPr/>
            </w:pPr>
            <w:r>
              <w:rPr/>
              <w:t>90</w:t>
            </w:r>
          </w:p>
        </w:tc>
        <w:tc>
          <w:tcPr>
            <w:tcW w:w="206"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28" w:type="dxa"/>
            </w:tcMar>
            <w:vAlign w:val="center"/>
          </w:tcPr>
          <w:p>
            <w:pPr>
              <w:pStyle w:val="TableContents"/>
              <w:bidi w:val="0"/>
              <w:spacing w:before="0" w:after="283"/>
              <w:jc w:val="left"/>
              <w:rPr/>
            </w:pPr>
            <w:r>
              <w:rPr/>
              <w:t>​</w:t>
            </w:r>
          </w:p>
        </w:tc>
        <w:tc>
          <w:tcPr>
            <w:tcW w:w="179" w:type="dxa"/>
            <w:tcBorders>
              <w:bottom w:val="single" w:sz="2" w:space="0" w:color="4B5088"/>
            </w:tcBorders>
            <w:tcMar>
              <w:bottom w:w="70" w:type="dxa"/>
            </w:tcMar>
            <w:vAlign w:val="center"/>
          </w:tcPr>
          <w:p>
            <w:pPr>
              <w:pStyle w:val="TableContents"/>
              <w:bidi w:val="0"/>
              <w:spacing w:before="0" w:after="283"/>
              <w:jc w:val="right"/>
              <w:rPr/>
            </w:pPr>
            <w:r>
              <w:rPr/>
              <w:t>​</w:t>
            </w:r>
          </w:p>
        </w:tc>
        <w:tc>
          <w:tcPr>
            <w:tcW w:w="765" w:type="dxa"/>
            <w:tcBorders>
              <w:bottom w:val="single" w:sz="2" w:space="0" w:color="4B5088"/>
            </w:tcBorders>
            <w:tcMar>
              <w:bottom w:w="70" w:type="dxa"/>
            </w:tcMar>
            <w:vAlign w:val="center"/>
          </w:tcPr>
          <w:p>
            <w:pPr>
              <w:pStyle w:val="TableContents"/>
              <w:bidi w:val="0"/>
              <w:spacing w:before="0" w:after="283"/>
              <w:jc w:val="right"/>
              <w:rPr/>
            </w:pPr>
            <w:r>
              <w:rPr/>
              <w:t>103</w:t>
            </w:r>
          </w:p>
        </w:tc>
        <w:tc>
          <w:tcPr>
            <w:tcW w:w="143"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961" w:type="dxa"/>
            <w:tcBorders>
              <w:bottom w:val="single" w:sz="2" w:space="0" w:color="4B5088"/>
            </w:tcBorders>
            <w:tcMar>
              <w:bottom w:w="70" w:type="dxa"/>
            </w:tcMar>
            <w:vAlign w:val="center"/>
          </w:tcPr>
          <w:p>
            <w:pPr>
              <w:pStyle w:val="TableContents"/>
              <w:bidi w:val="0"/>
              <w:spacing w:before="0" w:after="283"/>
              <w:jc w:val="right"/>
              <w:rPr/>
            </w:pPr>
            <w:r>
              <w:rPr/>
              <w:t>480,632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4B5088"/>
            </w:tcBorders>
            <w:tcMar>
              <w:bottom w:w="70" w:type="dxa"/>
            </w:tcMar>
            <w:vAlign w:val="center"/>
          </w:tcPr>
          <w:p>
            <w:pPr>
              <w:pStyle w:val="TableContents"/>
              <w:bidi w:val="0"/>
              <w:spacing w:before="0" w:after="283"/>
              <w:jc w:val="right"/>
              <w:rPr/>
            </w:pPr>
            <w:r>
              <w:rPr/>
              <w:t>​</w:t>
            </w:r>
          </w:p>
        </w:tc>
        <w:tc>
          <w:tcPr>
            <w:tcW w:w="760" w:type="dxa"/>
            <w:tcBorders>
              <w:bottom w:val="single" w:sz="2" w:space="0" w:color="4B5088"/>
            </w:tcBorders>
            <w:tcMar>
              <w:bottom w:w="70" w:type="dxa"/>
            </w:tcMar>
            <w:vAlign w:val="center"/>
          </w:tcPr>
          <w:p>
            <w:pPr>
              <w:pStyle w:val="TableContents"/>
              <w:bidi w:val="0"/>
              <w:spacing w:before="0" w:after="283"/>
              <w:jc w:val="right"/>
              <w:rPr/>
            </w:pPr>
            <w:r>
              <w:rPr/>
              <w:t>6.58</w:t>
            </w:r>
          </w:p>
        </w:tc>
        <w:tc>
          <w:tcPr>
            <w:tcW w:w="160"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2020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15,194,726</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261" w:type="dxa"/>
            <w:tcBorders>
              <w:bottom w:val="single" w:sz="2" w:space="0" w:color="1F2668"/>
            </w:tcBorders>
            <w:tcMar>
              <w:bottom w:w="70" w:type="dxa"/>
            </w:tcMar>
            <w:vAlign w:val="center"/>
          </w:tcPr>
          <w:p>
            <w:pPr>
              <w:pStyle w:val="TableContents"/>
              <w:bidi w:val="0"/>
              <w:spacing w:before="0" w:after="283"/>
              <w:jc w:val="right"/>
              <w:rPr/>
            </w:pPr>
            <w:r>
              <w:rPr/>
              <w:t>9,617,334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66" w:type="dxa"/>
            <w:tcBorders>
              <w:bottom w:val="single" w:sz="2" w:space="0" w:color="1F2668"/>
            </w:tcBorders>
            <w:tcMar>
              <w:bottom w:w="70" w:type="dxa"/>
            </w:tcMar>
            <w:vAlign w:val="center"/>
          </w:tcPr>
          <w:p>
            <w:pPr>
              <w:pStyle w:val="TableContents"/>
              <w:bidi w:val="0"/>
              <w:spacing w:before="0" w:after="283"/>
              <w:jc w:val="right"/>
              <w:rPr/>
            </w:pPr>
            <w:r>
              <w:rPr/>
              <w:t>6,741,540</w:t>
            </w:r>
            <w:r>
              <w:rPr>
                <w:sz w:val="11"/>
              </w:rPr>
              <w:t>(6)</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216" w:type="dxa"/>
            <w:tcBorders>
              <w:bottom w:val="single" w:sz="2" w:space="0" w:color="1F2668"/>
            </w:tcBorders>
            <w:tcMar>
              <w:bottom w:w="70" w:type="dxa"/>
            </w:tcMar>
            <w:vAlign w:val="center"/>
          </w:tcPr>
          <w:p>
            <w:pPr>
              <w:pStyle w:val="TableContents"/>
              <w:bidi w:val="0"/>
              <w:spacing w:before="0" w:after="283"/>
              <w:jc w:val="right"/>
              <w:rPr/>
            </w:pPr>
            <w:r>
              <w:rPr/>
              <w:t>4,723,677</w:t>
            </w:r>
            <w:r>
              <w:rPr>
                <w:sz w:val="11"/>
              </w:rPr>
              <w:t>(6)</w:t>
            </w:r>
            <w:r>
              <w:rPr/>
              <w:t xml:space="preserve">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 w:type="dxa"/>
            <w:tcBorders>
              <w:bottom w:val="single" w:sz="2" w:space="0" w:color="1F2668"/>
            </w:tcBorders>
            <w:tcMar>
              <w:bottom w:w="28" w:type="dxa"/>
            </w:tcMar>
            <w:vAlign w:val="center"/>
          </w:tcPr>
          <w:p>
            <w:pPr>
              <w:pStyle w:val="TableContents"/>
              <w:bidi w:val="0"/>
              <w:spacing w:before="0" w:after="283"/>
              <w:jc w:val="left"/>
              <w:rPr/>
            </w:pPr>
            <w:r>
              <w:rPr/>
              <w:t>​</w:t>
            </w:r>
          </w:p>
        </w:tc>
        <w:tc>
          <w:tcPr>
            <w:tcW w:w="205" w:type="dxa"/>
            <w:tcBorders>
              <w:bottom w:val="single" w:sz="2" w:space="0" w:color="1F2668"/>
            </w:tcBorders>
            <w:tcMar>
              <w:bottom w:w="70" w:type="dxa"/>
            </w:tcMar>
            <w:vAlign w:val="center"/>
          </w:tcPr>
          <w:p>
            <w:pPr>
              <w:pStyle w:val="TableContents"/>
              <w:bidi w:val="0"/>
              <w:spacing w:before="0" w:after="283"/>
              <w:jc w:val="right"/>
              <w:rPr/>
            </w:pPr>
            <w:r>
              <w:rPr/>
              <w:t>​</w:t>
            </w:r>
          </w:p>
        </w:tc>
        <w:tc>
          <w:tcPr>
            <w:tcW w:w="650" w:type="dxa"/>
            <w:tcBorders>
              <w:bottom w:val="single" w:sz="2" w:space="0" w:color="1F2668"/>
            </w:tcBorders>
            <w:tcMar>
              <w:bottom w:w="70" w:type="dxa"/>
            </w:tcMar>
            <w:vAlign w:val="center"/>
          </w:tcPr>
          <w:p>
            <w:pPr>
              <w:pStyle w:val="TableContents"/>
              <w:bidi w:val="0"/>
              <w:spacing w:before="0" w:after="283"/>
              <w:jc w:val="right"/>
              <w:rPr/>
            </w:pPr>
            <w:r>
              <w:rPr/>
              <w:t>71</w:t>
            </w:r>
          </w:p>
        </w:tc>
        <w:tc>
          <w:tcPr>
            <w:tcW w:w="206"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 w:type="dxa"/>
            <w:tcBorders>
              <w:bottom w:val="single" w:sz="2" w:space="0" w:color="1F2668"/>
            </w:tcBorders>
            <w:tcMar>
              <w:bottom w:w="28" w:type="dxa"/>
            </w:tcMar>
            <w:vAlign w:val="center"/>
          </w:tcPr>
          <w:p>
            <w:pPr>
              <w:pStyle w:val="TableContents"/>
              <w:bidi w:val="0"/>
              <w:spacing w:before="0" w:after="283"/>
              <w:jc w:val="left"/>
              <w:rPr/>
            </w:pPr>
            <w:r>
              <w:rPr/>
              <w:t>​</w:t>
            </w:r>
          </w:p>
        </w:tc>
        <w:tc>
          <w:tcPr>
            <w:tcW w:w="179" w:type="dxa"/>
            <w:tcBorders>
              <w:bottom w:val="single" w:sz="2" w:space="0" w:color="1F2668"/>
            </w:tcBorders>
            <w:tcMar>
              <w:bottom w:w="70" w:type="dxa"/>
            </w:tcMar>
            <w:vAlign w:val="center"/>
          </w:tcPr>
          <w:p>
            <w:pPr>
              <w:pStyle w:val="TableContents"/>
              <w:bidi w:val="0"/>
              <w:spacing w:before="0" w:after="283"/>
              <w:jc w:val="right"/>
              <w:rPr/>
            </w:pPr>
            <w:r>
              <w:rPr/>
              <w:t>​</w:t>
            </w:r>
          </w:p>
        </w:tc>
        <w:tc>
          <w:tcPr>
            <w:tcW w:w="765" w:type="dxa"/>
            <w:tcBorders>
              <w:bottom w:val="single" w:sz="2" w:space="0" w:color="1F2668"/>
            </w:tcBorders>
            <w:tcMar>
              <w:bottom w:w="70" w:type="dxa"/>
            </w:tcMar>
            <w:vAlign w:val="center"/>
          </w:tcPr>
          <w:p>
            <w:pPr>
              <w:pStyle w:val="TableContents"/>
              <w:bidi w:val="0"/>
              <w:spacing w:before="0" w:after="283"/>
              <w:jc w:val="right"/>
              <w:rPr/>
            </w:pPr>
            <w:r>
              <w:rPr/>
              <w:t>78</w:t>
            </w:r>
          </w:p>
        </w:tc>
        <w:tc>
          <w:tcPr>
            <w:tcW w:w="143"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961" w:type="dxa"/>
            <w:tcBorders>
              <w:bottom w:val="single" w:sz="2" w:space="0" w:color="1F2668"/>
            </w:tcBorders>
            <w:tcMar>
              <w:bottom w:w="70" w:type="dxa"/>
            </w:tcMar>
            <w:vAlign w:val="center"/>
          </w:tcPr>
          <w:p>
            <w:pPr>
              <w:pStyle w:val="TableContents"/>
              <w:bidi w:val="0"/>
              <w:spacing w:before="0" w:after="283"/>
              <w:jc w:val="right"/>
              <w:rPr/>
            </w:pPr>
            <w:r>
              <w:rPr/>
              <w:t>414,758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1F2668"/>
            </w:tcBorders>
            <w:tcMar>
              <w:bottom w:w="70" w:type="dxa"/>
            </w:tcMar>
            <w:vAlign w:val="center"/>
          </w:tcPr>
          <w:p>
            <w:pPr>
              <w:pStyle w:val="TableContents"/>
              <w:bidi w:val="0"/>
              <w:spacing w:before="0" w:after="283"/>
              <w:jc w:val="right"/>
              <w:rPr/>
            </w:pPr>
            <w:r>
              <w:rPr/>
              <w:t>​</w:t>
            </w:r>
          </w:p>
        </w:tc>
        <w:tc>
          <w:tcPr>
            <w:tcW w:w="760" w:type="dxa"/>
            <w:tcBorders>
              <w:bottom w:val="single" w:sz="2" w:space="0" w:color="1F2668"/>
            </w:tcBorders>
            <w:tcMar>
              <w:bottom w:w="70" w:type="dxa"/>
            </w:tcMar>
            <w:vAlign w:val="center"/>
          </w:tcPr>
          <w:p>
            <w:pPr>
              <w:pStyle w:val="TableContents"/>
              <w:bidi w:val="0"/>
              <w:spacing w:before="0" w:after="283"/>
              <w:jc w:val="right"/>
              <w:rPr/>
            </w:pPr>
            <w:r>
              <w:rPr/>
              <w:t>6.85</w:t>
            </w:r>
          </w:p>
        </w:tc>
        <w:tc>
          <w:tcPr>
            <w:tcW w:w="160"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amounts of “compensation actually paid” as computed in accordance with Item 402(v) of Regulation S-K, not the actual amount of compensation earned by or paid to Mr. Holliday during each year. The table below reflects the adjustments made from the amounts reported in the “Total” column of the Summary Compensation Table for each year to calculate the amounts set forth in “Compensation Actually Paid to PEO” column in the table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846">
                <wp:simplePos x="0" y="0"/>
                <wp:positionH relativeFrom="column">
                  <wp:align>left</wp:align>
                </wp:positionH>
                <wp:positionV relativeFrom="line">
                  <wp:align>top</wp:align>
                </wp:positionV>
                <wp:extent cx="254000" cy="254000"/>
                <wp:effectExtent l="0" t="0" r="0" b="0"/>
                <wp:wrapSquare wrapText="right"/>
                <wp:docPr id="928" name="Frame54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(1)</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(1)</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8205" w:type="dxa"/>
        <w:jc w:val="left"/>
        <w:tblInd w:w="900" w:type="dxa"/>
        <w:tblLayout w:type="fixed"/>
        <w:tblCellMar>
          <w:top w:w="0" w:type="dxa"/>
          <w:left w:w="0" w:type="dxa"/>
          <w:bottom w:w="73" w:type="dxa"/>
          <w:right w:w="0" w:type="dxa"/>
        </w:tblCellMar>
      </w:tblPr>
      <w:tblGrid>
        <w:gridCol w:w="649"/>
        <w:gridCol w:w="109"/>
        <w:gridCol w:w="109"/>
        <w:gridCol w:w="111"/>
        <w:gridCol w:w="111"/>
        <w:gridCol w:w="1208"/>
        <w:gridCol w:w="111"/>
        <w:gridCol w:w="109"/>
        <w:gridCol w:w="109"/>
        <w:gridCol w:w="109"/>
        <w:gridCol w:w="109"/>
        <w:gridCol w:w="1336"/>
        <w:gridCol w:w="109"/>
        <w:gridCol w:w="109"/>
        <w:gridCol w:w="109"/>
        <w:gridCol w:w="109"/>
        <w:gridCol w:w="109"/>
        <w:gridCol w:w="1336"/>
        <w:gridCol w:w="109"/>
        <w:gridCol w:w="109"/>
        <w:gridCol w:w="109"/>
        <w:gridCol w:w="109"/>
        <w:gridCol w:w="109"/>
        <w:gridCol w:w="1336"/>
        <w:gridCol w:w="109"/>
        <w:gridCol w:w="154"/>
      </w:tblGrid>
      <w:tr>
        <w:trPr/>
        <w:tc>
          <w:tcPr>
            <w:tcW w:w="649"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1" w:type="dxa"/>
            <w:gridSpan w:val="4"/>
            <w:tcBorders>
              <w:bottom w:val="single" w:sz="2" w:space="0" w:color="1F2668"/>
            </w:tcBorders>
            <w:vAlign w:val="center"/>
          </w:tcPr>
          <w:p>
            <w:pPr>
              <w:pStyle w:val="TableContents"/>
              <w:bidi w:val="0"/>
              <w:spacing w:before="0" w:after="0"/>
              <w:jc w:val="right"/>
              <w:rPr/>
            </w:pPr>
            <w:r>
              <w:rPr>
                <w:spacing w:val="1"/>
              </w:rPr>
              <w:t xml:space="preserve">Summary </w:t>
              <w:br/>
              <w:t xml:space="preserve">Compensation </w:t>
              <w:br/>
              <w:t xml:space="preserve">Table Total </w:t>
              <w:br/>
              <w:t xml:space="preserve">for PEO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Less Summary </w:t>
              <w:br/>
              <w:t xml:space="preserve">Compensation </w:t>
              <w:br/>
              <w:t xml:space="preserve">Table Value of </w:t>
              <w:br/>
              <w:t xml:space="preserve">Equity Awards </w:t>
              <w:br/>
              <w:t>($)</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Fair Value of </w:t>
              <w:br/>
              <w:t xml:space="preserve">Equity Award </w:t>
              <w:br/>
              <w:t xml:space="preserve">Adjustments </w:t>
              <w:br/>
              <w:t>($)</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3" w:type="dxa"/>
            <w:gridSpan w:val="4"/>
            <w:tcBorders>
              <w:bottom w:val="single" w:sz="2" w:space="0" w:color="1F2668"/>
            </w:tcBorders>
            <w:vAlign w:val="center"/>
          </w:tcPr>
          <w:p>
            <w:pPr>
              <w:pStyle w:val="TableContents"/>
              <w:bidi w:val="0"/>
              <w:spacing w:before="0" w:after="0"/>
              <w:jc w:val="right"/>
              <w:rPr/>
            </w:pPr>
            <w:r>
              <w:rPr>
                <w:spacing w:val="1"/>
              </w:rPr>
              <w:t xml:space="preserve">Compensation </w:t>
              <w:br/>
              <w:t xml:space="preserve">Actually Paid </w:t>
              <w:br/>
              <w:t xml:space="preserve">to PEO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76" w:type="dxa"/>
            </w:tcMar>
            <w:vAlign w:val="center"/>
          </w:tcPr>
          <w:p>
            <w:pPr>
              <w:pStyle w:val="TableContents"/>
              <w:bidi w:val="0"/>
              <w:spacing w:before="0" w:after="283"/>
              <w:jc w:val="right"/>
              <w:rPr/>
            </w:pPr>
            <w:r>
              <w:rPr/>
              <w:t>​</w:t>
            </w:r>
          </w:p>
        </w:tc>
        <w:tc>
          <w:tcPr>
            <w:tcW w:w="1208" w:type="dxa"/>
            <w:tcBorders>
              <w:bottom w:val="single" w:sz="2" w:space="0" w:color="4B5088"/>
            </w:tcBorders>
            <w:tcMar>
              <w:bottom w:w="76" w:type="dxa"/>
            </w:tcMar>
            <w:vAlign w:val="center"/>
          </w:tcPr>
          <w:p>
            <w:pPr>
              <w:pStyle w:val="TableContents"/>
              <w:bidi w:val="0"/>
              <w:spacing w:before="0" w:after="283"/>
              <w:jc w:val="right"/>
              <w:rPr/>
            </w:pPr>
            <w:r>
              <w:rPr/>
              <w:t>18,508,171</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(15,767,540)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28,055,437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30,796,068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76" w:type="dxa"/>
            </w:tcMar>
            <w:vAlign w:val="center"/>
          </w:tcPr>
          <w:p>
            <w:pPr>
              <w:pStyle w:val="TableContents"/>
              <w:bidi w:val="0"/>
              <w:spacing w:before="0" w:after="283"/>
              <w:jc w:val="right"/>
              <w:rPr/>
            </w:pPr>
            <w:r>
              <w:rPr/>
              <w:t>​</w:t>
            </w:r>
          </w:p>
        </w:tc>
        <w:tc>
          <w:tcPr>
            <w:tcW w:w="1208" w:type="dxa"/>
            <w:tcBorders>
              <w:bottom w:val="single" w:sz="2" w:space="0" w:color="4B5088"/>
            </w:tcBorders>
            <w:tcMar>
              <w:bottom w:w="76" w:type="dxa"/>
            </w:tcMar>
            <w:vAlign w:val="center"/>
          </w:tcPr>
          <w:p>
            <w:pPr>
              <w:pStyle w:val="TableContents"/>
              <w:bidi w:val="0"/>
              <w:spacing w:before="0" w:after="283"/>
              <w:jc w:val="right"/>
              <w:rPr/>
            </w:pPr>
            <w:r>
              <w:rPr/>
              <w:t>16,660,855</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(14,284,701)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(14,134,808)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(11,758,654)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11" w:type="dxa"/>
            <w:tcBorders>
              <w:bottom w:val="single" w:sz="2" w:space="0" w:color="4B5088"/>
            </w:tcBorders>
            <w:tcMar>
              <w:bottom w:w="76" w:type="dxa"/>
            </w:tcMar>
            <w:vAlign w:val="center"/>
          </w:tcPr>
          <w:p>
            <w:pPr>
              <w:pStyle w:val="TableContents"/>
              <w:bidi w:val="0"/>
              <w:spacing w:before="0" w:after="283"/>
              <w:jc w:val="right"/>
              <w:rPr/>
            </w:pPr>
            <w:r>
              <w:rPr/>
              <w:t>​</w:t>
            </w:r>
          </w:p>
        </w:tc>
        <w:tc>
          <w:tcPr>
            <w:tcW w:w="1208" w:type="dxa"/>
            <w:tcBorders>
              <w:bottom w:val="single" w:sz="2" w:space="0" w:color="4B5088"/>
            </w:tcBorders>
            <w:tcMar>
              <w:bottom w:w="76" w:type="dxa"/>
            </w:tcMar>
            <w:vAlign w:val="center"/>
          </w:tcPr>
          <w:p>
            <w:pPr>
              <w:pStyle w:val="TableContents"/>
              <w:bidi w:val="0"/>
              <w:spacing w:before="0" w:after="283"/>
              <w:jc w:val="right"/>
              <w:rPr/>
            </w:pPr>
            <w:r>
              <w:rPr/>
              <w:t>21,088,057</w:t>
            </w:r>
          </w:p>
        </w:tc>
        <w:tc>
          <w:tcPr>
            <w:tcW w:w="111"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(18,099,677)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29,653,826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336" w:type="dxa"/>
            <w:tcBorders>
              <w:bottom w:val="single" w:sz="2" w:space="0" w:color="4B5088"/>
            </w:tcBorders>
            <w:tcMar>
              <w:bottom w:w="76" w:type="dxa"/>
            </w:tcMar>
            <w:vAlign w:val="center"/>
          </w:tcPr>
          <w:p>
            <w:pPr>
              <w:pStyle w:val="TableContents"/>
              <w:bidi w:val="0"/>
              <w:spacing w:before="0" w:after="283"/>
              <w:jc w:val="right"/>
              <w:rPr/>
            </w:pPr>
            <w:r>
              <w:rPr/>
              <w:t>32,642,206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rPr>
              <w:t>2020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1F2668"/>
            </w:tcBorders>
            <w:tcMar>
              <w:bottom w:w="28" w:type="dxa"/>
            </w:tcMar>
            <w:vAlign w:val="center"/>
          </w:tcPr>
          <w:p>
            <w:pPr>
              <w:pStyle w:val="TableContents"/>
              <w:bidi w:val="0"/>
              <w:spacing w:before="0" w:after="283"/>
              <w:jc w:val="left"/>
              <w:rPr/>
            </w:pPr>
            <w:r>
              <w:rPr/>
              <w:t>​</w:t>
            </w:r>
          </w:p>
        </w:tc>
        <w:tc>
          <w:tcPr>
            <w:tcW w:w="111" w:type="dxa"/>
            <w:tcBorders>
              <w:bottom w:val="single" w:sz="2" w:space="0" w:color="1F2668"/>
            </w:tcBorders>
            <w:tcMar>
              <w:bottom w:w="76" w:type="dxa"/>
            </w:tcMar>
            <w:vAlign w:val="center"/>
          </w:tcPr>
          <w:p>
            <w:pPr>
              <w:pStyle w:val="TableContents"/>
              <w:bidi w:val="0"/>
              <w:spacing w:before="0" w:after="283"/>
              <w:jc w:val="right"/>
              <w:rPr/>
            </w:pPr>
            <w:r>
              <w:rPr/>
              <w:t>​</w:t>
            </w:r>
          </w:p>
        </w:tc>
        <w:tc>
          <w:tcPr>
            <w:tcW w:w="1208" w:type="dxa"/>
            <w:tcBorders>
              <w:bottom w:val="single" w:sz="2" w:space="0" w:color="1F2668"/>
            </w:tcBorders>
            <w:tcMar>
              <w:bottom w:w="76" w:type="dxa"/>
            </w:tcMar>
            <w:vAlign w:val="center"/>
          </w:tcPr>
          <w:p>
            <w:pPr>
              <w:pStyle w:val="TableContents"/>
              <w:bidi w:val="0"/>
              <w:spacing w:before="0" w:after="283"/>
              <w:jc w:val="right"/>
              <w:rPr/>
            </w:pPr>
            <w:r>
              <w:rPr/>
              <w:t>15,194,726</w:t>
            </w:r>
          </w:p>
        </w:tc>
        <w:tc>
          <w:tcPr>
            <w:tcW w:w="111"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336" w:type="dxa"/>
            <w:tcBorders>
              <w:bottom w:val="single" w:sz="2" w:space="0" w:color="1F2668"/>
            </w:tcBorders>
            <w:tcMar>
              <w:bottom w:w="76" w:type="dxa"/>
            </w:tcMar>
            <w:vAlign w:val="center"/>
          </w:tcPr>
          <w:p>
            <w:pPr>
              <w:pStyle w:val="TableContents"/>
              <w:bidi w:val="0"/>
              <w:spacing w:before="0" w:after="283"/>
              <w:jc w:val="right"/>
              <w:rPr/>
            </w:pPr>
            <w:r>
              <w:rPr/>
              <w:t>(12,643,310)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336" w:type="dxa"/>
            <w:tcBorders>
              <w:bottom w:val="single" w:sz="2" w:space="0" w:color="1F2668"/>
            </w:tcBorders>
            <w:tcMar>
              <w:bottom w:w="76" w:type="dxa"/>
            </w:tcMar>
            <w:vAlign w:val="center"/>
          </w:tcPr>
          <w:p>
            <w:pPr>
              <w:pStyle w:val="TableContents"/>
              <w:bidi w:val="0"/>
              <w:spacing w:before="0" w:after="283"/>
              <w:jc w:val="right"/>
              <w:rPr/>
            </w:pPr>
            <w:r>
              <w:rPr/>
              <w:t>7,065,918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336" w:type="dxa"/>
            <w:tcBorders>
              <w:bottom w:val="single" w:sz="2" w:space="0" w:color="1F2668"/>
            </w:tcBorders>
            <w:tcMar>
              <w:bottom w:w="76" w:type="dxa"/>
            </w:tcMar>
            <w:vAlign w:val="center"/>
          </w:tcPr>
          <w:p>
            <w:pPr>
              <w:pStyle w:val="TableContents"/>
              <w:bidi w:val="0"/>
              <w:spacing w:before="0" w:after="283"/>
              <w:jc w:val="right"/>
              <w:rPr/>
            </w:pPr>
            <w:r>
              <w:rPr/>
              <w:t>9,617,334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amounts reported in the “Stock Awards” column of the Summary Compensation Table for the applicable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847">
                <wp:simplePos x="0" y="0"/>
                <wp:positionH relativeFrom="column">
                  <wp:align>left</wp:align>
                </wp:positionH>
                <wp:positionV relativeFrom="line">
                  <wp:align>top</wp:align>
                </wp:positionV>
                <wp:extent cx="254000" cy="254000"/>
                <wp:effectExtent l="0" t="0" r="0" b="0"/>
                <wp:wrapSquare wrapText="right"/>
                <wp:docPr id="929" name="Frame55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(a)</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(a)</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2"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the subtraction of the fair value of such awards at the end of the prior fiscal year; and (vi) the dollar value of any dividends or other earnings paid on such awards in the applicable year prior to the vesting date. The amounts deducted or added in calculating the equity award adjustments are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2070" distB="0" distL="254000" distR="0" simplePos="0" locked="0" layoutInCell="1" allowOverlap="1" relativeHeight="848">
                <wp:simplePos x="0" y="0"/>
                <wp:positionH relativeFrom="column">
                  <wp:align>left</wp:align>
                </wp:positionH>
                <wp:positionV relativeFrom="line">
                  <wp:align>top</wp:align>
                </wp:positionV>
                <wp:extent cx="254000" cy="254000"/>
                <wp:effectExtent l="0" t="0" r="0" b="0"/>
                <wp:wrapSquare wrapText="right"/>
                <wp:docPr id="930" name="Frame55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(b)</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(b)</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12692" w:type="dxa"/>
        <w:jc w:val="left"/>
        <w:tblInd w:w="900" w:type="dxa"/>
        <w:tblLayout w:type="fixed"/>
        <w:tblCellMar>
          <w:top w:w="0" w:type="dxa"/>
          <w:left w:w="0" w:type="dxa"/>
          <w:bottom w:w="73" w:type="dxa"/>
          <w:right w:w="0" w:type="dxa"/>
        </w:tblCellMar>
      </w:tblPr>
      <w:tblGrid>
        <w:gridCol w:w="601"/>
        <w:gridCol w:w="109"/>
        <w:gridCol w:w="109"/>
        <w:gridCol w:w="109"/>
        <w:gridCol w:w="109"/>
        <w:gridCol w:w="1186"/>
        <w:gridCol w:w="109"/>
        <w:gridCol w:w="109"/>
        <w:gridCol w:w="109"/>
        <w:gridCol w:w="109"/>
        <w:gridCol w:w="109"/>
        <w:gridCol w:w="1261"/>
        <w:gridCol w:w="109"/>
        <w:gridCol w:w="109"/>
        <w:gridCol w:w="109"/>
        <w:gridCol w:w="109"/>
        <w:gridCol w:w="109"/>
        <w:gridCol w:w="1066"/>
        <w:gridCol w:w="109"/>
        <w:gridCol w:w="109"/>
        <w:gridCol w:w="109"/>
        <w:gridCol w:w="109"/>
        <w:gridCol w:w="109"/>
        <w:gridCol w:w="1141"/>
        <w:gridCol w:w="109"/>
        <w:gridCol w:w="109"/>
        <w:gridCol w:w="109"/>
        <w:gridCol w:w="109"/>
        <w:gridCol w:w="109"/>
        <w:gridCol w:w="1141"/>
        <w:gridCol w:w="109"/>
        <w:gridCol w:w="109"/>
        <w:gridCol w:w="109"/>
        <w:gridCol w:w="109"/>
        <w:gridCol w:w="109"/>
        <w:gridCol w:w="1066"/>
        <w:gridCol w:w="109"/>
        <w:gridCol w:w="109"/>
        <w:gridCol w:w="109"/>
        <w:gridCol w:w="109"/>
        <w:gridCol w:w="109"/>
        <w:gridCol w:w="1261"/>
        <w:gridCol w:w="109"/>
        <w:gridCol w:w="154"/>
      </w:tblGrid>
      <w:tr>
        <w:trPr/>
        <w:tc>
          <w:tcPr>
            <w:tcW w:w="601"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vAlign w:val="center"/>
          </w:tcPr>
          <w:p>
            <w:pPr>
              <w:pStyle w:val="TableContents"/>
              <w:bidi w:val="0"/>
              <w:spacing w:before="0" w:after="0"/>
              <w:jc w:val="right"/>
              <w:rPr/>
            </w:pPr>
            <w:r>
              <w:rPr>
                <w:spacing w:val="1"/>
              </w:rPr>
              <w:t xml:space="preserve">Year End Fair </w:t>
              <w:br/>
              <w:t xml:space="preserve">Value of Equity </w:t>
              <w:br/>
              <w:t xml:space="preserve">Awards Granted </w:t>
              <w:br/>
              <w:t xml:space="preserve">in the Year </w:t>
              <w:br/>
              <w:t xml:space="preserve">and Unvested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1F2668"/>
            </w:tcBorders>
            <w:vAlign w:val="center"/>
          </w:tcPr>
          <w:p>
            <w:pPr>
              <w:pStyle w:val="TableContents"/>
              <w:bidi w:val="0"/>
              <w:spacing w:before="0" w:after="0"/>
              <w:jc w:val="right"/>
              <w:rPr/>
            </w:pPr>
            <w:r>
              <w:rPr>
                <w:spacing w:val="1"/>
              </w:rPr>
              <w:t xml:space="preserve">Year over Year </w:t>
              <w:br/>
              <w:t xml:space="preserve">Change in </w:t>
              <w:br/>
              <w:t xml:space="preserve">Fair Value of </w:t>
              <w:br/>
              <w:t xml:space="preserve">Outstanding and </w:t>
              <w:br/>
              <w:t xml:space="preserve">Unvested Equity </w:t>
              <w:br/>
              <w:t xml:space="preserve">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Fair Value as of </w:t>
              <w:br/>
              <w:t xml:space="preserve">Vesting Date of </w:t>
              <w:br/>
              <w:t xml:space="preserve">Equity Awards </w:t>
              <w:br/>
              <w:t xml:space="preserve">Granted and </w:t>
              <w:br/>
              <w:t xml:space="preserve">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Year over Year </w:t>
              <w:br/>
              <w:t xml:space="preserve">Change in Fair Value </w:t>
              <w:br/>
              <w:t xml:space="preserve">of Equity Awards </w:t>
              <w:br/>
              <w:t xml:space="preserve">Granted in Prior </w:t>
              <w:br/>
              <w:t xml:space="preserve">Years that 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Fair Value at </w:t>
              <w:br/>
              <w:t xml:space="preserve">the End of the </w:t>
              <w:br/>
              <w:t xml:space="preserve">Prior Year of </w:t>
              <w:br/>
              <w:t xml:space="preserve">Equity Awards </w:t>
              <w:br/>
              <w:t xml:space="preserve">that Failed to </w:t>
              <w:br/>
              <w:t xml:space="preserve">Meet Vesting </w:t>
              <w:br/>
              <w:t xml:space="preserve">Conditions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Value of </w:t>
              <w:br/>
              <w:t xml:space="preserve">Dividends or </w:t>
              <w:br/>
              <w:t xml:space="preserve">other Earnings </w:t>
              <w:br/>
              <w:t xml:space="preserve">Paid on 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Total Equity </w:t>
              <w:br/>
              <w:t xml:space="preserve">Award </w:t>
              <w:br/>
              <w:t xml:space="preserve">Adjustments </w:t>
              <w:br/>
              <w:t>($)</w:t>
            </w:r>
            <w:r>
              <w:rPr>
                <w:spacing w:val="1"/>
                <w:sz w:val="9"/>
              </w:rPr>
              <w:t>(i)</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18,575,794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4,556,883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1,292,938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2,027,376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1,602,445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28,055,437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4,807,388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(14,493,069)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683,334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(2,002,870)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(4,842,970)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1,713,380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(14,134,808)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25,933,302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2,631,512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1,318,015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(1,636,532)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1,407,529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61" w:type="dxa"/>
            <w:tcBorders>
              <w:bottom w:val="single" w:sz="2" w:space="0" w:color="4B5088"/>
            </w:tcBorders>
            <w:tcMar>
              <w:bottom w:w="76" w:type="dxa"/>
            </w:tcMar>
            <w:vAlign w:val="center"/>
          </w:tcPr>
          <w:p>
            <w:pPr>
              <w:pStyle w:val="TableContents"/>
              <w:bidi w:val="0"/>
              <w:spacing w:before="0" w:after="283"/>
              <w:jc w:val="right"/>
              <w:rPr/>
            </w:pPr>
            <w:r>
              <w:rPr/>
              <w:t>29,653,826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rPr>
              <w:t>2020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86" w:type="dxa"/>
            <w:tcBorders>
              <w:bottom w:val="single" w:sz="2" w:space="0" w:color="1F2668"/>
            </w:tcBorders>
            <w:tcMar>
              <w:bottom w:w="76" w:type="dxa"/>
            </w:tcMar>
            <w:vAlign w:val="center"/>
          </w:tcPr>
          <w:p>
            <w:pPr>
              <w:pStyle w:val="TableContents"/>
              <w:bidi w:val="0"/>
              <w:spacing w:before="0" w:after="283"/>
              <w:jc w:val="right"/>
              <w:rPr/>
            </w:pPr>
            <w:r>
              <w:rPr/>
              <w:t>8,918,153</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261" w:type="dxa"/>
            <w:tcBorders>
              <w:bottom w:val="single" w:sz="2" w:space="0" w:color="1F2668"/>
            </w:tcBorders>
            <w:tcMar>
              <w:bottom w:w="76" w:type="dxa"/>
            </w:tcMar>
            <w:vAlign w:val="center"/>
          </w:tcPr>
          <w:p>
            <w:pPr>
              <w:pStyle w:val="TableContents"/>
              <w:bidi w:val="0"/>
              <w:spacing w:before="0" w:after="283"/>
              <w:jc w:val="right"/>
              <w:rPr/>
            </w:pPr>
            <w:r>
              <w:rPr/>
              <w:t>(3,385,784)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982,595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550,954</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261" w:type="dxa"/>
            <w:tcBorders>
              <w:bottom w:val="single" w:sz="2" w:space="0" w:color="1F2668"/>
            </w:tcBorders>
            <w:tcMar>
              <w:bottom w:w="76" w:type="dxa"/>
            </w:tcMar>
            <w:vAlign w:val="center"/>
          </w:tcPr>
          <w:p>
            <w:pPr>
              <w:pStyle w:val="TableContents"/>
              <w:bidi w:val="0"/>
              <w:spacing w:before="0" w:after="283"/>
              <w:jc w:val="right"/>
              <w:rPr/>
            </w:pPr>
            <w:r>
              <w:rPr/>
              <w:t>7,065,918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1F2668"/>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78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21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508000" distR="0" simplePos="0" locked="0" layoutInCell="1" allowOverlap="1" relativeHeight="849">
                <wp:simplePos x="0" y="0"/>
                <wp:positionH relativeFrom="column">
                  <wp:align>left</wp:align>
                </wp:positionH>
                <wp:positionV relativeFrom="line">
                  <wp:posOffset>635</wp:posOffset>
                </wp:positionV>
                <wp:extent cx="254000" cy="254000"/>
                <wp:effectExtent l="0" t="0" r="0" b="0"/>
                <wp:wrapSquare wrapText="right"/>
                <wp:docPr id="931" name="Frame55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(i)</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(i)</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amounts of average “compensation actually paid” as computed in accordance with Item 402(v) of Regulation S-K, not the actual average amount of compensation earned by or paid to our named executive officers other than Mr. Holliday as a group. The table below reflects the adjustments made from the amounts reported in the “Total” column of the Summary Compensation Table for the named executive officers as a group (excluding Mr. Holliday) each year to calculate the amounts set forth in “Compensation Actually Paid to non-PEO NEOs” column in the table above, using the same methodology as set forth in footnote 1(b), above.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50">
                <wp:simplePos x="0" y="0"/>
                <wp:positionH relativeFrom="column">
                  <wp:align>left</wp:align>
                </wp:positionH>
                <wp:positionV relativeFrom="line">
                  <wp:align>top</wp:align>
                </wp:positionV>
                <wp:extent cx="254000" cy="254000"/>
                <wp:effectExtent l="0" t="0" r="0" b="0"/>
                <wp:wrapSquare wrapText="right"/>
                <wp:docPr id="932" name="Frame55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(2)</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(2)</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8683" w:type="dxa"/>
        <w:jc w:val="left"/>
        <w:tblInd w:w="900" w:type="dxa"/>
        <w:tblLayout w:type="fixed"/>
        <w:tblCellMar>
          <w:top w:w="0" w:type="dxa"/>
          <w:left w:w="0" w:type="dxa"/>
          <w:bottom w:w="73" w:type="dxa"/>
          <w:right w:w="0" w:type="dxa"/>
        </w:tblCellMar>
      </w:tblPr>
      <w:tblGrid>
        <w:gridCol w:w="649"/>
        <w:gridCol w:w="109"/>
        <w:gridCol w:w="109"/>
        <w:gridCol w:w="166"/>
        <w:gridCol w:w="166"/>
        <w:gridCol w:w="1642"/>
        <w:gridCol w:w="170"/>
        <w:gridCol w:w="109"/>
        <w:gridCol w:w="109"/>
        <w:gridCol w:w="114"/>
        <w:gridCol w:w="114"/>
        <w:gridCol w:w="1273"/>
        <w:gridCol w:w="114"/>
        <w:gridCol w:w="109"/>
        <w:gridCol w:w="109"/>
        <w:gridCol w:w="109"/>
        <w:gridCol w:w="109"/>
        <w:gridCol w:w="1216"/>
        <w:gridCol w:w="109"/>
        <w:gridCol w:w="109"/>
        <w:gridCol w:w="109"/>
        <w:gridCol w:w="118"/>
        <w:gridCol w:w="118"/>
        <w:gridCol w:w="1352"/>
        <w:gridCol w:w="118"/>
        <w:gridCol w:w="154"/>
      </w:tblGrid>
      <w:tr>
        <w:trPr/>
        <w:tc>
          <w:tcPr>
            <w:tcW w:w="649" w:type="dxa"/>
            <w:tcBorders>
              <w:bottom w:val="single" w:sz="2" w:space="0" w:color="1F2668"/>
            </w:tcBorders>
            <w:vAlign w:val="center"/>
          </w:tcPr>
          <w:p>
            <w:pPr>
              <w:pStyle w:val="TableContents"/>
              <w:bidi w:val="0"/>
              <w:spacing w:before="0" w:after="0"/>
              <w:jc w:val="left"/>
              <w:rPr>
                <w:spacing w:val="1"/>
              </w:rPr>
            </w:pPr>
            <w:r>
              <w:rPr>
                <w:spacing w:val="1"/>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4" w:type="dxa"/>
            <w:gridSpan w:val="4"/>
            <w:tcBorders>
              <w:bottom w:val="single" w:sz="2" w:space="0" w:color="1F2668"/>
            </w:tcBorders>
            <w:vAlign w:val="center"/>
          </w:tcPr>
          <w:p>
            <w:pPr>
              <w:pStyle w:val="TableContents"/>
              <w:bidi w:val="0"/>
              <w:spacing w:before="0" w:after="0"/>
              <w:jc w:val="right"/>
              <w:rPr/>
            </w:pPr>
            <w:r>
              <w:rPr>
                <w:spacing w:val="1"/>
              </w:rPr>
              <w:t xml:space="preserve">Average Reported </w:t>
              <w:br/>
              <w:t xml:space="preserve">Summary </w:t>
              <w:br/>
              <w:t xml:space="preserve">Compensation Table </w:t>
              <w:br/>
              <w:t xml:space="preserve">Total for Non-PEO </w:t>
              <w:br/>
              <w:t xml:space="preserve">NEOs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5"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Less Average </w:t>
              <w:br/>
              <w:t xml:space="preserve">Summary </w:t>
              <w:br/>
              <w:t xml:space="preserve">Compensation </w:t>
              <w:br/>
              <w:t xml:space="preserve">Table Value of </w:t>
              <w:br/>
              <w:t xml:space="preserve">Equity Awards </w:t>
              <w:br/>
              <w:t>($)</w:t>
            </w:r>
            <w:r>
              <w:rPr>
                <w:spacing w:val="1"/>
                <w:sz w:val="9"/>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1F2668"/>
            </w:tcBorders>
            <w:vAlign w:val="center"/>
          </w:tcPr>
          <w:p>
            <w:pPr>
              <w:pStyle w:val="TableContents"/>
              <w:bidi w:val="0"/>
              <w:spacing w:lineRule="atLeast" w:line="142" w:before="0" w:after="0"/>
              <w:jc w:val="right"/>
              <w:rPr/>
            </w:pPr>
            <w:r>
              <w:rPr>
                <w:spacing w:val="1"/>
              </w:rPr>
              <w:t xml:space="preserve">Average </w:t>
              <w:br/>
              <w:t xml:space="preserve">Fair Value of </w:t>
              <w:br/>
              <w:t xml:space="preserve">Equity Award </w:t>
              <w:br/>
              <w:t xml:space="preserve">Adjustments </w:t>
              <w:br/>
              <w:t>($)</w:t>
            </w:r>
            <w:r>
              <w:rPr>
                <w:spacing w:val="1"/>
                <w:sz w:val="9"/>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06"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Compensation </w:t>
              <w:br/>
              <w:t xml:space="preserve">Actually Paid to </w:t>
              <w:br/>
              <w:t xml:space="preserve">Non-PEO </w:t>
              <w:br/>
              <w:t xml:space="preserve">NEOs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76" w:type="dxa"/>
            </w:tcMar>
            <w:vAlign w:val="center"/>
          </w:tcPr>
          <w:p>
            <w:pPr>
              <w:pStyle w:val="TableContents"/>
              <w:bidi w:val="0"/>
              <w:spacing w:before="0" w:after="283"/>
              <w:jc w:val="right"/>
              <w:rPr/>
            </w:pPr>
            <w:r>
              <w:rPr/>
              <w:t>​</w:t>
            </w:r>
          </w:p>
        </w:tc>
        <w:tc>
          <w:tcPr>
            <w:tcW w:w="1642" w:type="dxa"/>
            <w:tcBorders>
              <w:bottom w:val="single" w:sz="2" w:space="0" w:color="4B5088"/>
            </w:tcBorders>
            <w:tcMar>
              <w:bottom w:w="76" w:type="dxa"/>
            </w:tcMar>
            <w:vAlign w:val="center"/>
          </w:tcPr>
          <w:p>
            <w:pPr>
              <w:pStyle w:val="TableContents"/>
              <w:bidi w:val="0"/>
              <w:spacing w:before="0" w:after="283"/>
              <w:jc w:val="right"/>
              <w:rPr/>
            </w:pPr>
            <w:r>
              <w:rPr/>
              <w:t>6,439,504</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76" w:type="dxa"/>
            </w:tcMar>
            <w:vAlign w:val="center"/>
          </w:tcPr>
          <w:p>
            <w:pPr>
              <w:pStyle w:val="TableContents"/>
              <w:bidi w:val="0"/>
              <w:spacing w:before="0" w:after="283"/>
              <w:jc w:val="right"/>
              <w:rPr/>
            </w:pPr>
            <w:r>
              <w:rPr/>
              <w:t>​</w:t>
            </w:r>
          </w:p>
        </w:tc>
        <w:tc>
          <w:tcPr>
            <w:tcW w:w="1273" w:type="dxa"/>
            <w:tcBorders>
              <w:bottom w:val="single" w:sz="2" w:space="0" w:color="4B5088"/>
            </w:tcBorders>
            <w:tcMar>
              <w:bottom w:w="76" w:type="dxa"/>
            </w:tcMar>
            <w:vAlign w:val="center"/>
          </w:tcPr>
          <w:p>
            <w:pPr>
              <w:pStyle w:val="TableContents"/>
              <w:bidi w:val="0"/>
              <w:spacing w:before="0" w:after="283"/>
              <w:jc w:val="right"/>
              <w:rPr/>
            </w:pPr>
            <w:r>
              <w:rPr/>
              <w:t>(5,716,304)</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9,907,397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76" w:type="dxa"/>
            </w:tcMar>
            <w:vAlign w:val="center"/>
          </w:tcPr>
          <w:p>
            <w:pPr>
              <w:pStyle w:val="TableContents"/>
              <w:bidi w:val="0"/>
              <w:spacing w:before="0" w:after="283"/>
              <w:jc w:val="right"/>
              <w:rPr/>
            </w:pPr>
            <w:r>
              <w:rPr/>
              <w:t>​</w:t>
            </w:r>
          </w:p>
        </w:tc>
        <w:tc>
          <w:tcPr>
            <w:tcW w:w="1352" w:type="dxa"/>
            <w:tcBorders>
              <w:bottom w:val="single" w:sz="2" w:space="0" w:color="4B5088"/>
            </w:tcBorders>
            <w:tcMar>
              <w:bottom w:w="76" w:type="dxa"/>
            </w:tcMar>
            <w:vAlign w:val="center"/>
          </w:tcPr>
          <w:p>
            <w:pPr>
              <w:pStyle w:val="TableContents"/>
              <w:bidi w:val="0"/>
              <w:spacing w:before="0" w:after="283"/>
              <w:jc w:val="right"/>
              <w:rPr/>
            </w:pPr>
            <w:r>
              <w:rPr/>
              <w:t>10,630,597</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76" w:type="dxa"/>
            </w:tcMar>
            <w:vAlign w:val="center"/>
          </w:tcPr>
          <w:p>
            <w:pPr>
              <w:pStyle w:val="TableContents"/>
              <w:bidi w:val="0"/>
              <w:spacing w:before="0" w:after="283"/>
              <w:jc w:val="right"/>
              <w:rPr/>
            </w:pPr>
            <w:r>
              <w:rPr/>
              <w:t>​</w:t>
            </w:r>
          </w:p>
        </w:tc>
        <w:tc>
          <w:tcPr>
            <w:tcW w:w="1642" w:type="dxa"/>
            <w:tcBorders>
              <w:bottom w:val="single" w:sz="2" w:space="0" w:color="4B5088"/>
            </w:tcBorders>
            <w:tcMar>
              <w:bottom w:w="76" w:type="dxa"/>
            </w:tcMar>
            <w:vAlign w:val="center"/>
          </w:tcPr>
          <w:p>
            <w:pPr>
              <w:pStyle w:val="TableContents"/>
              <w:bidi w:val="0"/>
              <w:spacing w:before="0" w:after="283"/>
              <w:jc w:val="right"/>
              <w:rPr/>
            </w:pPr>
            <w:r>
              <w:rPr/>
              <w:t>7,006,710</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76" w:type="dxa"/>
            </w:tcMar>
            <w:vAlign w:val="center"/>
          </w:tcPr>
          <w:p>
            <w:pPr>
              <w:pStyle w:val="TableContents"/>
              <w:bidi w:val="0"/>
              <w:spacing w:before="0" w:after="283"/>
              <w:jc w:val="right"/>
              <w:rPr/>
            </w:pPr>
            <w:r>
              <w:rPr/>
              <w:t>​</w:t>
            </w:r>
          </w:p>
        </w:tc>
        <w:tc>
          <w:tcPr>
            <w:tcW w:w="1273" w:type="dxa"/>
            <w:tcBorders>
              <w:bottom w:val="single" w:sz="2" w:space="0" w:color="4B5088"/>
            </w:tcBorders>
            <w:tcMar>
              <w:bottom w:w="76" w:type="dxa"/>
            </w:tcMar>
            <w:vAlign w:val="center"/>
          </w:tcPr>
          <w:p>
            <w:pPr>
              <w:pStyle w:val="TableContents"/>
              <w:bidi w:val="0"/>
              <w:spacing w:before="0" w:after="283"/>
              <w:jc w:val="right"/>
              <w:rPr/>
            </w:pPr>
            <w:r>
              <w:rPr/>
              <w:t>(6,036,720)</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(3,359,296)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76" w:type="dxa"/>
            </w:tcMar>
            <w:vAlign w:val="center"/>
          </w:tcPr>
          <w:p>
            <w:pPr>
              <w:pStyle w:val="TableContents"/>
              <w:bidi w:val="0"/>
              <w:spacing w:before="0" w:after="283"/>
              <w:jc w:val="right"/>
              <w:rPr/>
            </w:pPr>
            <w:r>
              <w:rPr/>
              <w:t>​</w:t>
            </w:r>
          </w:p>
        </w:tc>
        <w:tc>
          <w:tcPr>
            <w:tcW w:w="1352" w:type="dxa"/>
            <w:tcBorders>
              <w:bottom w:val="single" w:sz="2" w:space="0" w:color="4B5088"/>
            </w:tcBorders>
            <w:tcMar>
              <w:bottom w:w="76" w:type="dxa"/>
            </w:tcMar>
            <w:vAlign w:val="center"/>
          </w:tcPr>
          <w:p>
            <w:pPr>
              <w:pStyle w:val="TableContents"/>
              <w:bidi w:val="0"/>
              <w:spacing w:before="0" w:after="283"/>
              <w:jc w:val="right"/>
              <w:rPr/>
            </w:pPr>
            <w:r>
              <w:rPr/>
              <w:t>(2,389,306)</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28" w:type="dxa"/>
            </w:tcMar>
            <w:vAlign w:val="center"/>
          </w:tcPr>
          <w:p>
            <w:pPr>
              <w:pStyle w:val="TableContents"/>
              <w:bidi w:val="0"/>
              <w:spacing w:before="0" w:after="283"/>
              <w:jc w:val="left"/>
              <w:rPr/>
            </w:pPr>
            <w:r>
              <w:rPr/>
              <w:t>​</w:t>
            </w:r>
          </w:p>
        </w:tc>
        <w:tc>
          <w:tcPr>
            <w:tcW w:w="166" w:type="dxa"/>
            <w:tcBorders>
              <w:bottom w:val="single" w:sz="2" w:space="0" w:color="4B5088"/>
            </w:tcBorders>
            <w:tcMar>
              <w:bottom w:w="76" w:type="dxa"/>
            </w:tcMar>
            <w:vAlign w:val="center"/>
          </w:tcPr>
          <w:p>
            <w:pPr>
              <w:pStyle w:val="TableContents"/>
              <w:bidi w:val="0"/>
              <w:spacing w:before="0" w:after="283"/>
              <w:jc w:val="right"/>
              <w:rPr/>
            </w:pPr>
            <w:r>
              <w:rPr/>
              <w:t>​</w:t>
            </w:r>
          </w:p>
        </w:tc>
        <w:tc>
          <w:tcPr>
            <w:tcW w:w="1642" w:type="dxa"/>
            <w:tcBorders>
              <w:bottom w:val="single" w:sz="2" w:space="0" w:color="4B5088"/>
            </w:tcBorders>
            <w:tcMar>
              <w:bottom w:w="76" w:type="dxa"/>
            </w:tcMar>
            <w:vAlign w:val="center"/>
          </w:tcPr>
          <w:p>
            <w:pPr>
              <w:pStyle w:val="TableContents"/>
              <w:bidi w:val="0"/>
              <w:spacing w:before="0" w:after="283"/>
              <w:jc w:val="right"/>
              <w:rPr/>
            </w:pPr>
            <w:r>
              <w:rPr/>
              <w:t>7,711,773</w:t>
            </w:r>
          </w:p>
        </w:tc>
        <w:tc>
          <w:tcPr>
            <w:tcW w:w="17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14" w:type="dxa"/>
            <w:tcBorders>
              <w:bottom w:val="single" w:sz="2" w:space="0" w:color="4B5088"/>
            </w:tcBorders>
            <w:tcMar>
              <w:bottom w:w="76" w:type="dxa"/>
            </w:tcMar>
            <w:vAlign w:val="center"/>
          </w:tcPr>
          <w:p>
            <w:pPr>
              <w:pStyle w:val="TableContents"/>
              <w:bidi w:val="0"/>
              <w:spacing w:before="0" w:after="283"/>
              <w:jc w:val="right"/>
              <w:rPr/>
            </w:pPr>
            <w:r>
              <w:rPr/>
              <w:t>​</w:t>
            </w:r>
          </w:p>
        </w:tc>
        <w:tc>
          <w:tcPr>
            <w:tcW w:w="1273" w:type="dxa"/>
            <w:tcBorders>
              <w:bottom w:val="single" w:sz="2" w:space="0" w:color="4B5088"/>
            </w:tcBorders>
            <w:tcMar>
              <w:bottom w:w="76" w:type="dxa"/>
            </w:tcMar>
            <w:vAlign w:val="center"/>
          </w:tcPr>
          <w:p>
            <w:pPr>
              <w:pStyle w:val="TableContents"/>
              <w:bidi w:val="0"/>
              <w:spacing w:before="0" w:after="283"/>
              <w:jc w:val="right"/>
              <w:rPr/>
            </w:pPr>
            <w:r>
              <w:rPr/>
              <w:t>(6,677,199)</w:t>
            </w:r>
          </w:p>
        </w:tc>
        <w:tc>
          <w:tcPr>
            <w:tcW w:w="114"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216" w:type="dxa"/>
            <w:tcBorders>
              <w:bottom w:val="single" w:sz="2" w:space="0" w:color="4B5088"/>
            </w:tcBorders>
            <w:tcMar>
              <w:bottom w:w="76" w:type="dxa"/>
            </w:tcMar>
            <w:vAlign w:val="center"/>
          </w:tcPr>
          <w:p>
            <w:pPr>
              <w:pStyle w:val="TableContents"/>
              <w:bidi w:val="0"/>
              <w:spacing w:before="0" w:after="283"/>
              <w:jc w:val="right"/>
              <w:rPr/>
            </w:pPr>
            <w:r>
              <w:rPr/>
              <w:t>10,530,465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18" w:type="dxa"/>
            <w:tcBorders>
              <w:bottom w:val="single" w:sz="2" w:space="0" w:color="4B5088"/>
            </w:tcBorders>
            <w:tcMar>
              <w:bottom w:w="76" w:type="dxa"/>
            </w:tcMar>
            <w:vAlign w:val="center"/>
          </w:tcPr>
          <w:p>
            <w:pPr>
              <w:pStyle w:val="TableContents"/>
              <w:bidi w:val="0"/>
              <w:spacing w:before="0" w:after="283"/>
              <w:jc w:val="right"/>
              <w:rPr/>
            </w:pPr>
            <w:r>
              <w:rPr/>
              <w:t>​</w:t>
            </w:r>
          </w:p>
        </w:tc>
        <w:tc>
          <w:tcPr>
            <w:tcW w:w="1352" w:type="dxa"/>
            <w:tcBorders>
              <w:bottom w:val="single" w:sz="2" w:space="0" w:color="4B5088"/>
            </w:tcBorders>
            <w:tcMar>
              <w:bottom w:w="76" w:type="dxa"/>
            </w:tcMar>
            <w:vAlign w:val="center"/>
          </w:tcPr>
          <w:p>
            <w:pPr>
              <w:pStyle w:val="TableContents"/>
              <w:bidi w:val="0"/>
              <w:spacing w:before="0" w:after="283"/>
              <w:jc w:val="right"/>
              <w:rPr/>
            </w:pPr>
            <w:r>
              <w:rPr/>
              <w:t xml:space="preserve">11,565,039 </w:t>
            </w:r>
          </w:p>
        </w:tc>
        <w:tc>
          <w:tcPr>
            <w:tcW w:w="118"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9"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rPr>
              <w:t>2020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 w:type="dxa"/>
            <w:tcBorders>
              <w:bottom w:val="single" w:sz="2" w:space="0" w:color="1F2668"/>
            </w:tcBorders>
            <w:tcMar>
              <w:bottom w:w="28" w:type="dxa"/>
            </w:tcMar>
            <w:vAlign w:val="center"/>
          </w:tcPr>
          <w:p>
            <w:pPr>
              <w:pStyle w:val="TableContents"/>
              <w:bidi w:val="0"/>
              <w:spacing w:before="0" w:after="283"/>
              <w:jc w:val="left"/>
              <w:rPr/>
            </w:pPr>
            <w:r>
              <w:rPr/>
              <w:t>​</w:t>
            </w:r>
          </w:p>
        </w:tc>
        <w:tc>
          <w:tcPr>
            <w:tcW w:w="166" w:type="dxa"/>
            <w:tcBorders>
              <w:bottom w:val="single" w:sz="2" w:space="0" w:color="1F2668"/>
            </w:tcBorders>
            <w:tcMar>
              <w:bottom w:w="76" w:type="dxa"/>
            </w:tcMar>
            <w:vAlign w:val="center"/>
          </w:tcPr>
          <w:p>
            <w:pPr>
              <w:pStyle w:val="TableContents"/>
              <w:bidi w:val="0"/>
              <w:spacing w:before="0" w:after="283"/>
              <w:jc w:val="right"/>
              <w:rPr/>
            </w:pPr>
            <w:r>
              <w:rPr/>
              <w:t>​</w:t>
            </w:r>
          </w:p>
        </w:tc>
        <w:tc>
          <w:tcPr>
            <w:tcW w:w="1642" w:type="dxa"/>
            <w:tcBorders>
              <w:bottom w:val="single" w:sz="2" w:space="0" w:color="1F2668"/>
            </w:tcBorders>
            <w:tcMar>
              <w:bottom w:w="76" w:type="dxa"/>
            </w:tcMar>
            <w:vAlign w:val="center"/>
          </w:tcPr>
          <w:p>
            <w:pPr>
              <w:pStyle w:val="TableContents"/>
              <w:bidi w:val="0"/>
              <w:spacing w:before="0" w:after="283"/>
              <w:jc w:val="right"/>
              <w:rPr/>
            </w:pPr>
            <w:r>
              <w:rPr/>
              <w:t>6,741,540</w:t>
            </w:r>
          </w:p>
        </w:tc>
        <w:tc>
          <w:tcPr>
            <w:tcW w:w="17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14" w:type="dxa"/>
            <w:tcBorders>
              <w:bottom w:val="single" w:sz="2" w:space="0" w:color="1F2668"/>
            </w:tcBorders>
            <w:tcMar>
              <w:bottom w:w="76" w:type="dxa"/>
            </w:tcMar>
            <w:vAlign w:val="center"/>
          </w:tcPr>
          <w:p>
            <w:pPr>
              <w:pStyle w:val="TableContents"/>
              <w:bidi w:val="0"/>
              <w:spacing w:before="0" w:after="283"/>
              <w:jc w:val="right"/>
              <w:rPr/>
            </w:pPr>
            <w:r>
              <w:rPr/>
              <w:t>​</w:t>
            </w:r>
          </w:p>
        </w:tc>
        <w:tc>
          <w:tcPr>
            <w:tcW w:w="1273" w:type="dxa"/>
            <w:tcBorders>
              <w:bottom w:val="single" w:sz="2" w:space="0" w:color="1F2668"/>
            </w:tcBorders>
            <w:tcMar>
              <w:bottom w:w="76" w:type="dxa"/>
            </w:tcMar>
            <w:vAlign w:val="center"/>
          </w:tcPr>
          <w:p>
            <w:pPr>
              <w:pStyle w:val="TableContents"/>
              <w:bidi w:val="0"/>
              <w:spacing w:before="0" w:after="283"/>
              <w:jc w:val="right"/>
              <w:rPr/>
            </w:pPr>
            <w:r>
              <w:rPr/>
              <w:t>(4,872,895)</w:t>
            </w:r>
          </w:p>
        </w:tc>
        <w:tc>
          <w:tcPr>
            <w:tcW w:w="114"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216" w:type="dxa"/>
            <w:tcBorders>
              <w:bottom w:val="single" w:sz="2" w:space="0" w:color="1F2668"/>
            </w:tcBorders>
            <w:tcMar>
              <w:bottom w:w="76" w:type="dxa"/>
            </w:tcMar>
            <w:vAlign w:val="center"/>
          </w:tcPr>
          <w:p>
            <w:pPr>
              <w:pStyle w:val="TableContents"/>
              <w:bidi w:val="0"/>
              <w:spacing w:before="0" w:after="283"/>
              <w:jc w:val="right"/>
              <w:rPr/>
            </w:pPr>
            <w:r>
              <w:rPr/>
              <w:t xml:space="preserve">2,855,032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118" w:type="dxa"/>
            <w:tcBorders>
              <w:bottom w:val="single" w:sz="2" w:space="0" w:color="1F2668"/>
            </w:tcBorders>
            <w:tcMar>
              <w:bottom w:w="76" w:type="dxa"/>
            </w:tcMar>
            <w:vAlign w:val="center"/>
          </w:tcPr>
          <w:p>
            <w:pPr>
              <w:pStyle w:val="TableContents"/>
              <w:bidi w:val="0"/>
              <w:spacing w:before="0" w:after="283"/>
              <w:jc w:val="right"/>
              <w:rPr/>
            </w:pPr>
            <w:r>
              <w:rPr/>
              <w:t>​</w:t>
            </w:r>
          </w:p>
        </w:tc>
        <w:tc>
          <w:tcPr>
            <w:tcW w:w="1352" w:type="dxa"/>
            <w:tcBorders>
              <w:bottom w:val="single" w:sz="2" w:space="0" w:color="1F2668"/>
            </w:tcBorders>
            <w:tcMar>
              <w:bottom w:w="76" w:type="dxa"/>
            </w:tcMar>
            <w:vAlign w:val="center"/>
          </w:tcPr>
          <w:p>
            <w:pPr>
              <w:pStyle w:val="TableContents"/>
              <w:bidi w:val="0"/>
              <w:spacing w:before="0" w:after="283"/>
              <w:jc w:val="right"/>
              <w:rPr/>
            </w:pPr>
            <w:r>
              <w:rPr/>
              <w:t>4,723,677</w:t>
            </w:r>
          </w:p>
        </w:tc>
        <w:tc>
          <w:tcPr>
            <w:tcW w:w="118"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sum of the amounts reported in the “Stock Awards” column of the Summary Compensation Table for the applicable fiscal year.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254000" distR="0" simplePos="0" locked="0" layoutInCell="1" allowOverlap="1" relativeHeight="851">
                <wp:simplePos x="0" y="0"/>
                <wp:positionH relativeFrom="column">
                  <wp:align>left</wp:align>
                </wp:positionH>
                <wp:positionV relativeFrom="line">
                  <wp:align>top</wp:align>
                </wp:positionV>
                <wp:extent cx="254000" cy="254000"/>
                <wp:effectExtent l="0" t="0" r="0" b="0"/>
                <wp:wrapSquare wrapText="right"/>
                <wp:docPr id="933" name="Frame55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(a)</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(a)</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7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equity award adjustments for each fiscal year reflect the same methodology set forth in footnote 1, above. The amounts deducted or added in calculating the equity award adjustments are as follows: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254000" distR="0" simplePos="0" locked="0" layoutInCell="1" allowOverlap="1" relativeHeight="852">
                <wp:simplePos x="0" y="0"/>
                <wp:positionH relativeFrom="column">
                  <wp:align>left</wp:align>
                </wp:positionH>
                <wp:positionV relativeFrom="line">
                  <wp:align>top</wp:align>
                </wp:positionV>
                <wp:extent cx="254000" cy="254000"/>
                <wp:effectExtent l="0" t="0" r="0" b="0"/>
                <wp:wrapSquare wrapText="right"/>
                <wp:docPr id="934" name="Frame55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(b)</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(b)</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tbl>
      <w:tblPr>
        <w:tblW w:w="12035" w:type="dxa"/>
        <w:jc w:val="left"/>
        <w:tblInd w:w="900" w:type="dxa"/>
        <w:tblLayout w:type="fixed"/>
        <w:tblCellMar>
          <w:top w:w="0" w:type="dxa"/>
          <w:left w:w="0" w:type="dxa"/>
          <w:bottom w:w="73" w:type="dxa"/>
          <w:right w:w="0" w:type="dxa"/>
        </w:tblCellMar>
      </w:tblPr>
      <w:tblGrid>
        <w:gridCol w:w="619"/>
        <w:gridCol w:w="109"/>
        <w:gridCol w:w="109"/>
        <w:gridCol w:w="109"/>
        <w:gridCol w:w="109"/>
        <w:gridCol w:w="1066"/>
        <w:gridCol w:w="109"/>
        <w:gridCol w:w="109"/>
        <w:gridCol w:w="109"/>
        <w:gridCol w:w="109"/>
        <w:gridCol w:w="109"/>
        <w:gridCol w:w="1141"/>
        <w:gridCol w:w="109"/>
        <w:gridCol w:w="109"/>
        <w:gridCol w:w="109"/>
        <w:gridCol w:w="109"/>
        <w:gridCol w:w="109"/>
        <w:gridCol w:w="1066"/>
        <w:gridCol w:w="109"/>
        <w:gridCol w:w="109"/>
        <w:gridCol w:w="109"/>
        <w:gridCol w:w="109"/>
        <w:gridCol w:w="109"/>
        <w:gridCol w:w="961"/>
        <w:gridCol w:w="109"/>
        <w:gridCol w:w="109"/>
        <w:gridCol w:w="109"/>
        <w:gridCol w:w="109"/>
        <w:gridCol w:w="109"/>
        <w:gridCol w:w="1141"/>
        <w:gridCol w:w="109"/>
        <w:gridCol w:w="109"/>
        <w:gridCol w:w="109"/>
        <w:gridCol w:w="109"/>
        <w:gridCol w:w="109"/>
        <w:gridCol w:w="886"/>
        <w:gridCol w:w="109"/>
        <w:gridCol w:w="109"/>
        <w:gridCol w:w="109"/>
        <w:gridCol w:w="109"/>
        <w:gridCol w:w="109"/>
        <w:gridCol w:w="1186"/>
        <w:gridCol w:w="109"/>
        <w:gridCol w:w="154"/>
      </w:tblGrid>
      <w:tr>
        <w:trPr/>
        <w:tc>
          <w:tcPr>
            <w:tcW w:w="619" w:type="dxa"/>
            <w:tcBorders>
              <w:bottom w:val="single" w:sz="2" w:space="0" w:color="1F2668"/>
            </w:tcBorders>
            <w:vAlign w:val="center"/>
          </w:tcPr>
          <w:p>
            <w:pPr>
              <w:pStyle w:val="TableContents"/>
              <w:bidi w:val="0"/>
              <w:spacing w:lineRule="atLeast" w:line="142" w:before="0" w:after="0"/>
              <w:jc w:val="left"/>
              <w:rPr/>
            </w:pPr>
            <w:r>
              <w:rPr>
                <w:spacing w:val="1"/>
              </w:rPr>
              <w:t>Year</w:t>
            </w:r>
            <w:r>
              <w:rPr>
                <w:spacing w:val="1"/>
                <w:sz w:val="9"/>
              </w:rPr>
              <w:t>(i)</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Year End </w:t>
              <w:br/>
              <w:t xml:space="preserve">Fair Value of </w:t>
              <w:br/>
              <w:t xml:space="preserve">Equity Awards </w:t>
              <w:br/>
              <w:t xml:space="preserve">Granted in </w:t>
              <w:br/>
              <w:t xml:space="preserve">the Year and </w:t>
              <w:br/>
              <w:t xml:space="preserve">Unvested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Year over </w:t>
              <w:br/>
              <w:t xml:space="preserve">Year Average </w:t>
              <w:br/>
              <w:t xml:space="preserve">Change in Fair </w:t>
              <w:br/>
              <w:t xml:space="preserve">Value of </w:t>
              <w:br/>
              <w:t xml:space="preserve">Outstanding and </w:t>
              <w:br/>
              <w:t xml:space="preserve">Unvested Equity </w:t>
              <w:br/>
              <w:t>Awards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1"/>
              </w:rPr>
              <w:t xml:space="preserve">Average Fair </w:t>
              <w:br/>
              <w:t xml:space="preserve">Value as of </w:t>
              <w:br/>
              <w:t xml:space="preserve">Vesting Date </w:t>
              <w:br/>
              <w:t xml:space="preserve">of Equity </w:t>
              <w:br/>
              <w:t xml:space="preserve">Awards </w:t>
              <w:br/>
              <w:t xml:space="preserve">Granted and </w:t>
              <w:br/>
              <w:t xml:space="preserve">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1F2668"/>
            </w:tcBorders>
            <w:vAlign w:val="center"/>
          </w:tcPr>
          <w:p>
            <w:pPr>
              <w:pStyle w:val="TableContents"/>
              <w:bidi w:val="0"/>
              <w:spacing w:before="0" w:after="0"/>
              <w:jc w:val="right"/>
              <w:rPr/>
            </w:pPr>
            <w:r>
              <w:rPr>
                <w:spacing w:val="1"/>
              </w:rPr>
              <w:t xml:space="preserve">Year over </w:t>
              <w:br/>
              <w:t xml:space="preserve">Year Average </w:t>
              <w:br/>
              <w:t xml:space="preserve">Change in Fair </w:t>
              <w:br/>
              <w:t xml:space="preserve">Value of Equity </w:t>
              <w:br/>
              <w:t xml:space="preserve">Awards Granted </w:t>
              <w:br/>
              <w:t xml:space="preserve">in Prior Years </w:t>
              <w:br/>
              <w:t xml:space="preserve">that Vested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1F2668"/>
            </w:tcBorders>
            <w:vAlign w:val="center"/>
          </w:tcPr>
          <w:p>
            <w:pPr>
              <w:pStyle w:val="TableContents"/>
              <w:bidi w:val="0"/>
              <w:spacing w:before="0" w:after="0"/>
              <w:jc w:val="right"/>
              <w:rPr/>
            </w:pPr>
            <w:r>
              <w:rPr>
                <w:spacing w:val="1"/>
              </w:rPr>
              <w:t xml:space="preserve">Average Fair </w:t>
              <w:br/>
              <w:t xml:space="preserve">Value at the </w:t>
              <w:br/>
              <w:t xml:space="preserve">End of the </w:t>
              <w:br/>
              <w:t xml:space="preserve">Prior Year of </w:t>
              <w:br/>
              <w:t xml:space="preserve">Equity Awards </w:t>
              <w:br/>
              <w:t xml:space="preserve">that Failed to </w:t>
              <w:br/>
              <w:t xml:space="preserve">Meet Vesting </w:t>
              <w:br/>
              <w:t xml:space="preserve">Conditions in </w:t>
              <w:br/>
              <w:t xml:space="preserve">the Year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1F2668"/>
            </w:tcBorders>
            <w:vAlign w:val="center"/>
          </w:tcPr>
          <w:p>
            <w:pPr>
              <w:pStyle w:val="TableContents"/>
              <w:bidi w:val="0"/>
              <w:spacing w:before="0" w:after="0"/>
              <w:jc w:val="right"/>
              <w:rPr/>
            </w:pPr>
            <w:r>
              <w:rPr>
                <w:spacing w:val="1"/>
              </w:rPr>
              <w:t xml:space="preserve">Average </w:t>
              <w:br/>
              <w:t xml:space="preserve">Value of </w:t>
              <w:br/>
              <w:t xml:space="preserve">Dividends </w:t>
              <w:br/>
              <w:t xml:space="preserve">or other </w:t>
              <w:br/>
              <w:t xml:space="preserve">Earnings </w:t>
              <w:br/>
              <w:t xml:space="preserve">Paid on </w:t>
              <w:br/>
              <w:t xml:space="preserve">Awards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vAlign w:val="center"/>
          </w:tcPr>
          <w:p>
            <w:pPr>
              <w:pStyle w:val="TableContents"/>
              <w:bidi w:val="0"/>
              <w:spacing w:before="0" w:after="0"/>
              <w:jc w:val="right"/>
              <w:rPr/>
            </w:pPr>
            <w:r>
              <w:rPr>
                <w:spacing w:val="1"/>
              </w:rPr>
              <w:t xml:space="preserve">Total Equity </w:t>
              <w:br/>
              <w:t xml:space="preserve">Award </w:t>
              <w:br/>
              <w:t xml:space="preserve">Adjustments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6,660,330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1,494,511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538,835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635,195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578,527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9,907,397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1,882,454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(4,551,556)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905,033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(638,835)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(1,544,649)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588,257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(3,359,296)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9" w:type="dxa"/>
            <w:tcBorders>
              <w:bottom w:val="single" w:sz="2" w:space="0" w:color="4B5088"/>
            </w:tcBorders>
            <w:tcMar>
              <w:bottom w:w="76" w:type="dxa"/>
            </w:tcMar>
            <w:vAlign w:val="center"/>
          </w:tcPr>
          <w:p>
            <w:pPr>
              <w:pStyle w:val="TableContents"/>
              <w:bidi w:val="0"/>
              <w:spacing w:before="0" w:after="0"/>
              <w:jc w:val="left"/>
              <w:rPr>
                <w:b/>
                <w:color w:val="1F2668"/>
              </w:rPr>
            </w:pPr>
            <w:r>
              <w:rPr>
                <w:b/>
                <w:color w:val="1F2668"/>
              </w:rPr>
              <w:t>2021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8,850,588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884,588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066" w:type="dxa"/>
            <w:tcBorders>
              <w:bottom w:val="single" w:sz="2" w:space="0" w:color="4B5088"/>
            </w:tcBorders>
            <w:tcMar>
              <w:bottom w:w="76" w:type="dxa"/>
            </w:tcMar>
            <w:vAlign w:val="center"/>
          </w:tcPr>
          <w:p>
            <w:pPr>
              <w:pStyle w:val="TableContents"/>
              <w:bidi w:val="0"/>
              <w:spacing w:before="0" w:after="283"/>
              <w:jc w:val="right"/>
              <w:rPr/>
            </w:pPr>
            <w:r>
              <w:rPr/>
              <w:t>853,696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961" w:type="dxa"/>
            <w:tcBorders>
              <w:bottom w:val="single" w:sz="2" w:space="0" w:color="4B5088"/>
            </w:tcBorders>
            <w:tcMar>
              <w:bottom w:w="76" w:type="dxa"/>
            </w:tcMar>
            <w:vAlign w:val="center"/>
          </w:tcPr>
          <w:p>
            <w:pPr>
              <w:pStyle w:val="TableContents"/>
              <w:bidi w:val="0"/>
              <w:spacing w:before="0" w:after="283"/>
              <w:jc w:val="right"/>
              <w:rPr/>
            </w:pPr>
            <w:r>
              <w:rPr/>
              <w:t>(543,494)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41" w:type="dxa"/>
            <w:tcBorders>
              <w:bottom w:val="single" w:sz="2" w:space="0" w:color="4B5088"/>
            </w:tcBorders>
            <w:tcMar>
              <w:bottom w:w="76"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886" w:type="dxa"/>
            <w:tcBorders>
              <w:bottom w:val="single" w:sz="2" w:space="0" w:color="4B5088"/>
            </w:tcBorders>
            <w:tcMar>
              <w:bottom w:w="76" w:type="dxa"/>
            </w:tcMar>
            <w:vAlign w:val="center"/>
          </w:tcPr>
          <w:p>
            <w:pPr>
              <w:pStyle w:val="TableContents"/>
              <w:bidi w:val="0"/>
              <w:spacing w:before="0" w:after="283"/>
              <w:jc w:val="right"/>
              <w:rPr/>
            </w:pPr>
            <w:r>
              <w:rPr/>
              <w:t>485,088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6" w:type="dxa"/>
            </w:tcMar>
            <w:vAlign w:val="center"/>
          </w:tcPr>
          <w:p>
            <w:pPr>
              <w:pStyle w:val="TableContents"/>
              <w:bidi w:val="0"/>
              <w:spacing w:before="0" w:after="283"/>
              <w:jc w:val="right"/>
              <w:rPr/>
            </w:pPr>
            <w:r>
              <w:rPr/>
              <w:t>​</w:t>
            </w:r>
          </w:p>
        </w:tc>
        <w:tc>
          <w:tcPr>
            <w:tcW w:w="1186" w:type="dxa"/>
            <w:tcBorders>
              <w:bottom w:val="single" w:sz="2" w:space="0" w:color="4B5088"/>
            </w:tcBorders>
            <w:tcMar>
              <w:bottom w:w="76" w:type="dxa"/>
            </w:tcMar>
            <w:vAlign w:val="center"/>
          </w:tcPr>
          <w:p>
            <w:pPr>
              <w:pStyle w:val="TableContents"/>
              <w:bidi w:val="0"/>
              <w:spacing w:before="0" w:after="283"/>
              <w:jc w:val="right"/>
              <w:rPr/>
            </w:pPr>
            <w:r>
              <w:rPr/>
              <w:t>10,530,465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9" w:type="dxa"/>
            <w:tcBorders>
              <w:bottom w:val="single" w:sz="2" w:space="0" w:color="1F2668"/>
            </w:tcBorders>
            <w:tcMar>
              <w:bottom w:w="76" w:type="dxa"/>
            </w:tcMar>
            <w:vAlign w:val="center"/>
          </w:tcPr>
          <w:p>
            <w:pPr>
              <w:pStyle w:val="TableContents"/>
              <w:bidi w:val="0"/>
              <w:spacing w:before="0" w:after="0"/>
              <w:jc w:val="left"/>
              <w:rPr>
                <w:b/>
                <w:color w:val="1F2668"/>
              </w:rPr>
            </w:pPr>
            <w:r>
              <w:rPr>
                <w:b/>
                <w:color w:val="1F2668"/>
              </w:rPr>
              <w:t>2020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2,947,962</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(1,311,858)</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066" w:type="dxa"/>
            <w:tcBorders>
              <w:bottom w:val="single" w:sz="2" w:space="0" w:color="1F2668"/>
            </w:tcBorders>
            <w:tcMar>
              <w:bottom w:w="76" w:type="dxa"/>
            </w:tcMar>
            <w:vAlign w:val="center"/>
          </w:tcPr>
          <w:p>
            <w:pPr>
              <w:pStyle w:val="TableContents"/>
              <w:bidi w:val="0"/>
              <w:spacing w:before="0" w:after="283"/>
              <w:jc w:val="right"/>
              <w:rPr/>
            </w:pPr>
            <w:r>
              <w:rPr/>
              <w:t xml:space="preserve">1,018,117 </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961" w:type="dxa"/>
            <w:tcBorders>
              <w:bottom w:val="single" w:sz="2" w:space="0" w:color="1F2668"/>
            </w:tcBorders>
            <w:tcMar>
              <w:bottom w:w="7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41" w:type="dxa"/>
            <w:tcBorders>
              <w:bottom w:val="single" w:sz="2" w:space="0" w:color="1F2668"/>
            </w:tcBorders>
            <w:tcMar>
              <w:bottom w:w="76"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886" w:type="dxa"/>
            <w:tcBorders>
              <w:bottom w:val="single" w:sz="2" w:space="0" w:color="1F2668"/>
            </w:tcBorders>
            <w:tcMar>
              <w:bottom w:w="76" w:type="dxa"/>
            </w:tcMar>
            <w:vAlign w:val="center"/>
          </w:tcPr>
          <w:p>
            <w:pPr>
              <w:pStyle w:val="TableContents"/>
              <w:bidi w:val="0"/>
              <w:spacing w:before="0" w:after="283"/>
              <w:jc w:val="right"/>
              <w:rPr/>
            </w:pPr>
            <w:r>
              <w:rPr/>
              <w:t>200,812</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6" w:type="dxa"/>
            </w:tcMar>
            <w:vAlign w:val="center"/>
          </w:tcPr>
          <w:p>
            <w:pPr>
              <w:pStyle w:val="TableContents"/>
              <w:bidi w:val="0"/>
              <w:spacing w:before="0" w:after="283"/>
              <w:jc w:val="right"/>
              <w:rPr/>
            </w:pPr>
            <w:r>
              <w:rPr/>
              <w:t>​</w:t>
            </w:r>
          </w:p>
        </w:tc>
        <w:tc>
          <w:tcPr>
            <w:tcW w:w="1186" w:type="dxa"/>
            <w:tcBorders>
              <w:bottom w:val="single" w:sz="2" w:space="0" w:color="1F2668"/>
            </w:tcBorders>
            <w:tcMar>
              <w:bottom w:w="76" w:type="dxa"/>
            </w:tcMar>
            <w:vAlign w:val="center"/>
          </w:tcPr>
          <w:p>
            <w:pPr>
              <w:pStyle w:val="TableContents"/>
              <w:bidi w:val="0"/>
              <w:spacing w:before="0" w:after="283"/>
              <w:jc w:val="right"/>
              <w:rPr/>
            </w:pPr>
            <w:r>
              <w:rPr/>
              <w:t>2,855,032</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240" w:after="0"/>
        <w:ind w:left="21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508000" distR="0" simplePos="0" locked="0" layoutInCell="1" allowOverlap="1" relativeHeight="853">
                <wp:simplePos x="0" y="0"/>
                <wp:positionH relativeFrom="column">
                  <wp:align>left</wp:align>
                </wp:positionH>
                <wp:positionV relativeFrom="line">
                  <wp:align>top</wp:align>
                </wp:positionV>
                <wp:extent cx="254000" cy="254000"/>
                <wp:effectExtent l="0" t="0" r="0" b="0"/>
                <wp:wrapSquare wrapText="right"/>
                <wp:docPr id="935" name="Frame55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(i)</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(i)</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TSR is calculated assuming a $100 investment in the Company and the peer group on December 31, 2019, and assuming the reinvestment of any dividends during the applicable measurement period, calculated through the end of the year shown based on share prices.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54">
                <wp:simplePos x="0" y="0"/>
                <wp:positionH relativeFrom="column">
                  <wp:align>left</wp:align>
                </wp:positionH>
                <wp:positionV relativeFrom="line">
                  <wp:align>top</wp:align>
                </wp:positionV>
                <wp:extent cx="254000" cy="254000"/>
                <wp:effectExtent l="0" t="0" r="0" b="0"/>
                <wp:wrapSquare wrapText="right"/>
                <wp:docPr id="936" name="Frame55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(3)</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(3)</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Represents the TSR for the benchmarking peer group described in “Compensation Discussion and Analysis,” which includes the following peer companies: Alexandria Real Estate Equities, Inc., Boston Properties, Inc., Douglas Emmett, Inc., Empire State Realty Trust, Inc., Hudson Pacific Properties, Inc., Kennedy-Wilson Holdings, Inc., Kilroy Realty Corporation, Ladder Capital Corp, Paramount Group, Inc. and Vornado Realty Trust.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55">
                <wp:simplePos x="0" y="0"/>
                <wp:positionH relativeFrom="column">
                  <wp:align>left</wp:align>
                </wp:positionH>
                <wp:positionV relativeFrom="line">
                  <wp:align>top</wp:align>
                </wp:positionV>
                <wp:extent cx="254000" cy="254000"/>
                <wp:effectExtent l="0" t="0" r="0" b="0"/>
                <wp:wrapSquare wrapText="right"/>
                <wp:docPr id="937" name="Frame55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(4)</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(4)</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Normalized FFO per share represents reported FFO per share as adjusted for non-cash fair value adjustments, gains or losses on the early extinguishment of debt and other adjustments for comparability between periods.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56">
                <wp:simplePos x="0" y="0"/>
                <wp:positionH relativeFrom="column">
                  <wp:align>left</wp:align>
                </wp:positionH>
                <wp:positionV relativeFrom="line">
                  <wp:align>top</wp:align>
                </wp:positionV>
                <wp:extent cx="254000" cy="254000"/>
                <wp:effectExtent l="0" t="0" r="0" b="0"/>
                <wp:wrapSquare wrapText="right"/>
                <wp:docPr id="938" name="Frame55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(5)</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(5)</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Non-PEO named executive officers for 2023, 2022, 2021 and 2020 includes Messrs. Mathias, DiLiberto and Levine. </w:t>
      </w:r>
      <w:r>
        <mc:AlternateContent>
          <mc:Choice Requires="wps">
            <w:drawing>
              <wp:anchor behindDoc="0" distT="50800" distB="0" distL="0" distR="0" simplePos="0" locked="0" layoutInCell="1" allowOverlap="1" relativeHeight="857">
                <wp:simplePos x="0" y="0"/>
                <wp:positionH relativeFrom="column">
                  <wp:align>left</wp:align>
                </wp:positionH>
                <wp:positionV relativeFrom="line">
                  <wp:align>top</wp:align>
                </wp:positionV>
                <wp:extent cx="254000" cy="254000"/>
                <wp:effectExtent l="0" t="0" r="0" b="0"/>
                <wp:wrapSquare wrapText="right"/>
                <wp:docPr id="939" name="Frame56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color w:val="000000"/>
                                <w:sz w:val="16"/>
                              </w:rPr>
                            </w:pPr>
                            <w:r>
                              <w:rPr>
                                <w:color w:val="000000"/>
                                <w:spacing w:val="-2"/>
                                <w:sz w:val="16"/>
                              </w:rPr>
                              <w:t>(6)</w:t>
                            </w:r>
                            <w:r>
                              <w:rPr>
                                <w:color w:val="000000"/>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color w:val="000000"/>
                          <w:sz w:val="16"/>
                        </w:rPr>
                      </w:pPr>
                      <w:r>
                        <w:rPr>
                          <w:color w:val="000000"/>
                          <w:spacing w:val="-2"/>
                          <w:sz w:val="16"/>
                        </w:rPr>
                        <w:t>(6)</w:t>
                      </w:r>
                      <w:r>
                        <w:rPr>
                          <w:color w:val="000000"/>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1F2668"/>
        </w:rPr>
      </w:pPr>
      <w:r>
        <w:rPr>
          <w:caps w:val="false"/>
          <w:smallCaps w:val="false"/>
          <w:color w:val="1F2668"/>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308" w:type="dxa"/>
        <w:jc w:val="left"/>
        <w:tblInd w:w="900" w:type="dxa"/>
        <w:tblLayout w:type="fixed"/>
        <w:tblCellMar>
          <w:top w:w="0" w:type="dxa"/>
          <w:left w:w="0" w:type="dxa"/>
          <w:bottom w:w="0" w:type="dxa"/>
          <w:right w:w="0" w:type="dxa"/>
        </w:tblCellMar>
      </w:tblPr>
      <w:tblGrid>
        <w:gridCol w:w="124"/>
        <w:gridCol w:w="3466"/>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00" w:before="0" w:after="0"/>
              <w:jc w:val="left"/>
              <w:rPr/>
            </w:pPr>
            <w:r>
              <w:rPr/>
              <w:t>EXECUTIVE COMPENSATION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79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560" w:after="154"/>
        <w:ind w:left="900" w:right="0" w:hanging="0"/>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Relationship Between Compensation Actually Paid and Financial Performance</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following graphs illustrate the relationship across our last three completed fiscal years between the amounts disclosed in the Pay Versus Performance Table, above, as “Compensation Actually Paid” to our PEO and the “Average Compensation Actually Paid” to our non-PEO named executive officers and TSR, Peer Group TSR, Net Income and Normalized FFO per share. </w:t>
      </w:r>
    </w:p>
    <w:p>
      <w:pPr>
        <w:pStyle w:val="TextBody"/>
        <w:bidi w:val="0"/>
        <w:spacing w:lineRule="atLeast" w:line="220" w:before="240"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COMPENSATION ACTUALLY PAID VS. TSR</w:t>
      </w:r>
      <w:r>
        <w:rPr>
          <w:rFonts w:ascii="Arial;Helvetica;sans-serif" w:hAnsi="Arial;Helvetica;sans-serif"/>
          <w:b/>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2752725"/>
            <wp:effectExtent l="0" t="0" r="0" b="0"/>
            <wp:docPr id="94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Image287" descr=""/>
                    <pic:cNvPicPr>
                      <a:picLocks noChangeAspect="1" noChangeArrowheads="1"/>
                    </pic:cNvPicPr>
                  </pic:nvPicPr>
                  <pic:blipFill>
                    <a:blip r:embed="rId387"/>
                    <a:stretch>
                      <a:fillRect/>
                    </a:stretch>
                  </pic:blipFill>
                  <pic:spPr bwMode="auto">
                    <a:xfrm>
                      <a:off x="0" y="0"/>
                      <a:ext cx="4676775" cy="27527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394"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COMPENSATION ACTUALLY PAID VS. NET (LOSS) INCOME</w:t>
      </w:r>
      <w:r>
        <w:rPr>
          <w:rFonts w:ascii="Arial;Helvetica;sans-serif" w:hAnsi="Arial;Helvetica;sans-serif"/>
          <w:b/>
          <w:i w:val="false"/>
          <w:caps w:val="false"/>
          <w:smallCaps w:val="false"/>
          <w:color w:val="000000"/>
          <w:spacing w:val="4"/>
          <w:sz w:val="1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95825" cy="2600325"/>
            <wp:effectExtent l="0" t="0" r="0" b="0"/>
            <wp:docPr id="94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288" descr=""/>
                    <pic:cNvPicPr>
                      <a:picLocks noChangeAspect="1" noChangeArrowheads="1"/>
                    </pic:cNvPicPr>
                  </pic:nvPicPr>
                  <pic:blipFill>
                    <a:blip r:embed="rId388"/>
                    <a:stretch>
                      <a:fillRect/>
                    </a:stretch>
                  </pic:blipFill>
                  <pic:spPr bwMode="auto">
                    <a:xfrm>
                      <a:off x="0" y="0"/>
                      <a:ext cx="4695825" cy="260032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560" w:after="154"/>
        <w:ind w:left="900" w:right="0" w:hanging="0"/>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COMPENSATION ACTUALLY PAID VS. NORMALIZED FFO PER SHARE</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724400" cy="2581275"/>
            <wp:effectExtent l="0" t="0" r="0" b="0"/>
            <wp:docPr id="94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289" descr=""/>
                    <pic:cNvPicPr>
                      <a:picLocks noChangeAspect="1" noChangeArrowheads="1"/>
                    </pic:cNvPicPr>
                  </pic:nvPicPr>
                  <pic:blipFill>
                    <a:blip r:embed="rId389"/>
                    <a:stretch>
                      <a:fillRect/>
                    </a:stretch>
                  </pic:blipFill>
                  <pic:spPr bwMode="auto">
                    <a:xfrm>
                      <a:off x="0" y="0"/>
                      <a:ext cx="4724400" cy="2581275"/>
                    </a:xfrm>
                    <a:prstGeom prst="rect">
                      <a:avLst/>
                    </a:prstGeom>
                  </pic:spPr>
                </pic:pic>
              </a:graphicData>
            </a:graphic>
          </wp:inline>
        </w:drawing>
      </w:r>
      <w:r>
        <w:rPr>
          <w:caps w:val="false"/>
          <w:smallCaps w:val="false"/>
          <w:color w:val="000000"/>
        </w:rPr>
        <w:t xml:space="preserve"> </w:t>
      </w:r>
    </w:p>
    <w:p>
      <w:pPr>
        <w:pStyle w:val="TextBody"/>
        <w:bidi w:val="0"/>
        <w:spacing w:lineRule="atLeast" w:line="260" w:before="36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Tabular List of Performance Measures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lists the performance measures that we consider to be the most important performance measures we use to link compensation actually paid to its named executive officers for the most recently completed fiscal year to our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Performance Measure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Normalized FFO per Share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58">
                <wp:simplePos x="0" y="0"/>
                <wp:positionH relativeFrom="column">
                  <wp:align>left</wp:align>
                </wp:positionH>
                <wp:positionV relativeFrom="line">
                  <wp:align>top</wp:align>
                </wp:positionV>
                <wp:extent cx="127000" cy="350520"/>
                <wp:effectExtent l="0" t="0" r="0" b="0"/>
                <wp:wrapSquare wrapText="right"/>
                <wp:docPr id="943"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Relative TSR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59">
                <wp:simplePos x="0" y="0"/>
                <wp:positionH relativeFrom="column">
                  <wp:align>left</wp:align>
                </wp:positionH>
                <wp:positionV relativeFrom="line">
                  <wp:align>top</wp:align>
                </wp:positionV>
                <wp:extent cx="127000" cy="350520"/>
                <wp:effectExtent l="0" t="0" r="0" b="0"/>
                <wp:wrapSquare wrapText="right"/>
                <wp:docPr id="944"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Annual Same Store Cash NOI Growth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60">
                <wp:simplePos x="0" y="0"/>
                <wp:positionH relativeFrom="column">
                  <wp:align>left</wp:align>
                </wp:positionH>
                <wp:positionV relativeFrom="line">
                  <wp:align>top</wp:align>
                </wp:positionV>
                <wp:extent cx="127000" cy="350520"/>
                <wp:effectExtent l="0" t="0" r="0" b="0"/>
                <wp:wrapSquare wrapText="right"/>
                <wp:docPr id="945"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Normalized Funds Available for Distribution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61">
                <wp:simplePos x="0" y="0"/>
                <wp:positionH relativeFrom="column">
                  <wp:align>left</wp:align>
                </wp:positionH>
                <wp:positionV relativeFrom="line">
                  <wp:align>top</wp:align>
                </wp:positionV>
                <wp:extent cx="127000" cy="350520"/>
                <wp:effectExtent l="0" t="0" r="0" b="0"/>
                <wp:wrapSquare wrapText="right"/>
                <wp:docPr id="946"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Combined Net Debt Reduction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62">
                <wp:simplePos x="0" y="0"/>
                <wp:positionH relativeFrom="column">
                  <wp:align>left</wp:align>
                </wp:positionH>
                <wp:positionV relativeFrom="line">
                  <wp:align>top</wp:align>
                </wp:positionV>
                <wp:extent cx="127000" cy="350520"/>
                <wp:effectExtent l="0" t="0" r="0" b="0"/>
                <wp:wrapSquare wrapText="right"/>
                <wp:docPr id="947"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Manhattan Same Store Office Leased Occupancy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63">
                <wp:simplePos x="0" y="0"/>
                <wp:positionH relativeFrom="column">
                  <wp:align>left</wp:align>
                </wp:positionH>
                <wp:positionV relativeFrom="line">
                  <wp:align>top</wp:align>
                </wp:positionV>
                <wp:extent cx="127000" cy="350520"/>
                <wp:effectExtent l="0" t="0" r="0" b="0"/>
                <wp:wrapSquare wrapText="right"/>
                <wp:docPr id="948"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Manhattan Office Leasing Volume</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38100" distB="0" distL="0" distR="0" simplePos="0" locked="0" layoutInCell="1" allowOverlap="1" relativeHeight="864">
                <wp:simplePos x="0" y="0"/>
                <wp:positionH relativeFrom="column">
                  <wp:align>left</wp:align>
                </wp:positionH>
                <wp:positionV relativeFrom="line">
                  <wp:align>top</wp:align>
                </wp:positionV>
                <wp:extent cx="127000" cy="350520"/>
                <wp:effectExtent l="0" t="0" r="0" b="0"/>
                <wp:wrapSquare wrapText="right"/>
                <wp:docPr id="949"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CM"/>
      <w:bookmarkEnd w:id="20"/>
      <w:r>
        <w:rPr>
          <w:rFonts w:ascii="calibri;arial;sans-serif" w:hAnsi="calibri;arial;sans-serif"/>
          <w:b w:val="false"/>
          <w:i w:val="false"/>
          <w:caps w:val="false"/>
          <w:smallCaps w:val="false"/>
          <w:color w:val="000000"/>
          <w:sz w:val="16"/>
        </w:rPr>
        <w:t>​</w:t>
      </w:r>
      <w:bookmarkStart w:id="21" w:name="tACR"/>
      <w:bookmarkEnd w:id="21"/>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10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pPr>
            <w:r>
              <w:rPr/>
              <w:t>81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AUDIT COMMITTEE MATTERS</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5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Change in Independent Registered Public Accounting Firm</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disclosed in our current report on Form 8-K filed with the SEC on November 29, 2023, management and our Audit Committee undertook and completed a process to review the appointment of the Company’s independent registered public accounting firm for the year ending December 31, 2024. The Audit Committee invited several firms to participate in this process, including Ernst &amp; Young LLP (“EY”), the Company’s independent registered accounting firm since 1997. As a result of this process and following careful deliberation, on November 27, 2023, the Audit Committee approved the engagement of Deloitte &amp; Touche LLP (“Deloitte”) as the Company’s independent registered public accounting firm for the year ending December 31, 2024, commencing January 1, 2024, and dismissed EY from that role following the completion of EY’s audits of the financial statements for each of the Company and SL Green Operating Partnership, L.P. (“SLGOP”) for the fiscal year ending December 31, 2023.</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audits conducted by EY of the financial statements of the Company and SLGOP as of and for the years ended December 31, 2023 and 2022 did not contain any adverse opinion or disclaimer of opinion, nor were they qualified or modified as to uncertainty, audit scope or accounting principles.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During the fiscal years ended December 31, 2023 and 2022, there were no “disagreements,” as that term is defined in Item 304(a)(1)(iv) of Regulation S-K and the related instructions, among the Company, SLGOP and EY, on any matter of accounting principles or practices, financial statement disclosure, or auditing scope or procedures, which disagreements, if not resolved to the satisfaction of EY, would have caused EY to make reference in connection with its report to the subject matter of the disagreement.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connection with the filing of this proxy statement, the Company furnished a copy of the above disclosures to EY and Deloitte, and has not received a statement from either accounting firm indicating that such firm does not agree with the above statements.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AUDIT COMMITTEE REPORT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2023 filed by the Company with management.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reviewed and discussed with Ernst &amp; Young LLP, our former independent registered public accounting firm, the matters required to be discussed with the Audit Committee by the applicable requirements of the Public Company Accounting Oversight Board and the SEC.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Based on the review and discussions referred to above, our Audit Committee recommended to the Board that the audited financial statements be included in the Annual Report on Form 10-K for the year ended December 31, 2023 filed by the Company.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 The audit committee also appointed Deloitte to serve as our independent registered public accounting firm for the fiscal year ending December 31, 2024 and is seeking ratification of such appointment by the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Submitted by our Audit Committee</w:t>
      </w:r>
      <w:r>
        <w:rPr>
          <w:rFonts w:ascii="Arial;Helvetica;sans-serif" w:hAnsi="Arial;Helvetica;sans-serif"/>
          <w:b w:val="false"/>
          <w:i w:val="false"/>
          <w:caps w:val="false"/>
          <w:smallCaps w:val="false"/>
          <w:color w:val="000000"/>
          <w:spacing w:val="4"/>
          <w:sz w:val="18"/>
        </w:rPr>
        <w:t xml:space="preserve"> </w:t>
      </w:r>
    </w:p>
    <w:tbl>
      <w:tblPr>
        <w:tblW w:w="8871" w:type="dxa"/>
        <w:jc w:val="left"/>
        <w:tblInd w:w="900" w:type="dxa"/>
        <w:tblLayout w:type="fixed"/>
        <w:tblCellMar>
          <w:top w:w="0" w:type="dxa"/>
          <w:left w:w="0" w:type="dxa"/>
          <w:bottom w:w="0" w:type="dxa"/>
          <w:right w:w="0" w:type="dxa"/>
        </w:tblCellMar>
      </w:tblPr>
      <w:tblGrid>
        <w:gridCol w:w="124"/>
        <w:gridCol w:w="2806"/>
        <w:gridCol w:w="109"/>
        <w:gridCol w:w="109"/>
        <w:gridCol w:w="1591"/>
        <w:gridCol w:w="109"/>
        <w:gridCol w:w="109"/>
        <w:gridCol w:w="1786"/>
        <w:gridCol w:w="109"/>
        <w:gridCol w:w="109"/>
        <w:gridCol w:w="1756"/>
        <w:gridCol w:w="154"/>
      </w:tblGrid>
      <w:tr>
        <w:trPr/>
        <w:tc>
          <w:tcPr>
            <w:tcW w:w="124" w:type="dxa"/>
            <w:tcBorders/>
            <w:vAlign w:val="center"/>
          </w:tcPr>
          <w:p>
            <w:pPr>
              <w:pStyle w:val="TableContents"/>
              <w:bidi w:val="0"/>
              <w:spacing w:before="0" w:after="283"/>
              <w:jc w:val="left"/>
              <w:rPr/>
            </w:pPr>
            <w:r>
              <w:rPr/>
              <w:t>​</w:t>
            </w:r>
          </w:p>
        </w:tc>
        <w:tc>
          <w:tcPr>
            <w:tcW w:w="2806" w:type="dxa"/>
            <w:tcBorders/>
            <w:vAlign w:val="center"/>
          </w:tcPr>
          <w:p>
            <w:pPr>
              <w:pStyle w:val="TableContents"/>
              <w:bidi w:val="0"/>
              <w:spacing w:before="0" w:after="0"/>
              <w:jc w:val="left"/>
              <w:rPr/>
            </w:pPr>
            <w:r>
              <w:rPr/>
              <w:t>Edwin T. Burton, III (Chair)</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1" w:type="dxa"/>
            <w:tcBorders/>
            <w:vAlign w:val="center"/>
          </w:tcPr>
          <w:p>
            <w:pPr>
              <w:pStyle w:val="TableContents"/>
              <w:bidi w:val="0"/>
              <w:spacing w:before="0" w:after="0"/>
              <w:jc w:val="left"/>
              <w:rPr/>
            </w:pPr>
            <w:r>
              <w:rPr/>
              <w:t>Betsy S. Atkins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86" w:type="dxa"/>
            <w:tcBorders/>
            <w:vAlign w:val="center"/>
          </w:tcPr>
          <w:p>
            <w:pPr>
              <w:pStyle w:val="TableContents"/>
              <w:bidi w:val="0"/>
              <w:spacing w:before="0" w:after="0"/>
              <w:jc w:val="left"/>
              <w:rPr/>
            </w:pPr>
            <w:r>
              <w:rPr/>
              <w:t>Lauren B. Dillard</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6" w:type="dxa"/>
            <w:tcBorders/>
            <w:vAlign w:val="center"/>
          </w:tcPr>
          <w:p>
            <w:pPr>
              <w:pStyle w:val="TableContents"/>
              <w:bidi w:val="0"/>
              <w:spacing w:before="0" w:after="0"/>
              <w:jc w:val="left"/>
              <w:rPr/>
            </w:pPr>
            <w:r>
              <w:rPr/>
              <w:t>Craig M. Hatkoff</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R3"/>
      <w:bookmarkEnd w:id="22"/>
      <w:r>
        <w:rPr>
          <w:rFonts w:ascii="calibri;arial;sans-serif" w:hAnsi="calibri;arial;sans-serif"/>
          <w:b w:val="false"/>
          <w:i w:val="false"/>
          <w:caps w:val="false"/>
          <w:smallCaps w:val="false"/>
          <w:color w:val="000000"/>
          <w:sz w:val="16"/>
        </w:rPr>
        <w:t xml:space="preserve">​ </w:t>
      </w:r>
    </w:p>
    <w:tbl>
      <w:tblPr>
        <w:tblW w:w="4413" w:type="dxa"/>
        <w:jc w:val="left"/>
        <w:tblInd w:w="900" w:type="dxa"/>
        <w:tblLayout w:type="fixed"/>
        <w:tblCellMar>
          <w:top w:w="0" w:type="dxa"/>
          <w:left w:w="0" w:type="dxa"/>
          <w:bottom w:w="0" w:type="dxa"/>
          <w:right w:w="0" w:type="dxa"/>
        </w:tblCellMar>
      </w:tblPr>
      <w:tblGrid>
        <w:gridCol w:w="124"/>
        <w:gridCol w:w="357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3571" w:type="dxa"/>
            <w:tcBorders/>
            <w:vAlign w:val="center"/>
          </w:tcPr>
          <w:p>
            <w:pPr>
              <w:pStyle w:val="TableContents"/>
              <w:bidi w:val="0"/>
              <w:spacing w:lineRule="atLeast" w:line="200" w:before="0" w:after="0"/>
              <w:jc w:val="left"/>
              <w:rPr/>
            </w:pPr>
            <w:r>
              <w:rPr/>
              <w:t>AUDIT COMMITTEE MATTERS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83</w:t>
            </w:r>
          </w:p>
        </w:tc>
        <w:tc>
          <w:tcPr>
            <w:tcW w:w="154" w:type="dxa"/>
            <w:tcBorders/>
            <w:vAlign w:val="center"/>
          </w:tcPr>
          <w:p>
            <w:pPr>
              <w:pStyle w:val="TableContents"/>
              <w:bidi w:val="0"/>
              <w:spacing w:before="0" w:after="283"/>
              <w:jc w:val="left"/>
              <w:rPr/>
            </w:pPr>
            <w:r>
              <w:rPr/>
              <w:t>​</w:t>
            </w:r>
          </w:p>
        </w:tc>
      </w:tr>
    </w:tbl>
    <w:tbl>
      <w:tblPr>
        <w:tblW w:w="2972" w:type="dxa"/>
        <w:jc w:val="left"/>
        <w:tblInd w:w="0" w:type="dxa"/>
        <w:tblLayout w:type="fixed"/>
        <w:tblCellMar>
          <w:top w:w="0" w:type="dxa"/>
          <w:left w:w="0" w:type="dxa"/>
          <w:bottom w:w="0" w:type="dxa"/>
          <w:right w:w="0" w:type="dxa"/>
        </w:tblCellMar>
      </w:tblPr>
      <w:tblGrid>
        <w:gridCol w:w="124"/>
        <w:gridCol w:w="1606"/>
        <w:gridCol w:w="109"/>
        <w:gridCol w:w="109"/>
        <w:gridCol w:w="326"/>
        <w:gridCol w:w="109"/>
        <w:gridCol w:w="109"/>
        <w:gridCol w:w="326"/>
        <w:gridCol w:w="154"/>
      </w:tblGrid>
      <w:tr>
        <w:trPr/>
        <w:tc>
          <w:tcPr>
            <w:tcW w:w="124" w:type="dxa"/>
            <w:vMerge w:val="restart"/>
            <w:tcBorders/>
            <w:shd w:fill="E9F9D8" w:val="clear"/>
            <w:vAlign w:val="center"/>
          </w:tcPr>
          <w:p>
            <w:pPr>
              <w:pStyle w:val="TableContents"/>
              <w:bidi w:val="0"/>
              <w:spacing w:before="0" w:after="283"/>
              <w:jc w:val="left"/>
              <w:rPr/>
            </w:pPr>
            <w:r>
              <w:rPr/>
              <w:t>​</w:t>
            </w:r>
          </w:p>
        </w:tc>
        <w:tc>
          <w:tcPr>
            <w:tcW w:w="1606" w:type="dxa"/>
            <w:vMerge w:val="restart"/>
            <w:tcBorders/>
            <w:shd w:fill="E9F9D8" w:val="clear"/>
            <w:tcMar>
              <w:top w:w="28" w:type="dxa"/>
              <w:left w:w="28" w:type="dxa"/>
              <w:bottom w:w="28" w:type="dxa"/>
              <w:right w:w="28" w:type="dxa"/>
            </w:tcMar>
            <w:vAlign w:val="center"/>
          </w:tcPr>
          <w:p>
            <w:pPr>
              <w:pStyle w:val="TableContents"/>
              <w:bidi w:val="0"/>
              <w:spacing w:lineRule="atLeast" w:line="280" w:before="0" w:after="0"/>
              <w:jc w:val="left"/>
              <w:rPr>
                <w:b/>
                <w:color w:val="83AD40"/>
                <w:sz w:val="24"/>
              </w:rPr>
            </w:pPr>
            <w:r>
              <w:rPr>
                <w:b/>
                <w:color w:val="83AD40"/>
                <w:sz w:val="24"/>
              </w:rPr>
              <w:t>PROPOSAL 3</w:t>
            </w:r>
            <w:r>
              <w:rPr>
                <w:b/>
                <w:color w:val="000000"/>
                <w:sz w:val="24"/>
              </w:rPr>
              <w:t>​</w:t>
            </w:r>
          </w:p>
        </w:tc>
        <w:tc>
          <w:tcPr>
            <w:tcW w:w="109" w:type="dxa"/>
            <w:vMerge w:val="restart"/>
            <w:tcBorders/>
            <w:shd w:fill="E9F9D8" w:val="clear"/>
            <w:vAlign w:val="center"/>
          </w:tcPr>
          <w:p>
            <w:pPr>
              <w:pStyle w:val="TableContents"/>
              <w:bidi w:val="0"/>
              <w:spacing w:before="0" w:after="283"/>
              <w:jc w:val="left"/>
              <w:rPr/>
            </w:pPr>
            <w:r>
              <w:rPr/>
              <w:t>​</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83AD40"/>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bottom w:val="single" w:sz="2" w:space="0" w:color="83AD40"/>
            </w:tcBorders>
            <w:shd w:fill="E9F9D8" w:val="clear"/>
            <w:tcMar>
              <w:bottom w:w="28" w:type="dxa"/>
            </w:tcMar>
            <w:vAlign w:val="center"/>
          </w:tcPr>
          <w:p>
            <w:pPr>
              <w:pStyle w:val="TableContents"/>
              <w:bidi w:val="0"/>
              <w:spacing w:before="0" w:after="283"/>
              <w:jc w:val="left"/>
              <w:rPr/>
            </w:pPr>
            <w:r>
              <w:rPr/>
              <w:t>​</w:t>
            </w:r>
          </w:p>
        </w:tc>
        <w:tc>
          <w:tcPr>
            <w:tcW w:w="109"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c>
          <w:tcPr>
            <w:tcW w:w="326" w:type="dxa"/>
            <w:tcBorders>
              <w:bottom w:val="single" w:sz="2" w:space="0" w:color="E9F9D8"/>
            </w:tcBorders>
            <w:shd w:fill="E9F9D8" w:val="clear"/>
            <w:tcMar>
              <w:bottom w:w="28" w:type="dxa"/>
            </w:tcMar>
            <w:vAlign w:val="center"/>
          </w:tcPr>
          <w:p>
            <w:pPr>
              <w:pStyle w:val="TableContents"/>
              <w:bidi w:val="0"/>
              <w:spacing w:lineRule="atLeast" w:line="142" w:before="0" w:after="0"/>
              <w:jc w:val="left"/>
              <w:rPr>
                <w:spacing w:val="0"/>
              </w:rPr>
            </w:pPr>
            <w:r>
              <w:rPr>
                <w:spacing w:val="0"/>
              </w:rPr>
              <w:t xml:space="preserve">    </w:t>
            </w:r>
          </w:p>
        </w:tc>
        <w:tc>
          <w:tcPr>
            <w:tcW w:w="154" w:type="dxa"/>
            <w:tcBorders>
              <w:bottom w:val="single" w:sz="2" w:space="0" w:color="E9F9D8"/>
            </w:tcBorders>
            <w:shd w:fill="E9F9D8" w:val="clear"/>
            <w:tcMar>
              <w:bottom w:w="28" w:type="dxa"/>
            </w:tcMar>
            <w:vAlign w:val="center"/>
          </w:tcPr>
          <w:p>
            <w:pPr>
              <w:pStyle w:val="TableContents"/>
              <w:bidi w:val="0"/>
              <w:spacing w:before="0" w:after="283"/>
              <w:jc w:val="left"/>
              <w:rPr/>
            </w:pPr>
            <w:r>
              <w:rPr/>
              <w:t>​</w:t>
            </w:r>
          </w:p>
        </w:tc>
      </w:tr>
      <w:tr>
        <w:trPr/>
        <w:tc>
          <w:tcPr>
            <w:tcW w:w="124" w:type="dxa"/>
            <w:vMerge w:val="continue"/>
            <w:tcBorders/>
            <w:shd w:fill="E9F9D8" w:val="clear"/>
            <w:vAlign w:val="center"/>
          </w:tcPr>
          <w:p>
            <w:pPr>
              <w:pStyle w:val="Normal"/>
              <w:bidi w:val="0"/>
              <w:jc w:val="left"/>
              <w:rPr/>
            </w:pPr>
            <w:r>
              <w:rPr/>
            </w:r>
          </w:p>
        </w:tc>
        <w:tc>
          <w:tcPr>
            <w:tcW w:w="1606" w:type="dxa"/>
            <w:vMerge w:val="continue"/>
            <w:tcBorders/>
            <w:shd w:fill="E9F9D8"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E9F9D8" w:val="clear"/>
            <w:vAlign w:val="center"/>
          </w:tcPr>
          <w:p>
            <w:pPr>
              <w:pStyle w:val="Normal"/>
              <w:bidi w:val="0"/>
              <w:jc w:val="left"/>
              <w:rPr/>
            </w:pPr>
            <w:r>
              <w:rPr/>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spacing w:val="0"/>
              </w:rPr>
            </w:pPr>
            <w:r>
              <w:rPr>
                <w:spacing w:val="0"/>
              </w:rPr>
              <w:t xml:space="preserve">    </w:t>
            </w:r>
          </w:p>
        </w:tc>
        <w:tc>
          <w:tcPr>
            <w:tcW w:w="109" w:type="dxa"/>
            <w:tcBorders/>
            <w:shd w:fill="E9F9D8" w:val="clear"/>
            <w:vAlign w:val="center"/>
          </w:tcPr>
          <w:p>
            <w:pPr>
              <w:pStyle w:val="TableContents"/>
              <w:bidi w:val="0"/>
              <w:spacing w:before="0" w:after="283"/>
              <w:jc w:val="left"/>
              <w:rPr/>
            </w:pPr>
            <w:r>
              <w:rPr/>
              <w:t>​</w:t>
            </w:r>
          </w:p>
        </w:tc>
        <w:tc>
          <w:tcPr>
            <w:tcW w:w="109" w:type="dxa"/>
            <w:tcBorders/>
            <w:shd w:fill="E9F9D8" w:val="clear"/>
            <w:vAlign w:val="center"/>
          </w:tcPr>
          <w:p>
            <w:pPr>
              <w:pStyle w:val="TableContents"/>
              <w:bidi w:val="0"/>
              <w:spacing w:before="0" w:after="283"/>
              <w:jc w:val="left"/>
              <w:rPr/>
            </w:pPr>
            <w:r>
              <w:rPr/>
              <w:t>​</w:t>
            </w:r>
          </w:p>
        </w:tc>
        <w:tc>
          <w:tcPr>
            <w:tcW w:w="326" w:type="dxa"/>
            <w:tcBorders/>
            <w:shd w:fill="E9F9D8" w:val="clear"/>
            <w:tcMar>
              <w:top w:w="28" w:type="dxa"/>
              <w:left w:w="28" w:type="dxa"/>
              <w:bottom w:w="28" w:type="dxa"/>
              <w:right w:w="28" w:type="dxa"/>
            </w:tcMar>
            <w:vAlign w:val="center"/>
          </w:tcPr>
          <w:p>
            <w:pPr>
              <w:pStyle w:val="TableContents"/>
              <w:bidi w:val="0"/>
              <w:spacing w:lineRule="atLeast" w:line="142" w:before="0" w:after="0"/>
              <w:jc w:val="left"/>
              <w:rPr/>
            </w:pPr>
            <w:r>
              <w:rPr>
                <w:spacing w:val="0"/>
              </w:rPr>
              <w:t>   </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410" w:before="0" w:after="0"/>
              <w:jc w:val="left"/>
              <w:rPr/>
            </w:pPr>
            <w:r>
              <w:rPr>
                <w:caps/>
              </w:rPr>
              <w:t xml:space="preserve">RATIFICATION OF APPOINTMENT OF </w:t>
              <w:br/>
              <w:t xml:space="preserve">INDEPENDENT REGISTERED PUBLIC </w:t>
              <w:br/>
              <w:t>ACCOUNTING FIRM</w:t>
            </w:r>
            <w:r>
              <w:rPr>
                <w:color w:val="000000"/>
              </w:rPr>
              <w:t>​</w:t>
            </w:r>
            <w:r>
              <w:rPr/>
              <w:t xml:space="preserve">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The Audit Committee of the Board has appointed the accounting firm of Deloitte &amp; Touche LLP to serve as our independent registered public accounting firm for the fiscal year ending December 31, 2024. Stockholder ratification of the appointment of Deloitte &amp; Touche LLP is not required by law, the NYSE or the Company’s organizational documents. However, as a matter of good corporate governance, the Board has elected to submit the appointment of Deloitte &amp; Touche LLP to the stockholders for ratification at the 2024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Deloitte &amp; Touche LLP, the Audit Committee will take that fact into consideration, together with such other factors it deems relevant, in determining its next selection of an independent registered public accounting firm. Deloitte &amp; Touche LLP has served as our independent registered public accounting firm commencing with our fiscal year beginning January 1, 2024 and is considered by our management to be well-qualified. See “Audit Committee Matters—Change in Independent Registered Public Accounting Firm” above. Deloitte &amp; Touche LLP has advised us that neither it nor any member thereof has any financial interest, direct or indirect, in the Company or any of our subsidiaries in any capacity.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spacing w:val="-2"/>
              </w:rPr>
            </w:pPr>
            <w:r>
              <w:rPr>
                <w:spacing w:val="-2"/>
              </w:rPr>
              <w:t xml:space="preserve">A representative of Deloitte &amp; Touche LLP will attend the Annual Meeting, will be given the opportunity to make a statement at the Annual Meeting if he or she so desires and will be available to respond to appropriate questions. A representative of Ernst &amp; Young is not expected to attend the Annual Meeting. </w:t>
            </w:r>
          </w:p>
        </w:tc>
        <w:tc>
          <w:tcPr>
            <w:tcW w:w="154" w:type="dxa"/>
            <w:tcBorders/>
            <w:shd w:fill="E9F9D8" w:val="clear"/>
            <w:vAlign w:val="center"/>
          </w:tcPr>
          <w:p>
            <w:pPr>
              <w:pStyle w:val="TableContents"/>
              <w:bidi w:val="0"/>
              <w:spacing w:before="0" w:after="283"/>
              <w:jc w:val="left"/>
              <w:rPr/>
            </w:pPr>
            <w:r>
              <w:rPr/>
              <w:t>​</w:t>
            </w:r>
          </w:p>
        </w:tc>
      </w:tr>
      <w:tr>
        <w:trPr/>
        <w:tc>
          <w:tcPr>
            <w:tcW w:w="124" w:type="dxa"/>
            <w:tcBorders/>
            <w:shd w:fill="E9F9D8" w:val="clear"/>
            <w:vAlign w:val="center"/>
          </w:tcPr>
          <w:p>
            <w:pPr>
              <w:pStyle w:val="TableContents"/>
              <w:bidi w:val="0"/>
              <w:spacing w:before="0" w:after="283"/>
              <w:jc w:val="left"/>
              <w:rPr/>
            </w:pPr>
            <w:r>
              <w:rPr/>
              <w:t>​</w:t>
            </w:r>
          </w:p>
        </w:tc>
        <w:tc>
          <w:tcPr>
            <w:tcW w:w="9927" w:type="dxa"/>
            <w:tcBorders/>
            <w:shd w:fill="E9F9D8" w:val="clear"/>
            <w:vAlign w:val="center"/>
          </w:tcPr>
          <w:p>
            <w:pPr>
              <w:pStyle w:val="TableContents"/>
              <w:bidi w:val="0"/>
              <w:spacing w:lineRule="atLeast" w:line="220" w:before="0" w:after="0"/>
              <w:jc w:val="left"/>
              <w:rPr/>
            </w:pPr>
            <w:r>
              <w:rPr>
                <w:spacing w:val="-2"/>
              </w:rPr>
              <w:t>A majority of all of the votes cast with respect to this proposal is required for the ratification of the appointment of Deloitte &amp; Touche LLP as our independent registered public accounting firm for the fiscal year ending December 31, 2024. Abstentions do not constitute a vote “for” or “against” and will not be counted as “votes cast”. Therefore, abstentions will have no effect on this proposal.</w:t>
            </w:r>
            <w:r>
              <w:rPr/>
              <w:t xml:space="preserve"> </w:t>
            </w:r>
          </w:p>
        </w:tc>
        <w:tc>
          <w:tcPr>
            <w:tcW w:w="154" w:type="dxa"/>
            <w:tcBorders/>
            <w:shd w:fill="E9F9D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24"/>
        <w:gridCol w:w="109"/>
        <w:gridCol w:w="8655"/>
        <w:gridCol w:w="109"/>
        <w:gridCol w:w="109"/>
        <w:gridCol w:w="83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655" w:type="dxa"/>
            <w:tcBorders>
              <w:bottom w:val="single" w:sz="96" w:space="0" w:color="E9F9D8"/>
            </w:tcBorders>
            <w:tcMar>
              <w:bottom w:w="430" w:type="dxa"/>
            </w:tcMar>
            <w:vAlign w:val="center"/>
          </w:tcPr>
          <w:p>
            <w:pPr>
              <w:pStyle w:val="TableContents"/>
              <w:bidi w:val="0"/>
              <w:spacing w:lineRule="atLeast" w:line="260" w:before="0" w:after="0"/>
              <w:jc w:val="left"/>
              <w:rPr/>
            </w:pPr>
            <w:r>
              <w:rPr/>
              <w:t xml:space="preserve">The Board unanimously recommends a vote </w:t>
            </w:r>
            <w:r>
              <w:rPr>
                <w:color w:val="83AD40"/>
              </w:rPr>
              <w:t>“FOR”</w:t>
            </w:r>
            <w:r>
              <w:rPr/>
              <w:t xml:space="preserve"> the ratification of the appointment of Deloitte &amp; Touche LLP as our independent registered public accounting firm.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835" w:type="dxa"/>
            <w:tcBorders>
              <w:bottom w:val="single" w:sz="96" w:space="0" w:color="E9F9D8"/>
            </w:tcBorders>
            <w:tcMar>
              <w:bottom w:w="210" w:type="dxa"/>
            </w:tcMar>
            <w:vAlign w:val="center"/>
          </w:tcPr>
          <w:p>
            <w:pPr>
              <w:pStyle w:val="TableContents"/>
              <w:bidi w:val="0"/>
              <w:spacing w:before="0" w:after="283"/>
              <w:jc w:val="center"/>
              <w:rPr/>
            </w:pPr>
            <w:r>
              <w:rPr/>
              <w:drawing>
                <wp:inline distT="0" distB="0" distL="0" distR="0">
                  <wp:extent cx="457200" cy="457200"/>
                  <wp:effectExtent l="0" t="0" r="0" b="0"/>
                  <wp:docPr id="95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290" descr=""/>
                          <pic:cNvPicPr>
                            <a:picLocks noChangeAspect="1" noChangeArrowheads="1"/>
                          </pic:cNvPicPr>
                        </pic:nvPicPr>
                        <pic:blipFill>
                          <a:blip r:embed="rId390"/>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96" w:space="0" w:color="E9F9D8"/>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PAP"/>
      <w:bookmarkEnd w:id="23"/>
      <w:r>
        <w:rPr>
          <w:rFonts w:ascii="calibri;arial;sans-serif" w:hAnsi="calibri;arial;sans-serif"/>
          <w:b w:val="false"/>
          <w:i w:val="false"/>
          <w:caps w:val="false"/>
          <w:smallCaps w:val="false"/>
          <w:color w:val="000000"/>
          <w:sz w:val="16"/>
        </w:rPr>
        <w:t>​</w:t>
      </w:r>
      <w:bookmarkStart w:id="24" w:name="tFEDI"/>
      <w:bookmarkEnd w:id="24"/>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 xml:space="preserve">PRE-APPROVAL POLICIES AND PROCEDURES OF </w:t>
        <w:br/>
        <w:t>OUR AUDIT COMMITTEE</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below were incurred as a result of non-audit services provided by our independent registered public accounting firm pursuant to this de minimis exception. All services provided by Ernst &amp; Young LLP, our former independent registered public accounting firm, in 2023 were pre-approved by our Audit Committee. Our Audit Committee may delegate to one or more of its members who is an independent director the authority to grant pre-approvals.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FEE DISCLOSURE</w:t>
      </w:r>
      <w:r>
        <w:rPr>
          <w:rFonts w:ascii="Arial;Helvetica;sans-serif" w:hAnsi="Arial;Helvetica;sans-serif"/>
          <w:b/>
          <w:i w:val="false"/>
          <w:caps w:val="false"/>
          <w:smallCaps w:val="false"/>
          <w:color w:val="000000"/>
          <w:spacing w:val="6"/>
          <w:sz w:val="32"/>
        </w:rPr>
        <w:t xml:space="preserve"> </w:t>
      </w:r>
    </w:p>
    <w:tbl>
      <w:tblPr>
        <w:tblW w:w="5357" w:type="dxa"/>
        <w:jc w:val="left"/>
        <w:tblInd w:w="900" w:type="dxa"/>
        <w:tblLayout w:type="fixed"/>
        <w:tblCellMar>
          <w:top w:w="0" w:type="dxa"/>
          <w:left w:w="0" w:type="dxa"/>
          <w:bottom w:w="63" w:type="dxa"/>
          <w:right w:w="0" w:type="dxa"/>
        </w:tblCellMar>
      </w:tblPr>
      <w:tblGrid>
        <w:gridCol w:w="1981"/>
        <w:gridCol w:w="109"/>
        <w:gridCol w:w="109"/>
        <w:gridCol w:w="109"/>
        <w:gridCol w:w="109"/>
        <w:gridCol w:w="1066"/>
        <w:gridCol w:w="109"/>
        <w:gridCol w:w="109"/>
        <w:gridCol w:w="109"/>
        <w:gridCol w:w="109"/>
        <w:gridCol w:w="109"/>
        <w:gridCol w:w="1066"/>
        <w:gridCol w:w="109"/>
        <w:gridCol w:w="154"/>
      </w:tblGrid>
      <w:tr>
        <w:trPr/>
        <w:tc>
          <w:tcPr>
            <w:tcW w:w="1981"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2"/>
              </w:rPr>
              <w:t xml:space="preserve">2023 </w:t>
              <w:b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1F2668"/>
            </w:tcBorders>
            <w:vAlign w:val="center"/>
          </w:tcPr>
          <w:p>
            <w:pPr>
              <w:pStyle w:val="TableContents"/>
              <w:bidi w:val="0"/>
              <w:spacing w:before="0" w:after="0"/>
              <w:jc w:val="right"/>
              <w:rPr/>
            </w:pPr>
            <w:r>
              <w:rPr>
                <w:spacing w:val="2"/>
              </w:rPr>
              <w:t xml:space="preserve">2022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3,576,000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3,547,000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Audit-Related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221,000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87,000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Tax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06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2" w:space="0" w:color="1F2668"/>
            </w:tcBorders>
            <w:tcMar>
              <w:bottom w:w="70" w:type="dxa"/>
            </w:tcMar>
            <w:vAlign w:val="center"/>
          </w:tcPr>
          <w:p>
            <w:pPr>
              <w:pStyle w:val="TableContents"/>
              <w:bidi w:val="0"/>
              <w:spacing w:before="0" w:after="0"/>
              <w:jc w:val="left"/>
              <w:rPr>
                <w:b/>
              </w:rPr>
            </w:pPr>
            <w:r>
              <w:rPr>
                <w:b/>
              </w:rPr>
              <w:t>TOTAL</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3,797,000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066" w:type="dxa"/>
            <w:tcBorders>
              <w:bottom w:val="single" w:sz="2" w:space="0" w:color="1F2668"/>
            </w:tcBorders>
            <w:tcMar>
              <w:bottom w:w="70" w:type="dxa"/>
            </w:tcMar>
            <w:vAlign w:val="center"/>
          </w:tcPr>
          <w:p>
            <w:pPr>
              <w:pStyle w:val="TableContents"/>
              <w:bidi w:val="0"/>
              <w:spacing w:before="0" w:after="283"/>
              <w:jc w:val="right"/>
              <w:rPr/>
            </w:pPr>
            <w:r>
              <w:rPr/>
              <w:t>3,634,000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300" w:before="440" w:after="283"/>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Audit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Fees, including out-of-pocket expenses, for audit services totaled approximately $3,576,000 in fiscal year 2023 and $3,547,000 in fiscal year 2022.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Audit-Related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Fees for audit-related services totaled approximately $221,000 in 2023 and $87,000 in 2022. The audit-related services principally include fees for operating expense audits and agreed-upon procedures projects.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Tax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There were no fees for tax services, including tax compliance, tax advice and tax planning, in either 2023 or 2022.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All Other Fees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There were no fees for other services not included above in either 2023 or 2022.</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Audit Committee considers whether the provision by Deloitte &amp; Touche LLP of any services that would be required to be described under “All Other Fees” would be compatible with maintaining Deloitte &amp; Touche LLP’s independence from both management and the Company.</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OOC"/>
      <w:bookmarkEnd w:id="25"/>
      <w:r>
        <w:rPr>
          <w:rFonts w:ascii="calibri;arial;sans-serif" w:hAnsi="calibri;arial;sans-serif"/>
          <w:b w:val="false"/>
          <w:i w:val="false"/>
          <w:caps w:val="false"/>
          <w:smallCaps w:val="false"/>
          <w:color w:val="000000"/>
          <w:sz w:val="16"/>
        </w:rPr>
        <w:t>​</w:t>
      </w:r>
      <w:bookmarkStart w:id="26" w:name="tSOI"/>
      <w:bookmarkEnd w:id="26"/>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109"/>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pPr>
            <w:r>
              <w:rPr/>
              <w:t>85</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STOCK OWNERSHIP INFORMATION</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35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SECURITY OWNERSHIP OF CERTAIN BENEFICIAL OWNERS AND MANAGEMENT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the beneficial ownership of our common stock, $0.01 par value per share, and our common stock and common units in our operating partnership as of March 31, 2024,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As of March 31, 2024, the following shares and units were outstanding: (i) 65,858,830 shares of our common stock, (ii) 957,188 common units in our operating partnership (other than the units held by us) and (iii) 3,460,059 LTIP units (excluding unearned performance-based LTIP units, which may be earned based on the achievement of performance-based vesting hurdles).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3116"/>
        <w:gridCol w:w="109"/>
        <w:gridCol w:w="109"/>
        <w:gridCol w:w="109"/>
        <w:gridCol w:w="109"/>
        <w:gridCol w:w="1186"/>
        <w:gridCol w:w="109"/>
        <w:gridCol w:w="109"/>
        <w:gridCol w:w="109"/>
        <w:gridCol w:w="109"/>
        <w:gridCol w:w="109"/>
        <w:gridCol w:w="733"/>
        <w:gridCol w:w="109"/>
        <w:gridCol w:w="109"/>
        <w:gridCol w:w="109"/>
        <w:gridCol w:w="109"/>
        <w:gridCol w:w="109"/>
        <w:gridCol w:w="1186"/>
        <w:gridCol w:w="109"/>
        <w:gridCol w:w="109"/>
        <w:gridCol w:w="109"/>
        <w:gridCol w:w="110"/>
        <w:gridCol w:w="110"/>
        <w:gridCol w:w="744"/>
        <w:gridCol w:w="110"/>
        <w:gridCol w:w="157"/>
      </w:tblGrid>
      <w:tr>
        <w:trPr/>
        <w:tc>
          <w:tcPr>
            <w:tcW w:w="3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1" w:type="dxa"/>
            <w:gridSpan w:val="10"/>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Common Stock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5" w:type="dxa"/>
            <w:gridSpan w:val="10"/>
            <w:tcBorders>
              <w:bottom w:val="single" w:sz="2" w:space="0" w:color="1F2668"/>
            </w:tcBorders>
            <w:tcMar>
              <w:bottom w:w="70" w:type="dxa"/>
            </w:tcMar>
            <w:vAlign w:val="center"/>
          </w:tcPr>
          <w:p>
            <w:pPr>
              <w:pStyle w:val="TableContents"/>
              <w:bidi w:val="0"/>
              <w:spacing w:before="0" w:after="0"/>
              <w:jc w:val="center"/>
              <w:rPr>
                <w:spacing w:val="2"/>
              </w:rPr>
            </w:pPr>
            <w:r>
              <w:rPr>
                <w:spacing w:val="2"/>
              </w:rPr>
              <w:t xml:space="preserve">Common Stock and Units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Number </w:t>
              <w:br/>
              <w:t xml:space="preserve">of Shares </w:t>
              <w:br/>
              <w:t xml:space="preserve">Beneficially </w:t>
              <w:br/>
              <w:t>Owned</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0"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Percent of </w:t>
              <w:br/>
              <w:t xml:space="preserve">Common </w:t>
              <w:br/>
              <w:t>Stock</w:t>
            </w:r>
            <w:r>
              <w:rPr>
                <w:spacing w:val="1"/>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Number of </w:t>
              <w:br/>
              <w:t xml:space="preserve">Shares and </w:t>
              <w:br/>
              <w:t xml:space="preserve">Units </w:t>
              <w:br/>
              <w:t xml:space="preserve">Beneficially </w:t>
              <w:br/>
              <w:t>Owned</w:t>
            </w:r>
            <w:r>
              <w:rPr>
                <w:spacing w:val="1"/>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4" w:type="dxa"/>
            <w:gridSpan w:val="4"/>
            <w:tcBorders>
              <w:bottom w:val="single" w:sz="2" w:space="0" w:color="1F2668"/>
            </w:tcBorders>
            <w:tcMar>
              <w:bottom w:w="63" w:type="dxa"/>
            </w:tcMar>
            <w:vAlign w:val="center"/>
          </w:tcPr>
          <w:p>
            <w:pPr>
              <w:pStyle w:val="TableContents"/>
              <w:bidi w:val="0"/>
              <w:spacing w:lineRule="atLeast" w:line="142" w:before="0" w:after="0"/>
              <w:jc w:val="right"/>
              <w:rPr/>
            </w:pPr>
            <w:r>
              <w:rPr>
                <w:spacing w:val="2"/>
              </w:rPr>
              <w:t xml:space="preserve">Percent of </w:t>
              <w:br/>
              <w:t xml:space="preserve">Common </w:t>
              <w:br/>
              <w:t xml:space="preserve">Stock </w:t>
              <w:br/>
              <w:t>and Units</w:t>
            </w:r>
            <w:r>
              <w:rPr>
                <w:spacing w:val="1"/>
                <w:sz w:val="10"/>
              </w:rPr>
              <w:t>(2)</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t>5% HOLDERS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BlackRock, Inc.</w:t>
            </w:r>
            <w:r>
              <w:rPr>
                <w:spacing w:val="-1"/>
                <w:sz w:val="11"/>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12,405,640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18.84%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12,405,640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17.65%</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The Vanguard Group</w:t>
            </w:r>
            <w:r>
              <w:rPr>
                <w:spacing w:val="-1"/>
                <w:sz w:val="11"/>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10,324,945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15.68%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10,324,945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14.69%</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State Street Corporation</w:t>
            </w:r>
            <w:r>
              <w:rPr>
                <w:spacing w:val="-1"/>
                <w:sz w:val="11"/>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4,423,621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6.72%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4,423,621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6.29%</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t>Directors, Nominees for Director and Named Executive Officers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John H. Alschuler</w:t>
            </w:r>
            <w:r>
              <w:rPr>
                <w:spacing w:val="-1"/>
                <w:sz w:val="11"/>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585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20,371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Betsy S. Atkins</w:t>
            </w:r>
            <w:r>
              <w:rPr>
                <w:spacing w:val="-1"/>
                <w:sz w:val="11"/>
              </w:rPr>
              <w:t>(7)</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6,779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8,532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Carol N. Brown</w:t>
            </w:r>
            <w:r>
              <w:rPr>
                <w:spacing w:val="-1"/>
                <w:sz w:val="11"/>
              </w:rPr>
              <w:t>(8)</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9,784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Edwin T. Burton, III</w:t>
            </w:r>
            <w:r>
              <w:rPr>
                <w:spacing w:val="-1"/>
                <w:sz w:val="11"/>
              </w:rPr>
              <w:t>(9)</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5,207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40,641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Matthew J. DiLiberto</w:t>
            </w:r>
            <w:r>
              <w:rPr>
                <w:spacing w:val="-1"/>
                <w:sz w:val="11"/>
              </w:rPr>
              <w:t>(10)</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3,871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206,203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Lauren B. Dillard</w:t>
            </w:r>
            <w:r>
              <w:rPr>
                <w:spacing w:val="-1"/>
                <w:sz w:val="11"/>
              </w:rPr>
              <w:t>(11)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12,007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46,013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Stephen L. Green</w:t>
            </w:r>
            <w:r>
              <w:rPr>
                <w:spacing w:val="-1"/>
                <w:sz w:val="11"/>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850,723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1.21%</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spacing w:val="-2"/>
              </w:rPr>
            </w:pPr>
            <w:r>
              <w:rPr>
                <w:spacing w:val="-2"/>
              </w:rPr>
              <w:t xml:space="preserve">Craig M. Hatkoff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2,070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Marc Holliday</w:t>
            </w:r>
            <w:r>
              <w:rPr>
                <w:spacing w:val="-1"/>
                <w:sz w:val="11"/>
              </w:rPr>
              <w:t>(13)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10,301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1,241,834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1.77%</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Andrew S. Levine</w:t>
            </w:r>
            <w:r>
              <w:rPr>
                <w:spacing w:val="-1"/>
                <w:sz w:val="11"/>
              </w:rPr>
              <w:t>(14)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8,832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245,198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4B5088"/>
            </w:tcBorders>
            <w:tcMar>
              <w:bottom w:w="70" w:type="dxa"/>
            </w:tcMar>
            <w:vAlign w:val="center"/>
          </w:tcPr>
          <w:p>
            <w:pPr>
              <w:pStyle w:val="TableContents"/>
              <w:bidi w:val="0"/>
              <w:spacing w:before="0" w:after="283"/>
              <w:jc w:val="left"/>
              <w:rPr/>
            </w:pPr>
            <w:r>
              <w:rPr>
                <w:spacing w:val="-2"/>
              </w:rPr>
              <w:t>Andrew Mathias</w:t>
            </w:r>
            <w:r>
              <w:rPr>
                <w:spacing w:val="-1"/>
                <w:sz w:val="11"/>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6,189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733" w:type="dxa"/>
            <w:tcBorders>
              <w:bottom w:val="single" w:sz="2" w:space="0" w:color="4B5088"/>
            </w:tcBorders>
            <w:tcMar>
              <w:bottom w:w="70"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70" w:type="dxa"/>
            </w:tcMar>
            <w:vAlign w:val="center"/>
          </w:tcPr>
          <w:p>
            <w:pPr>
              <w:pStyle w:val="TableContents"/>
              <w:bidi w:val="0"/>
              <w:spacing w:before="0" w:after="283"/>
              <w:jc w:val="right"/>
              <w:rPr/>
            </w:pPr>
            <w:r>
              <w:rPr/>
              <w:t>​</w:t>
            </w:r>
          </w:p>
        </w:tc>
        <w:tc>
          <w:tcPr>
            <w:tcW w:w="1186" w:type="dxa"/>
            <w:tcBorders>
              <w:bottom w:val="single" w:sz="2" w:space="0" w:color="4B5088"/>
            </w:tcBorders>
            <w:tcMar>
              <w:bottom w:w="70" w:type="dxa"/>
            </w:tcMar>
            <w:vAlign w:val="center"/>
          </w:tcPr>
          <w:p>
            <w:pPr>
              <w:pStyle w:val="TableContents"/>
              <w:bidi w:val="0"/>
              <w:spacing w:before="0" w:after="283"/>
              <w:jc w:val="right"/>
              <w:rPr/>
            </w:pPr>
            <w:r>
              <w:rPr/>
              <w:t>908,501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10" w:type="dxa"/>
            <w:tcBorders>
              <w:bottom w:val="single" w:sz="2" w:space="0" w:color="4B5088"/>
            </w:tcBorders>
            <w:tcMar>
              <w:bottom w:w="70" w:type="dxa"/>
            </w:tcMar>
            <w:vAlign w:val="center"/>
          </w:tcPr>
          <w:p>
            <w:pPr>
              <w:pStyle w:val="TableContents"/>
              <w:bidi w:val="0"/>
              <w:spacing w:before="0" w:after="283"/>
              <w:jc w:val="right"/>
              <w:rPr/>
            </w:pPr>
            <w:r>
              <w:rPr/>
              <w:t>​</w:t>
            </w:r>
          </w:p>
        </w:tc>
        <w:tc>
          <w:tcPr>
            <w:tcW w:w="744" w:type="dxa"/>
            <w:tcBorders>
              <w:bottom w:val="single" w:sz="2" w:space="0" w:color="4B5088"/>
            </w:tcBorders>
            <w:tcMar>
              <w:bottom w:w="70" w:type="dxa"/>
            </w:tcMar>
            <w:vAlign w:val="center"/>
          </w:tcPr>
          <w:p>
            <w:pPr>
              <w:pStyle w:val="TableContents"/>
              <w:bidi w:val="0"/>
              <w:spacing w:before="0" w:after="283"/>
              <w:jc w:val="right"/>
              <w:rPr/>
            </w:pPr>
            <w:r>
              <w:rPr/>
              <w:t>1.29%</w:t>
            </w:r>
          </w:p>
        </w:tc>
        <w:tc>
          <w:tcPr>
            <w:tcW w:w="110"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6"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All Directors and Executive Officers as a Group (11 Persons)</w:t>
            </w:r>
            <w:r>
              <w:rPr>
                <w:b/>
                <w:color w:val="1F2668"/>
                <w:sz w:val="11"/>
              </w:rPr>
              <w:t>(16)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55,842</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733" w:type="dxa"/>
            <w:tcBorders>
              <w:bottom w:val="single" w:sz="2" w:space="0" w:color="1F2668"/>
            </w:tcBorders>
            <w:tcMar>
              <w:bottom w:w="70" w:type="dxa"/>
            </w:tcMar>
            <w:vAlign w:val="center"/>
          </w:tcPr>
          <w:p>
            <w:pPr>
              <w:pStyle w:val="TableContents"/>
              <w:bidi w:val="0"/>
              <w:spacing w:before="0" w:after="283"/>
              <w:jc w:val="righ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70" w:type="dxa"/>
            </w:tcMar>
            <w:vAlign w:val="center"/>
          </w:tcPr>
          <w:p>
            <w:pPr>
              <w:pStyle w:val="TableContents"/>
              <w:bidi w:val="0"/>
              <w:spacing w:before="0" w:after="283"/>
              <w:jc w:val="right"/>
              <w:rPr/>
            </w:pPr>
            <w:r>
              <w:rPr/>
              <w:t>​</w:t>
            </w:r>
          </w:p>
        </w:tc>
        <w:tc>
          <w:tcPr>
            <w:tcW w:w="1186" w:type="dxa"/>
            <w:tcBorders>
              <w:bottom w:val="single" w:sz="2" w:space="0" w:color="1F2668"/>
            </w:tcBorders>
            <w:tcMar>
              <w:bottom w:w="70" w:type="dxa"/>
            </w:tcMar>
            <w:vAlign w:val="center"/>
          </w:tcPr>
          <w:p>
            <w:pPr>
              <w:pStyle w:val="TableContents"/>
              <w:bidi w:val="0"/>
              <w:spacing w:before="0" w:after="283"/>
              <w:jc w:val="right"/>
              <w:rPr/>
            </w:pPr>
            <w:r>
              <w:rPr/>
              <w:t>3,579,870</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110" w:type="dxa"/>
            <w:tcBorders>
              <w:bottom w:val="single" w:sz="2" w:space="0" w:color="1F2668"/>
            </w:tcBorders>
            <w:tcMar>
              <w:bottom w:w="70" w:type="dxa"/>
            </w:tcMar>
            <w:vAlign w:val="center"/>
          </w:tcPr>
          <w:p>
            <w:pPr>
              <w:pStyle w:val="TableContents"/>
              <w:bidi w:val="0"/>
              <w:spacing w:before="0" w:after="283"/>
              <w:jc w:val="right"/>
              <w:rPr/>
            </w:pPr>
            <w:r>
              <w:rPr/>
              <w:t>​</w:t>
            </w:r>
          </w:p>
        </w:tc>
        <w:tc>
          <w:tcPr>
            <w:tcW w:w="744" w:type="dxa"/>
            <w:tcBorders>
              <w:bottom w:val="single" w:sz="2" w:space="0" w:color="1F2668"/>
            </w:tcBorders>
            <w:tcMar>
              <w:bottom w:w="70" w:type="dxa"/>
            </w:tcMar>
            <w:vAlign w:val="center"/>
          </w:tcPr>
          <w:p>
            <w:pPr>
              <w:pStyle w:val="TableContents"/>
              <w:bidi w:val="0"/>
              <w:spacing w:before="0" w:after="283"/>
              <w:jc w:val="right"/>
              <w:rPr/>
            </w:pPr>
            <w:r>
              <w:rPr/>
              <w:t>5.08%</w:t>
            </w:r>
          </w:p>
        </w:tc>
        <w:tc>
          <w:tcPr>
            <w:tcW w:w="110"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7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5260" distB="0" distL="0" distR="0" simplePos="0" locked="0" layoutInCell="1" allowOverlap="1" relativeHeight="865">
                <wp:simplePos x="0" y="0"/>
                <wp:positionH relativeFrom="column">
                  <wp:align>left</wp:align>
                </wp:positionH>
                <wp:positionV relativeFrom="line">
                  <wp:align>top</wp:align>
                </wp:positionV>
                <wp:extent cx="254000" cy="254000"/>
                <wp:effectExtent l="0" t="0" r="0" b="0"/>
                <wp:wrapSquare wrapText="right"/>
                <wp:docPr id="951" name="Frame56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3.8pt;mso-wrap-distance-bottom:0pt;margin-top:1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Unless otherwise indicated, the business address is One Vanderbilt Avenue, New York, New York 10017-3852.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8260" distB="0" distL="0" distR="0" simplePos="0" locked="0" layoutInCell="1" allowOverlap="1" relativeHeight="866">
                <wp:simplePos x="0" y="0"/>
                <wp:positionH relativeFrom="column">
                  <wp:align>left</wp:align>
                </wp:positionH>
                <wp:positionV relativeFrom="line">
                  <wp:align>top</wp:align>
                </wp:positionV>
                <wp:extent cx="254000" cy="254000"/>
                <wp:effectExtent l="0" t="0" r="0" b="0"/>
                <wp:wrapSquare wrapText="right"/>
                <wp:docPr id="952" name="Frame56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2024.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w:t>
      </w:r>
      <w:r>
        <mc:AlternateContent>
          <mc:Choice Requires="wps">
            <w:drawing>
              <wp:anchor behindDoc="0" distT="48260" distB="0" distL="0" distR="0" simplePos="0" locked="0" layoutInCell="1" allowOverlap="1" relativeHeight="867">
                <wp:simplePos x="0" y="0"/>
                <wp:positionH relativeFrom="column">
                  <wp:align>left</wp:align>
                </wp:positionH>
                <wp:positionV relativeFrom="line">
                  <wp:align>top</wp:align>
                </wp:positionV>
                <wp:extent cx="254000" cy="254000"/>
                <wp:effectExtent l="0" t="0" r="0" b="0"/>
                <wp:wrapSquare wrapText="right"/>
                <wp:docPr id="953" name="Frame57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(1)</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560" w:after="154"/>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performance-based LTIP units and (ii) the number of shares of common stock issuable upon settlement of outstanding phantom units. 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2024 Annual Meeting.</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The total number of shares outstanding used in calculating the percentage of common stock held by each person assumes the exercise of all options to acquire shares of common stock that are exercisable on or within 60 days after March 31, 2024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2024 and settlement for an equal number of shares of common stock of all phantom units held by the beneficial owner and that no options or phantom units held by other beneficial owners are exercised or settled.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68">
                <wp:simplePos x="0" y="0"/>
                <wp:positionH relativeFrom="column">
                  <wp:align>left</wp:align>
                </wp:positionH>
                <wp:positionV relativeFrom="line">
                  <wp:align>top</wp:align>
                </wp:positionV>
                <wp:extent cx="254000" cy="350520"/>
                <wp:effectExtent l="0" t="0" r="0" b="0"/>
                <wp:wrapSquare wrapText="right"/>
                <wp:docPr id="954"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January 19, 2024, as of December 31, 2023, by BlackRock, Inc. BlackRock, Inc. reported sole voting power with respect to 11,764,248 shares and sole dispositive power with respect to 12,405,640 shares. The business address for BlackRock, Inc. is 50 Hudson Yards, New York, NY 10001.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69">
                <wp:simplePos x="0" y="0"/>
                <wp:positionH relativeFrom="column">
                  <wp:align>left</wp:align>
                </wp:positionH>
                <wp:positionV relativeFrom="line">
                  <wp:align>top</wp:align>
                </wp:positionV>
                <wp:extent cx="254000" cy="350520"/>
                <wp:effectExtent l="0" t="0" r="0" b="0"/>
                <wp:wrapSquare wrapText="right"/>
                <wp:docPr id="955"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February 13, 2024, as of December 29, 2023, by The Vanguard Group, or Vanguard. Vanguard reported shared voting power with respect to 96,950 shares, sole dispositive power with respect to 10,160,385 shares and shared dispositive power with respect to 164,560 shares. The business address of Vanguard is 100 Vanguard Blvd., Malvern, PA 19355.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0">
                <wp:simplePos x="0" y="0"/>
                <wp:positionH relativeFrom="column">
                  <wp:align>left</wp:align>
                </wp:positionH>
                <wp:positionV relativeFrom="line">
                  <wp:align>top</wp:align>
                </wp:positionV>
                <wp:extent cx="254000" cy="350520"/>
                <wp:effectExtent l="0" t="0" r="0" b="0"/>
                <wp:wrapSquare wrapText="right"/>
                <wp:docPr id="956"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Based on information provided on a Schedule 13G/A filed with the SEC on January 30, 2024 as of December 31, 2023, by State Street Corporation. State Street Corporation reported shared voting power with respect to 3,533,781 shares and shared dispositive power with respect to 4,417,247 shares. The business address for State Street Corporation is One Congress Street, Suite 1, Boston, MA 02114.</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1">
                <wp:simplePos x="0" y="0"/>
                <wp:positionH relativeFrom="column">
                  <wp:align>left</wp:align>
                </wp:positionH>
                <wp:positionV relativeFrom="line">
                  <wp:align>top</wp:align>
                </wp:positionV>
                <wp:extent cx="254000" cy="350520"/>
                <wp:effectExtent l="0" t="0" r="0" b="0"/>
                <wp:wrapSquare wrapText="right"/>
                <wp:docPr id="957"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19,786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2">
                <wp:simplePos x="0" y="0"/>
                <wp:positionH relativeFrom="column">
                  <wp:align>left</wp:align>
                </wp:positionH>
                <wp:positionV relativeFrom="line">
                  <wp:align>top</wp:align>
                </wp:positionV>
                <wp:extent cx="254000" cy="350520"/>
                <wp:effectExtent l="0" t="0" r="0" b="0"/>
                <wp:wrapSquare wrapText="right"/>
                <wp:docPr id="958"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1,753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3">
                <wp:simplePos x="0" y="0"/>
                <wp:positionH relativeFrom="column">
                  <wp:align>left</wp:align>
                </wp:positionH>
                <wp:positionV relativeFrom="line">
                  <wp:align>top</wp:align>
                </wp:positionV>
                <wp:extent cx="254000" cy="350520"/>
                <wp:effectExtent l="0" t="0" r="0" b="0"/>
                <wp:wrapSquare wrapText="right"/>
                <wp:docPr id="959"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9,784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960" name="Frame5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35,434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961" name="Frame5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202,332 LTIP units (of which 81,707 LTIP units are subject to vesting). The totals exclude 15,000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6">
                <wp:simplePos x="0" y="0"/>
                <wp:positionH relativeFrom="column">
                  <wp:align>left</wp:align>
                </wp:positionH>
                <wp:positionV relativeFrom="line">
                  <wp:align>top</wp:align>
                </wp:positionV>
                <wp:extent cx="254000" cy="525780"/>
                <wp:effectExtent l="0" t="0" r="0" b="0"/>
                <wp:wrapSquare wrapText="right"/>
                <wp:docPr id="962" name="Frame5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34,006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7">
                <wp:simplePos x="0" y="0"/>
                <wp:positionH relativeFrom="column">
                  <wp:align>left</wp:align>
                </wp:positionH>
                <wp:positionV relativeFrom="line">
                  <wp:align>top</wp:align>
                </wp:positionV>
                <wp:extent cx="254000" cy="525780"/>
                <wp:effectExtent l="0" t="0" r="0" b="0"/>
                <wp:wrapSquare wrapText="right"/>
                <wp:docPr id="963" name="Frame5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658,697 common units, 167,134 LTIP units and 24,892 phantom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8">
                <wp:simplePos x="0" y="0"/>
                <wp:positionH relativeFrom="column">
                  <wp:align>left</wp:align>
                </wp:positionH>
                <wp:positionV relativeFrom="line">
                  <wp:align>top</wp:align>
                </wp:positionV>
                <wp:extent cx="254000" cy="525780"/>
                <wp:effectExtent l="0" t="0" r="0" b="0"/>
                <wp:wrapSquare wrapText="right"/>
                <wp:docPr id="964" name="Frame5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1,231,533 LTIP units (of which 355,855 LTIP units are subject to vesting). The totals exclude 105,000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79">
                <wp:simplePos x="0" y="0"/>
                <wp:positionH relativeFrom="column">
                  <wp:align>left</wp:align>
                </wp:positionH>
                <wp:positionV relativeFrom="line">
                  <wp:align>top</wp:align>
                </wp:positionV>
                <wp:extent cx="254000" cy="525780"/>
                <wp:effectExtent l="0" t="0" r="0" b="0"/>
                <wp:wrapSquare wrapText="right"/>
                <wp:docPr id="965" name="Frame5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236,366 LTIP units (of which 76,543 LTIP units are subject to vesting). The totals exclude 15,000 Class O LTIP units and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80">
                <wp:simplePos x="0" y="0"/>
                <wp:positionH relativeFrom="column">
                  <wp:align>left</wp:align>
                </wp:positionH>
                <wp:positionV relativeFrom="line">
                  <wp:align>top</wp:align>
                </wp:positionV>
                <wp:extent cx="254000" cy="525780"/>
                <wp:effectExtent l="0" t="0" r="0" b="0"/>
                <wp:wrapSquare wrapText="right"/>
                <wp:docPr id="966" name="Frame5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Includes, only under the “Number of Shares and Units Beneficially Owned” column, 902,312 LTIP units. The totals exclude all unearned performance-based LTIP units.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0800" distB="0" distL="0" distR="0" simplePos="0" locked="0" layoutInCell="1" allowOverlap="1" relativeHeight="881">
                <wp:simplePos x="0" y="0"/>
                <wp:positionH relativeFrom="column">
                  <wp:align>left</wp:align>
                </wp:positionH>
                <wp:positionV relativeFrom="line">
                  <wp:align>top</wp:align>
                </wp:positionV>
                <wp:extent cx="254000" cy="525780"/>
                <wp:effectExtent l="0" t="0" r="0" b="0"/>
                <wp:wrapSquare wrapText="right"/>
                <wp:docPr id="967" name="Frame5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0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Includes an aggregate of 55,842 shares of common stock. Also includes, only under the “Number of Shares and Units Beneficially Owned” column, 658,697 common units, 2,739,677 LTIP units and 125,655 phantom units. See also Notes (6) – (15) above. Excludes unearned performance-based LTIP units and Class O LTIP units. </w:t>
      </w:r>
      <w:r>
        <mc:AlternateContent>
          <mc:Choice Requires="wps">
            <w:drawing>
              <wp:anchor behindDoc="0" distT="50800" distB="0" distL="0" distR="0" simplePos="0" locked="0" layoutInCell="1" allowOverlap="1" relativeHeight="882">
                <wp:simplePos x="0" y="0"/>
                <wp:positionH relativeFrom="column">
                  <wp:align>left</wp:align>
                </wp:positionH>
                <wp:positionV relativeFrom="line">
                  <wp:align>top</wp:align>
                </wp:positionV>
                <wp:extent cx="254000" cy="525780"/>
                <wp:effectExtent l="0" t="0" r="0" b="0"/>
                <wp:wrapSquare wrapText="right"/>
                <wp:docPr id="968" name="Frame5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S1R"/>
      <w:bookmarkEnd w:id="27"/>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417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pPr>
            <w:r>
              <w:rPr/>
              <w:t>STOCK OWNERSHIP INFORMATION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87</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Series I Preferred Stock</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following table sets forth the beneficial ownership of our Series I Cumulative Redeemable Preferred Stock, $0.01 par value, as of March 31, 2024,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2024, there were 9,200,000 shares of our Series I Cumulative Redeemable Preferred Stock outstanding.</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6055"/>
        <w:gridCol w:w="109"/>
        <w:gridCol w:w="109"/>
        <w:gridCol w:w="117"/>
        <w:gridCol w:w="117"/>
        <w:gridCol w:w="967"/>
        <w:gridCol w:w="120"/>
        <w:gridCol w:w="109"/>
        <w:gridCol w:w="109"/>
        <w:gridCol w:w="169"/>
        <w:gridCol w:w="169"/>
        <w:gridCol w:w="823"/>
        <w:gridCol w:w="172"/>
        <w:gridCol w:w="160"/>
      </w:tblGrid>
      <w:tr>
        <w:trPr/>
        <w:tc>
          <w:tcPr>
            <w:tcW w:w="605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72" w:type="dxa"/>
            <w:gridSpan w:val="10"/>
            <w:tcBorders>
              <w:bottom w:val="single" w:sz="2" w:space="0" w:color="1F2668"/>
            </w:tcBorders>
            <w:tcMar>
              <w:bottom w:w="63" w:type="dxa"/>
            </w:tcMar>
            <w:vAlign w:val="center"/>
          </w:tcPr>
          <w:p>
            <w:pPr>
              <w:pStyle w:val="TableContents"/>
              <w:bidi w:val="0"/>
              <w:spacing w:before="0" w:after="0"/>
              <w:jc w:val="center"/>
              <w:rPr>
                <w:spacing w:val="2"/>
              </w:rPr>
            </w:pPr>
            <w:r>
              <w:rPr>
                <w:spacing w:val="2"/>
              </w:rPr>
              <w:t xml:space="preserve">Series I Cumulative </w:t>
              <w:br/>
              <w:t xml:space="preserve">Redeemable </w:t>
              <w:br/>
              <w:t xml:space="preserve">Preferred Stock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55" w:type="dxa"/>
            <w:tcBorders>
              <w:bottom w:val="single" w:sz="2" w:space="0" w:color="1F2668"/>
            </w:tcBorders>
            <w:tcMar>
              <w:bottom w:w="6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1"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Number </w:t>
              <w:br/>
              <w:t xml:space="preserve">of Shares </w:t>
              <w:br/>
              <w:t xml:space="preserve">Beneficially </w:t>
              <w:br/>
              <w:t>Owned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1F2668"/>
            </w:tcBorders>
            <w:tcMar>
              <w:bottom w:w="63" w:type="dxa"/>
            </w:tcMar>
            <w:vAlign w:val="center"/>
          </w:tcPr>
          <w:p>
            <w:pPr>
              <w:pStyle w:val="TableContents"/>
              <w:bidi w:val="0"/>
              <w:spacing w:before="0" w:after="0"/>
              <w:jc w:val="right"/>
              <w:rPr/>
            </w:pPr>
            <w:r>
              <w:rPr>
                <w:spacing w:val="2"/>
              </w:rPr>
              <w:t xml:space="preserve">Percent of </w:t>
              <w:br/>
              <w:t>Outstanding</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5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Matthew J. DiLiberto</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13,000</w:t>
            </w:r>
          </w:p>
        </w:tc>
        <w:tc>
          <w:tcPr>
            <w:tcW w:w="12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70" w:type="dxa"/>
            </w:tcMar>
            <w:vAlign w:val="center"/>
          </w:tcPr>
          <w:p>
            <w:pPr>
              <w:pStyle w:val="TableContents"/>
              <w:bidi w:val="0"/>
              <w:spacing w:before="0" w:after="283"/>
              <w:jc w:val="right"/>
              <w:rPr/>
            </w:pPr>
            <w:r>
              <w:rPr/>
              <w:t>​</w:t>
            </w:r>
          </w:p>
        </w:tc>
        <w:tc>
          <w:tcPr>
            <w:tcW w:w="823" w:type="dxa"/>
            <w:tcBorders>
              <w:bottom w:val="single" w:sz="2" w:space="0" w:color="4B5088"/>
            </w:tcBorders>
            <w:tcMar>
              <w:bottom w:w="70" w:type="dxa"/>
            </w:tcMar>
            <w:vAlign w:val="center"/>
          </w:tcPr>
          <w:p>
            <w:pPr>
              <w:pStyle w:val="TableContents"/>
              <w:bidi w:val="0"/>
              <w:spacing w:before="0" w:after="283"/>
              <w:jc w:val="right"/>
              <w:rPr/>
            </w:pPr>
            <w:r>
              <w:rPr/>
              <w:t>*</w:t>
            </w:r>
          </w:p>
        </w:tc>
        <w:tc>
          <w:tcPr>
            <w:tcW w:w="172"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5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Marc Holliday</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111,473</w:t>
            </w:r>
          </w:p>
        </w:tc>
        <w:tc>
          <w:tcPr>
            <w:tcW w:w="12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70" w:type="dxa"/>
            </w:tcMar>
            <w:vAlign w:val="center"/>
          </w:tcPr>
          <w:p>
            <w:pPr>
              <w:pStyle w:val="TableContents"/>
              <w:bidi w:val="0"/>
              <w:spacing w:before="0" w:after="283"/>
              <w:jc w:val="right"/>
              <w:rPr/>
            </w:pPr>
            <w:r>
              <w:rPr/>
              <w:t>​</w:t>
            </w:r>
          </w:p>
        </w:tc>
        <w:tc>
          <w:tcPr>
            <w:tcW w:w="823" w:type="dxa"/>
            <w:tcBorders>
              <w:bottom w:val="single" w:sz="2" w:space="0" w:color="4B5088"/>
            </w:tcBorders>
            <w:tcMar>
              <w:bottom w:w="70" w:type="dxa"/>
            </w:tcMar>
            <w:vAlign w:val="center"/>
          </w:tcPr>
          <w:p>
            <w:pPr>
              <w:pStyle w:val="TableContents"/>
              <w:bidi w:val="0"/>
              <w:spacing w:before="0" w:after="283"/>
              <w:jc w:val="right"/>
              <w:rPr/>
            </w:pPr>
            <w:r>
              <w:rPr/>
              <w:t>1.21%</w:t>
            </w:r>
          </w:p>
        </w:tc>
        <w:tc>
          <w:tcPr>
            <w:tcW w:w="172"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55" w:type="dxa"/>
            <w:tcBorders>
              <w:bottom w:val="single" w:sz="2" w:space="0" w:color="4B5088"/>
            </w:tcBorders>
            <w:tcMar>
              <w:bottom w:w="70" w:type="dxa"/>
            </w:tcMar>
            <w:vAlign w:val="center"/>
          </w:tcPr>
          <w:p>
            <w:pPr>
              <w:pStyle w:val="TableContents"/>
              <w:bidi w:val="0"/>
              <w:spacing w:before="0" w:after="0"/>
              <w:jc w:val="left"/>
              <w:rPr>
                <w:b/>
                <w:color w:val="1F2668"/>
              </w:rPr>
            </w:pPr>
            <w:r>
              <w:rPr>
                <w:b/>
                <w:color w:val="1F2668"/>
              </w:rPr>
              <w:t>Andrew S. Levine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28" w:type="dxa"/>
            </w:tcMar>
            <w:vAlign w:val="center"/>
          </w:tcPr>
          <w:p>
            <w:pPr>
              <w:pStyle w:val="TableContents"/>
              <w:bidi w:val="0"/>
              <w:spacing w:before="0" w:after="283"/>
              <w:jc w:val="left"/>
              <w:rPr/>
            </w:pPr>
            <w:r>
              <w:rPr/>
              <w:t>​</w:t>
            </w:r>
          </w:p>
        </w:tc>
        <w:tc>
          <w:tcPr>
            <w:tcW w:w="117" w:type="dxa"/>
            <w:tcBorders>
              <w:bottom w:val="single" w:sz="2" w:space="0" w:color="4B5088"/>
            </w:tcBorders>
            <w:tcMar>
              <w:bottom w:w="70" w:type="dxa"/>
            </w:tcMar>
            <w:vAlign w:val="center"/>
          </w:tcPr>
          <w:p>
            <w:pPr>
              <w:pStyle w:val="TableContents"/>
              <w:bidi w:val="0"/>
              <w:spacing w:before="0" w:after="283"/>
              <w:jc w:val="right"/>
              <w:rPr/>
            </w:pPr>
            <w:r>
              <w:rPr/>
              <w:t>​</w:t>
            </w:r>
          </w:p>
        </w:tc>
        <w:tc>
          <w:tcPr>
            <w:tcW w:w="967" w:type="dxa"/>
            <w:tcBorders>
              <w:bottom w:val="single" w:sz="2" w:space="0" w:color="4B5088"/>
            </w:tcBorders>
            <w:tcMar>
              <w:bottom w:w="70" w:type="dxa"/>
            </w:tcMar>
            <w:vAlign w:val="center"/>
          </w:tcPr>
          <w:p>
            <w:pPr>
              <w:pStyle w:val="TableContents"/>
              <w:bidi w:val="0"/>
              <w:spacing w:before="0" w:after="283"/>
              <w:jc w:val="right"/>
              <w:rPr/>
            </w:pPr>
            <w:r>
              <w:rPr/>
              <w:t>15,000</w:t>
            </w:r>
          </w:p>
        </w:tc>
        <w:tc>
          <w:tcPr>
            <w:tcW w:w="120"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28" w:type="dxa"/>
            </w:tcMar>
            <w:vAlign w:val="center"/>
          </w:tcPr>
          <w:p>
            <w:pPr>
              <w:pStyle w:val="TableContents"/>
              <w:bidi w:val="0"/>
              <w:spacing w:before="0" w:after="283"/>
              <w:jc w:val="left"/>
              <w:rPr/>
            </w:pPr>
            <w:r>
              <w:rPr/>
              <w:t>​</w:t>
            </w:r>
          </w:p>
        </w:tc>
        <w:tc>
          <w:tcPr>
            <w:tcW w:w="169" w:type="dxa"/>
            <w:tcBorders>
              <w:bottom w:val="single" w:sz="2" w:space="0" w:color="4B5088"/>
            </w:tcBorders>
            <w:tcMar>
              <w:bottom w:w="70" w:type="dxa"/>
            </w:tcMar>
            <w:vAlign w:val="center"/>
          </w:tcPr>
          <w:p>
            <w:pPr>
              <w:pStyle w:val="TableContents"/>
              <w:bidi w:val="0"/>
              <w:spacing w:before="0" w:after="283"/>
              <w:jc w:val="right"/>
              <w:rPr/>
            </w:pPr>
            <w:r>
              <w:rPr/>
              <w:t>​</w:t>
            </w:r>
          </w:p>
        </w:tc>
        <w:tc>
          <w:tcPr>
            <w:tcW w:w="823" w:type="dxa"/>
            <w:tcBorders>
              <w:bottom w:val="single" w:sz="2" w:space="0" w:color="4B5088"/>
            </w:tcBorders>
            <w:tcMar>
              <w:bottom w:w="70" w:type="dxa"/>
            </w:tcMar>
            <w:vAlign w:val="center"/>
          </w:tcPr>
          <w:p>
            <w:pPr>
              <w:pStyle w:val="TableContents"/>
              <w:bidi w:val="0"/>
              <w:spacing w:before="0" w:after="283"/>
              <w:jc w:val="right"/>
              <w:rPr/>
            </w:pPr>
            <w:r>
              <w:rPr/>
              <w:t>*</w:t>
            </w:r>
          </w:p>
        </w:tc>
        <w:tc>
          <w:tcPr>
            <w:tcW w:w="172" w:type="dxa"/>
            <w:tcBorders>
              <w:bottom w:val="single" w:sz="2" w:space="0" w:color="4B508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55" w:type="dxa"/>
            <w:tcBorders>
              <w:bottom w:val="single" w:sz="2" w:space="0" w:color="1F2668"/>
            </w:tcBorders>
            <w:tcMar>
              <w:bottom w:w="70" w:type="dxa"/>
            </w:tcMar>
            <w:vAlign w:val="center"/>
          </w:tcPr>
          <w:p>
            <w:pPr>
              <w:pStyle w:val="TableContents"/>
              <w:bidi w:val="0"/>
              <w:spacing w:before="0" w:after="0"/>
              <w:jc w:val="left"/>
              <w:rPr>
                <w:b/>
                <w:color w:val="1F2668"/>
              </w:rPr>
            </w:pPr>
            <w:r>
              <w:rPr>
                <w:b/>
                <w:color w:val="1F2668"/>
              </w:rPr>
              <w:t>All Directors and Executive Officers as a Group (12 Persons)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 w:type="dxa"/>
            <w:tcBorders>
              <w:bottom w:val="single" w:sz="2" w:space="0" w:color="1F2668"/>
            </w:tcBorders>
            <w:tcMar>
              <w:bottom w:w="28" w:type="dxa"/>
            </w:tcMar>
            <w:vAlign w:val="center"/>
          </w:tcPr>
          <w:p>
            <w:pPr>
              <w:pStyle w:val="TableContents"/>
              <w:bidi w:val="0"/>
              <w:spacing w:before="0" w:after="283"/>
              <w:jc w:val="left"/>
              <w:rPr/>
            </w:pPr>
            <w:r>
              <w:rPr/>
              <w:t>​</w:t>
            </w:r>
          </w:p>
        </w:tc>
        <w:tc>
          <w:tcPr>
            <w:tcW w:w="117" w:type="dxa"/>
            <w:tcBorders>
              <w:bottom w:val="single" w:sz="2" w:space="0" w:color="1F2668"/>
            </w:tcBorders>
            <w:tcMar>
              <w:bottom w:w="70" w:type="dxa"/>
            </w:tcMar>
            <w:vAlign w:val="center"/>
          </w:tcPr>
          <w:p>
            <w:pPr>
              <w:pStyle w:val="TableContents"/>
              <w:bidi w:val="0"/>
              <w:spacing w:before="0" w:after="283"/>
              <w:jc w:val="right"/>
              <w:rPr/>
            </w:pPr>
            <w:r>
              <w:rPr/>
              <w:t>​</w:t>
            </w:r>
          </w:p>
        </w:tc>
        <w:tc>
          <w:tcPr>
            <w:tcW w:w="967" w:type="dxa"/>
            <w:tcBorders>
              <w:bottom w:val="single" w:sz="2" w:space="0" w:color="1F2668"/>
            </w:tcBorders>
            <w:tcMar>
              <w:bottom w:w="70" w:type="dxa"/>
            </w:tcMar>
            <w:vAlign w:val="center"/>
          </w:tcPr>
          <w:p>
            <w:pPr>
              <w:pStyle w:val="TableContents"/>
              <w:bidi w:val="0"/>
              <w:spacing w:before="0" w:after="283"/>
              <w:jc w:val="right"/>
              <w:rPr/>
            </w:pPr>
            <w:r>
              <w:rPr/>
              <w:t>139,473</w:t>
            </w:r>
          </w:p>
        </w:tc>
        <w:tc>
          <w:tcPr>
            <w:tcW w:w="120"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 w:type="dxa"/>
            <w:tcBorders>
              <w:bottom w:val="single" w:sz="2" w:space="0" w:color="1F2668"/>
            </w:tcBorders>
            <w:tcMar>
              <w:bottom w:w="28" w:type="dxa"/>
            </w:tcMar>
            <w:vAlign w:val="center"/>
          </w:tcPr>
          <w:p>
            <w:pPr>
              <w:pStyle w:val="TableContents"/>
              <w:bidi w:val="0"/>
              <w:spacing w:before="0" w:after="283"/>
              <w:jc w:val="left"/>
              <w:rPr/>
            </w:pPr>
            <w:r>
              <w:rPr/>
              <w:t>​</w:t>
            </w:r>
          </w:p>
        </w:tc>
        <w:tc>
          <w:tcPr>
            <w:tcW w:w="169" w:type="dxa"/>
            <w:tcBorders>
              <w:bottom w:val="single" w:sz="2" w:space="0" w:color="1F2668"/>
            </w:tcBorders>
            <w:tcMar>
              <w:bottom w:w="70" w:type="dxa"/>
            </w:tcMar>
            <w:vAlign w:val="center"/>
          </w:tcPr>
          <w:p>
            <w:pPr>
              <w:pStyle w:val="TableContents"/>
              <w:bidi w:val="0"/>
              <w:spacing w:before="0" w:after="283"/>
              <w:jc w:val="right"/>
              <w:rPr/>
            </w:pPr>
            <w:r>
              <w:rPr/>
              <w:t>​</w:t>
            </w:r>
          </w:p>
        </w:tc>
        <w:tc>
          <w:tcPr>
            <w:tcW w:w="823" w:type="dxa"/>
            <w:tcBorders>
              <w:bottom w:val="single" w:sz="2" w:space="0" w:color="1F2668"/>
            </w:tcBorders>
            <w:tcMar>
              <w:bottom w:w="70" w:type="dxa"/>
            </w:tcMar>
            <w:vAlign w:val="center"/>
          </w:tcPr>
          <w:p>
            <w:pPr>
              <w:pStyle w:val="TableContents"/>
              <w:bidi w:val="0"/>
              <w:spacing w:before="0" w:after="283"/>
              <w:jc w:val="right"/>
              <w:rPr/>
            </w:pPr>
            <w:r>
              <w:rPr/>
              <w:t>1.52%</w:t>
            </w:r>
          </w:p>
        </w:tc>
        <w:tc>
          <w:tcPr>
            <w:tcW w:w="172" w:type="dxa"/>
            <w:tcBorders>
              <w:bottom w:val="single" w:sz="2" w:space="0" w:color="1F2668"/>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00" w:before="280" w:after="0"/>
        <w:ind w:left="130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77800" distB="0" distL="0" distR="0" simplePos="0" locked="0" layoutInCell="1" allowOverlap="1" relativeHeight="883">
                <wp:simplePos x="0" y="0"/>
                <wp:positionH relativeFrom="column">
                  <wp:align>left</wp:align>
                </wp:positionH>
                <wp:positionV relativeFrom="line">
                  <wp:align>top</wp:align>
                </wp:positionV>
                <wp:extent cx="254000" cy="254000"/>
                <wp:effectExtent l="0" t="0" r="0" b="0"/>
                <wp:wrapSquare wrapText="right"/>
                <wp:docPr id="969" name="Frame58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2"/>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2"/>
                          <w:sz w:val="16"/>
                        </w:rPr>
                        <w:t>*</w:t>
                      </w:r>
                      <w:r>
                        <w:rPr>
                          <w:sz w:val="16"/>
                        </w:rPr>
                        <w:t xml:space="preserve"> </w:t>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DELINQUENT SECTION 16(</w:t>
      </w:r>
      <w:r>
        <w:rPr>
          <w:rFonts w:ascii="Arial;Helvetica;sans-serif" w:hAnsi="Arial;Helvetica;sans-serif"/>
          <w:b/>
          <w:i w:val="false"/>
          <w:caps w:val="false"/>
          <w:smallCaps w:val="false"/>
          <w:color w:val="83AD40"/>
          <w:sz w:val="32"/>
        </w:rPr>
        <w:t>a</w:t>
      </w:r>
      <w:r>
        <w:rPr>
          <w:rFonts w:ascii="Arial;Helvetica;sans-serif" w:hAnsi="Arial;Helvetica;sans-serif"/>
          <w:b/>
          <w:i w:val="false"/>
          <w:caps/>
          <w:color w:val="83AD40"/>
          <w:sz w:val="32"/>
        </w:rPr>
        <w:t>) REPORTS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(i) Mr. Levine who inadvertently failed to file timely a Form 4 relating to the gift of shares of common stock on November 17, 2023, which transaction was subsequently reflected on a Form 4 filed on February 7, 2024 and (ii) Mr. Alschuler who failed to timely file a Form 4 relating to the conversion of phantom stock units into other securities held in an alternative investment account pursuant to the Company’s deferred compensation plan on March 1, 2024, which transaction was subsequently reflected on a Form 4 filed on March 12, 2024.</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CRAR"/>
      <w:bookmarkEnd w:id="28"/>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88</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color w:val="1F2668"/>
          <w:sz w:val="42"/>
        </w:rPr>
      </w:pPr>
      <w:r>
        <w:rPr>
          <w:rFonts w:ascii="Arial;Helvetica;sans-serif" w:hAnsi="Arial;Helvetica;sans-serif"/>
          <w:b/>
          <w:i w:val="false"/>
          <w:caps/>
          <w:color w:val="1F2668"/>
          <w:sz w:val="42"/>
        </w:rPr>
        <w:t xml:space="preserve">CERTAIN RELATIONSHIPS AND </w:t>
      </w:r>
    </w:p>
    <w:p>
      <w:pPr>
        <w:pStyle w:val="TextBody"/>
        <w:bidi w:val="0"/>
        <w:spacing w:lineRule="atLeast" w:line="420" w:before="560" w:after="154"/>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RELATED PARTY TRANSACTIONS</w:t>
      </w:r>
      <w:r>
        <w:rPr>
          <w:rFonts w:ascii="Arial;Helvetica;sans-serif" w:hAnsi="Arial;Helvetica;sans-serif"/>
          <w:b/>
          <w:i w:val="false"/>
          <w:caps w:val="false"/>
          <w:smallCaps w:val="false"/>
          <w:color w:val="1F2668"/>
          <w:sz w:val="42"/>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 xml:space="preserve">POLICIES AND PROCEDURES WITH RESPECT </w:t>
        <w:br/>
        <w:t>TO RELATED PARTY TRANSACTIONS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Nominating and Corporate Governance Committee reviews the material facts of all related party transactions and provides a recommendation to the independent directors as a group who then determine whether to approve the entry into such related party transaction. If the Company becomes aware of a related party transaction that has not been approved under the Company’s policy, then the related party transaction will be considered and, if the independent directors determine it to be appropriate, ratified, or terminated. In determining whether to approve or ratify a related party transaction, our Nominating and Corporate Governance Committee and the independent directors take into account, among other factors they deem appropriate, whether the related party transaction is on terms no less favorable than terms generally available to an unaffiliated third-party under the same or similar circumstances and the extent of the related party’s interest in the transaction.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 and the independent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a related party transaction will be ongoing, the independent directors may establish guidelines for our management to follow in its ongoing dealings with the related party. Thereafter, the independent directors, on at least an annual basis, review and assess ongoing relationships with such related party to see that our management is in compliance with our independent directors’ guidelines and that such related party transaction remains appropriate.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Related party transactions are disclosed in our SEC filings.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CHAIRMAN EMERITUS AGREEMENT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December 21, 2018, we and Stephen L. Green, the former Chairman of the Company, entered into a chairman emeritus agreement in connection with Mr. Green’s retirement as Chairman of the Company and transition into the role of Chairman Emeritus.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On March 29, 2022, we entered into a letter agreement with Mr. Green that amended certain terms of the chairman emeritus agreement. Pursuant to the letter agreement, Mr. Green’s monthly retainer fee was reduced and will ultimately be eliminated. For his service during the period from January 1, 2022 through December 31, 2022, Mr. Green received a monthly retainer fee of $36,111, and during the period from January 1, 2023 through December 31, 2023, Mr. Green received a monthly retainer fee of $18,056, in addition to any fees to which Mr. Green was entitled as a non-employee director.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As of January 1, 2024, Mr. Green no longer receives a monthly retainer and no longer provides consulting services to the Company, but will continue to hold the title of Chairman Emeritus. We will also continue to provide Mr. Green with perquisites under the chairman emeritus agreement consistent with those he previously received as Chairman, as modified by the letter agreement. In addition, Mr. Green is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553" w:type="dxa"/>
        <w:jc w:val="left"/>
        <w:tblInd w:w="900" w:type="dxa"/>
        <w:tblLayout w:type="fixed"/>
        <w:tblCellMar>
          <w:top w:w="0" w:type="dxa"/>
          <w:left w:w="0" w:type="dxa"/>
          <w:bottom w:w="0" w:type="dxa"/>
          <w:right w:w="0" w:type="dxa"/>
        </w:tblCellMar>
      </w:tblPr>
      <w:tblGrid>
        <w:gridCol w:w="124"/>
        <w:gridCol w:w="771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7711" w:type="dxa"/>
            <w:tcBorders/>
            <w:vAlign w:val="center"/>
          </w:tcPr>
          <w:p>
            <w:pPr>
              <w:pStyle w:val="TableContents"/>
              <w:bidi w:val="0"/>
              <w:spacing w:lineRule="atLeast" w:line="200" w:before="0" w:after="0"/>
              <w:jc w:val="left"/>
              <w:rPr/>
            </w:pPr>
            <w:r>
              <w:rPr/>
              <w:t>CERTAIN RELATIONSHIPS AND RELATED PARTY TRANSACTIONS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89</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560" w:after="154"/>
        <w:ind w:left="900" w:right="0" w:hanging="0"/>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ONE VANDERBILT AVENUE INVESTMENT</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December 2016, we entered into agreements with entities owned and controlled by our Chairman, Chief Executive Officer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being based on the project’s sale price, if applicable, or fair market value as determined by an independent third party appraiser. In 2022, stabilization of the property (but not SUMMIT One Vanderbilt) was achieved. Therefore, Messrs. Holliday and Mathias exercised their rights to tender 50% of their interests in the property (but not SUMMIT One Vanderbilt) for liquidation values of $17.9 million and $11.9 million, respectively, which were paid in July 2022. In 2023, stabilization of SUMMIT One Vanderbilt was achieved.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ONE VANDERBILT AVENUE LEASES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November 2018, we entered into a lease agreement with the One Vanderbilt Avenue joint venture covering certain floors at the property. In March 2021, the lease commenced and we relocated our corporate headquarters to the leased space. For each of the years ended December 31, 2023 and 2022 we recorded $3.0 million of rent expense under the lease. Additionally, in June 2021, we, through a consolidated subsidiary, entered into a lease agreement with the One Vanderbilt Avenue joint venture for SUMMIT One Vanderbilt, which commenced operations in October 2021. For the year ended December 31, 2023, we recorded $38.9 million of rent expense under the lease, including percentage rent, of which $26.2 million was recognized as income as a component of equity in net loss from unconsolidated joint ventures in our consolidated statements of operations.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w:t>
      </w:r>
      <w:r>
        <w:rPr>
          <w:rFonts w:ascii="Arial;Helvetica;sans-serif" w:hAnsi="Arial;Helvetica;sans-serif"/>
          <w:b w:val="false"/>
          <w:i w:val="false"/>
          <w:caps w:val="false"/>
          <w:smallCaps w:val="false"/>
          <w:color w:val="000000"/>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719 Seventh Avenue Transaction</w:t>
      </w:r>
      <w:r>
        <w:rPr>
          <w:rFonts w:ascii="Arial;Helvetica;sans-serif" w:hAnsi="Arial;Helvetica;sans-serif"/>
          <w:b/>
          <w:i w:val="false"/>
          <w:caps w:val="false"/>
          <w:smallCaps w:val="false"/>
          <w:color w:val="83AD40"/>
          <w:sz w:val="3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April 2024, a special purpose entity (the “SPE”), of which our former President and current director, Andrew Mathias, is a partner, entered into an arms-length, structured arrangement to acquire 719 Seventh Avenue, a property held by the Company in its alternative strategy portfolio of non-core assets. The property is encumbered by a mortgage of $50.0 million, which matures in December 2024, and is being conveyed for $30.5 million, plus certain fees payable to the Company. The lender has agreed to accept less than the full principal amount of the mortgage in discharging its lien, while permitting the Company to receive $4.5 million in connection with facilitating the transaction. None of such amounts will be payable to Mr. Mathias. Mr. Mathias is initially expected to own up to 40% of the equity of the SPE representing an investment by Mr. Mathias of up to approximately $7.0 million in the acquisition of the property. The transaction is subject to customary conditions and is expected to close prior to June 30, 2024.</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TIN"/>
      <w:bookmarkEnd w:id="29"/>
      <w:r>
        <w:rPr>
          <w:rFonts w:ascii="calibri;arial;sans-serif" w:hAnsi="calibri;arial;sans-serif"/>
          <w:b w:val="false"/>
          <w:i w:val="false"/>
          <w:caps w:val="false"/>
          <w:smallCaps w:val="false"/>
          <w:color w:val="000000"/>
          <w:sz w:val="16"/>
        </w:rPr>
        <w:t>​</w:t>
      </w:r>
      <w:bookmarkStart w:id="30" w:name="tQAAA"/>
      <w:bookmarkEnd w:id="30"/>
      <w:r>
        <w:rPr>
          <w:rFonts w:ascii="calibri;arial;sans-serif" w:hAnsi="calibri;arial;sans-serif"/>
          <w:b w:val="false"/>
          <w:i w:val="false"/>
          <w:caps w:val="false"/>
          <w:smallCaps w:val="false"/>
          <w:color w:val="000000"/>
          <w:sz w:val="16"/>
        </w:rPr>
        <w:t xml:space="preserve">​ </w:t>
      </w:r>
    </w:p>
    <w:tbl>
      <w:tblPr>
        <w:tblW w:w="951" w:type="dxa"/>
        <w:jc w:val="left"/>
        <w:tblInd w:w="900" w:type="dxa"/>
        <w:tblLayout w:type="fixed"/>
        <w:tblCellMar>
          <w:top w:w="0" w:type="dxa"/>
          <w:left w:w="0" w:type="dxa"/>
          <w:bottom w:w="0" w:type="dxa"/>
          <w:right w:w="0" w:type="dxa"/>
        </w:tblCellMar>
      </w:tblPr>
      <w:tblGrid>
        <w:gridCol w:w="124"/>
        <w:gridCol w:w="34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90</w:t>
              <w:br/>
              <w: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560" w:after="154"/>
        <w:ind w:left="900" w:right="0" w:hanging="0"/>
        <w:jc w:val="left"/>
        <w:rPr>
          <w:rFonts w:ascii="Arial;Helvetica;sans-serif" w:hAnsi="Arial;Helvetica;sans-serif"/>
          <w:b/>
          <w:i w:val="false"/>
          <w:caps w:val="false"/>
          <w:smallCaps w:val="false"/>
          <w:color w:val="1F2668"/>
          <w:sz w:val="42"/>
        </w:rPr>
      </w:pPr>
      <w:r>
        <w:rPr>
          <w:rFonts w:ascii="Arial;Helvetica;sans-serif" w:hAnsi="Arial;Helvetica;sans-serif"/>
          <w:b/>
          <w:i w:val="false"/>
          <w:caps/>
          <w:color w:val="1F2668"/>
          <w:sz w:val="42"/>
        </w:rPr>
        <w:t>OTHER INFORMATION</w:t>
      </w:r>
      <w:r>
        <w:rPr>
          <w:rFonts w:ascii="Arial;Helvetica;sans-serif" w:hAnsi="Arial;Helvetica;sans-serif"/>
          <w:b/>
          <w:i w:val="false"/>
          <w:caps w:val="false"/>
          <w:smallCaps w:val="false"/>
          <w:color w:val="000000"/>
          <w:spacing w:val="8"/>
          <w:sz w:val="42"/>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These proxy materials are being made available in connection with the solicitation of proxies by the Board of Directors, or the Board, of SL Green Realty Corp., a Maryland corporation, for use at our 2024 Annual Meeting of stockholders to be held on June 3, 2024 at 10:00 a.m., Eastern Time, in the auditorium at One Vanderbilt Avenue, New York, New York 10017 or at any postponement or adjournment of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 xml:space="preserve">QUESTIONS AND ANSWERS ABOUT </w:t>
        <w:br/>
        <w:t>THE ANNUAL MEETING</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is the Notice of Internet Availability of Proxy Materials that I received in the mail this year instead of a full set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 accordance with rules adopted by the Securities and Exchange Commission, or SEC, we may furnish proxy materials, including this proxy statement and our 2023 annual report to stockholders, by providing access to these documents on the Internet instead of mailing a printed copy of our proxy materials to our stockholders. On or about April 19, 2024, we began mailing a Notice of Internet Availability of Proxy Materials, or the Notice, containing instructions on how to access this proxy statement and our 2023 annual report online, as well as instructions on how to vote.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believe the delivery option that we have chosen this year allows us to provide our stockholders with the proxy materials they need, while lowering the cost of delivery of the materials and reducing the environmental impact of printing and mailing printed copies. If you would like to receive a paper or an e-mail copy of our proxy materials for the 2025 annual meeting or for all future annual meetings, you should follow the instructions for requesting such materials included in the Notice.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Who is entitled to vote at the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Holders of record of our common stock, $0.01 par value per share, at the close of business on March 28, 2024,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is the purpose of the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At the Annual Meeting, you will be asked to vote on the following proposals: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1:</w:t>
      </w:r>
      <w:r>
        <w:rPr>
          <w:rFonts w:ascii="Arial;Helvetica;sans-serif" w:hAnsi="Arial;Helvetica;sans-serif"/>
          <w:b w:val="false"/>
          <w:i w:val="false"/>
          <w:caps w:val="false"/>
          <w:smallCaps w:val="false"/>
          <w:color w:val="000000"/>
          <w:spacing w:val="-2"/>
          <w:sz w:val="18"/>
        </w:rPr>
        <w:t xml:space="preserve"> the election of the seven director nominees named in this proxy statement to serve on the Board for a one-year term and until their successors are duly elected and qualify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884">
                <wp:simplePos x="0" y="0"/>
                <wp:positionH relativeFrom="column">
                  <wp:align>left</wp:align>
                </wp:positionH>
                <wp:positionV relativeFrom="line">
                  <wp:align>top</wp:align>
                </wp:positionV>
                <wp:extent cx="127000" cy="350520"/>
                <wp:effectExtent l="0" t="0" r="0" b="0"/>
                <wp:wrapSquare wrapText="right"/>
                <wp:docPr id="970"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2:</w:t>
      </w:r>
      <w:r>
        <w:rPr>
          <w:rFonts w:ascii="Arial;Helvetica;sans-serif" w:hAnsi="Arial;Helvetica;sans-serif"/>
          <w:b w:val="false"/>
          <w:i w:val="false"/>
          <w:caps w:val="false"/>
          <w:smallCaps w:val="false"/>
          <w:color w:val="000000"/>
          <w:spacing w:val="-2"/>
          <w:sz w:val="18"/>
        </w:rPr>
        <w:t xml:space="preserve"> the approval of an advisory resolution approving the compensation of our named executive officers as disclosed in this proxy statement pursuant to Item 402 of Regulation S-K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85">
                <wp:simplePos x="0" y="0"/>
                <wp:positionH relativeFrom="column">
                  <wp:align>left</wp:align>
                </wp:positionH>
                <wp:positionV relativeFrom="line">
                  <wp:align>top</wp:align>
                </wp:positionV>
                <wp:extent cx="127000" cy="350520"/>
                <wp:effectExtent l="0" t="0" r="0" b="0"/>
                <wp:wrapSquare wrapText="right"/>
                <wp:docPr id="971"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Proposal 3:</w:t>
      </w:r>
      <w:r>
        <w:rPr>
          <w:rFonts w:ascii="Arial;Helvetica;sans-serif" w:hAnsi="Arial;Helvetica;sans-serif"/>
          <w:b w:val="false"/>
          <w:i w:val="false"/>
          <w:caps w:val="false"/>
          <w:smallCaps w:val="false"/>
          <w:color w:val="000000"/>
          <w:spacing w:val="-2"/>
          <w:sz w:val="18"/>
        </w:rPr>
        <w:t xml:space="preserve"> the ratification of the appointment of Deloitte &amp; Touche LLP as our independent registered public accounting firm for the fiscal year ending December 31, 2024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86">
                <wp:simplePos x="0" y="0"/>
                <wp:positionH relativeFrom="column">
                  <wp:align>left</wp:align>
                </wp:positionH>
                <wp:positionV relativeFrom="line">
                  <wp:align>top</wp:align>
                </wp:positionV>
                <wp:extent cx="127000" cy="350520"/>
                <wp:effectExtent l="0" t="0" r="0" b="0"/>
                <wp:wrapSquare wrapText="right"/>
                <wp:docPr id="972"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You also may be asked to consider and act upon any other matters that may properly be brought before the Annual Meeting and at any adjournments or postponements thereof.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43" w:type="dxa"/>
        <w:jc w:val="left"/>
        <w:tblInd w:w="900" w:type="dxa"/>
        <w:tblLayout w:type="fixed"/>
        <w:tblCellMar>
          <w:top w:w="0" w:type="dxa"/>
          <w:left w:w="0" w:type="dxa"/>
          <w:bottom w:w="0" w:type="dxa"/>
          <w:right w:w="0" w:type="dxa"/>
        </w:tblCellMar>
      </w:tblPr>
      <w:tblGrid>
        <w:gridCol w:w="124"/>
        <w:gridCol w:w="270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pPr>
            <w:r>
              <w:rPr/>
              <w:t>OTHER INFORMATION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91</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constitutes a quorum?</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presence, in person or by proxy, of holders of a majority of the total number of outstanding shares entitled to vote at the Annual Meeting is necessary to constitute a quorum for the transaction of any business at the Annual Meeting. As of the record date, there were 65,858,830 shares outstanding and entitled to vote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vote is required to approve each proposal?</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pacing w:val="-2"/>
          <w:sz w:val="18"/>
        </w:rPr>
        <w:t>Corporate Governance—Majority Voting Standard and Director Resignation Policy.”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 majority of all of the votes cast with respect to the proposal is required for approval of each of Proposals 2 and 3. In respect of Proposals 2 and 3, abstentions and broker non-votes are not counted as votes cast, and therefore will have no effect on the votes for these proposals.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How do I vote?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Voting in Person at the Annual Meeting.</w:t>
      </w:r>
      <w:r>
        <w:rPr>
          <w:rFonts w:ascii="Arial;Helvetica;sans-serif" w:hAnsi="Arial;Helvetica;sans-serif"/>
          <w:b w:val="false"/>
          <w:i w:val="false"/>
          <w:caps w:val="false"/>
          <w:smallCaps w:val="false"/>
          <w:color w:val="000000"/>
          <w:spacing w:val="-2"/>
          <w:sz w:val="18"/>
        </w:rPr>
        <w:t xml:space="preserve"> If you hold your shares in your own name as a holder of record with our transfer agent, Computershare,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 paper copy of this Proxy Statement.</w:t>
      </w:r>
      <w:r>
        <w:rPr>
          <w:rFonts w:ascii="Arial;Helvetica;sans-serif" w:hAnsi="Arial;Helvetica;sans-serif"/>
          <w:b w:val="false"/>
          <w:i w:val="false"/>
          <w:caps w:val="false"/>
          <w:smallCaps w:val="false"/>
          <w:color w:val="000000"/>
          <w:spacing w:val="-2"/>
          <w:sz w:val="18"/>
        </w:rPr>
        <w:t xml:space="preserve"> You can vote by valid proxy received by telephone, electronically via the Internet or by mail. The deadline for voting by telephone or electronically via the Internet is 11:59 p.m., Eastern Daylight Time, on June 2, 2024. If voting by mail, you must: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9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indicate your instructions on the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0650" distB="0" distL="0" distR="0" simplePos="0" locked="0" layoutInCell="1" allowOverlap="1" relativeHeight="887">
                <wp:simplePos x="0" y="0"/>
                <wp:positionH relativeFrom="column">
                  <wp:align>left</wp:align>
                </wp:positionH>
                <wp:positionV relativeFrom="line">
                  <wp:align>top</wp:align>
                </wp:positionV>
                <wp:extent cx="127000" cy="350520"/>
                <wp:effectExtent l="0" t="0" r="0" b="0"/>
                <wp:wrapSquare wrapText="right"/>
                <wp:docPr id="973"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date and sign the proxy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88">
                <wp:simplePos x="0" y="0"/>
                <wp:positionH relativeFrom="column">
                  <wp:align>left</wp:align>
                </wp:positionH>
                <wp:positionV relativeFrom="line">
                  <wp:align>top</wp:align>
                </wp:positionV>
                <wp:extent cx="127000" cy="350520"/>
                <wp:effectExtent l="0" t="0" r="0" b="0"/>
                <wp:wrapSquare wrapText="right"/>
                <wp:docPr id="974"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promptly mail the proxy in the enclosed envelope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89">
                <wp:simplePos x="0" y="0"/>
                <wp:positionH relativeFrom="column">
                  <wp:align>left</wp:align>
                </wp:positionH>
                <wp:positionV relativeFrom="line">
                  <wp:align>top</wp:align>
                </wp:positionV>
                <wp:extent cx="127000" cy="350520"/>
                <wp:effectExtent l="0" t="0" r="0" b="0"/>
                <wp:wrapSquare wrapText="right"/>
                <wp:docPr id="975"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allow sufficient time for the proxy to be received before the date of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890">
                <wp:simplePos x="0" y="0"/>
                <wp:positionH relativeFrom="column">
                  <wp:align>left</wp:align>
                </wp:positionH>
                <wp:positionV relativeFrom="line">
                  <wp:align>top</wp:align>
                </wp:positionV>
                <wp:extent cx="127000" cy="350520"/>
                <wp:effectExtent l="0" t="0" r="0" b="0"/>
                <wp:wrapSquare wrapText="right"/>
                <wp:docPr id="976"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your shares are held in “street name” such as in a stock brokerage account, by a bank or other nominee, please follow the instructions you received from your broker with respect to the voting of your shares.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 Notice of Internet Availability of Proxy Statement.</w:t>
      </w:r>
      <w:r>
        <w:rPr>
          <w:rFonts w:ascii="Arial;Helvetica;sans-serif" w:hAnsi="Arial;Helvetica;sans-serif"/>
          <w:b w:val="false"/>
          <w:i w:val="false"/>
          <w:caps w:val="false"/>
          <w:smallCaps w:val="false"/>
          <w:color w:val="000000"/>
          <w:spacing w:val="-2"/>
          <w:sz w:val="18"/>
        </w:rPr>
        <w:t xml:space="preserve"> Please submit your proxy electronically via the Internet using the instructions included in the Notice. The deadline for voting electronically via the Internet is 11:59 p.m., Eastern Daylight Time, on June 2,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caps w:val="false"/>
          <w:smallCaps w:val="false"/>
          <w:color w:val="000000"/>
          <w:sz w:val="18"/>
        </w:rPr>
        <w:t>If you received an e-mail copy of this Proxy Statement.</w:t>
      </w:r>
      <w:r>
        <w:rPr>
          <w:rFonts w:ascii="Arial;Helvetica;sans-serif" w:hAnsi="Arial;Helvetica;sans-serif"/>
          <w:b w:val="false"/>
          <w:i w:val="false"/>
          <w:caps w:val="false"/>
          <w:smallCaps w:val="false"/>
          <w:color w:val="000000"/>
          <w:spacing w:val="-2"/>
          <w:sz w:val="18"/>
        </w:rPr>
        <w:t xml:space="preserve"> Please submit your proxy electronically via the Internet or telephonically using the instructions included on the Proxy Card. The deadline for voting electronically via the Internet or telephonically is 11:59 p.m., Eastern Daylight Time, on June 2,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have any questions regarding how to authorize your proxy by telephone or via the Internet, please call MacKenzie Partners, Inc., toll-free at (800) 322-2885 or collect at (212) 929-5500.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Even if you plan to attend the Annual Meeting, we recommend that you submit a proxy to vote your shares in advance so that your vote will be counted if you later are unable to attend the Annual Meeting.</w:t>
      </w:r>
      <w:r>
        <w:rPr>
          <w:rFonts w:ascii="Arial;Helvetica;sans-serif" w:hAnsi="Arial;Helvetica;sans-serif"/>
          <w:b w:val="false"/>
          <w:i w:val="false"/>
          <w:caps w:val="false"/>
          <w:smallCaps w:val="false"/>
          <w:color w:val="000000"/>
          <w:spacing w:val="4"/>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Can I change my vote after I have voted?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cast a vote by proxy, you may revoke it at any time before it is voted by: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filing a written notice revoking the proxy with our Secretary at our address;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891">
                <wp:simplePos x="0" y="0"/>
                <wp:positionH relativeFrom="column">
                  <wp:align>left</wp:align>
                </wp:positionH>
                <wp:positionV relativeFrom="line">
                  <wp:align>top</wp:align>
                </wp:positionV>
                <wp:extent cx="127000" cy="350520"/>
                <wp:effectExtent l="0" t="0" r="0" b="0"/>
                <wp:wrapSquare wrapText="right"/>
                <wp:docPr id="977"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properly signing and forwarding to us a proxy with a later date; or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92">
                <wp:simplePos x="0" y="0"/>
                <wp:positionH relativeFrom="column">
                  <wp:align>left</wp:align>
                </wp:positionH>
                <wp:positionV relativeFrom="line">
                  <wp:align>top</wp:align>
                </wp:positionV>
                <wp:extent cx="127000" cy="350520"/>
                <wp:effectExtent l="0" t="0" r="0" b="0"/>
                <wp:wrapSquare wrapText="right"/>
                <wp:docPr id="978"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1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voting during the Annual Meeting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893">
                <wp:simplePos x="0" y="0"/>
                <wp:positionH relativeFrom="column">
                  <wp:align>left</wp:align>
                </wp:positionH>
                <wp:positionV relativeFrom="line">
                  <wp:align>top</wp:align>
                </wp:positionV>
                <wp:extent cx="127000" cy="350520"/>
                <wp:effectExtent l="0" t="0" r="0" b="0"/>
                <wp:wrapSquare wrapText="right"/>
                <wp:docPr id="979"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0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attend the Annual Meeting,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 xml:space="preserve">You may revoke a proxy for shares held by a bank, broker or other nominee by submitting new voting instructions to the bank, broker or other nominee, or by attending the Annual Meeting and voting during the meeting. See </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caps w:val="false"/>
          <w:smallCaps w:val="false"/>
          <w:color w:val="000000"/>
          <w:sz w:val="18"/>
        </w:rPr>
        <w:t>How Do I Vote?—</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caps w:val="false"/>
          <w:smallCaps w:val="false"/>
          <w:color w:val="000000"/>
          <w:sz w:val="18"/>
        </w:rPr>
        <w:t>Voting During the Annual Meeting”</w:t>
      </w:r>
      <w:r>
        <w:rPr>
          <w:rFonts w:ascii="Arial;Helvetica;sans-serif" w:hAnsi="Arial;Helvetica;sans-serif"/>
          <w:b w:val="false"/>
          <w:i w:val="false"/>
          <w:caps w:val="false"/>
          <w:smallCaps w:val="false"/>
          <w:color w:val="000000"/>
          <w:spacing w:val="-2"/>
          <w:sz w:val="18"/>
        </w:rPr>
        <w:t xml:space="preserve"> above.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How is my vote counted?</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and “for” ratification of the appointment of Deloitte &amp; Touche LLP as our independent registered public accounting firm for the fiscal year ending December 31, 2024. It is not anticipated that any matters other than those set forth in this proxy statement will be presented at the Annual Meeting. If other matters are presented, proxies will be voted in accordance with the discretion of the proxy 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How does the Board recommend that I vote on each of the proposals?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Board recommends that you vote:</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50" w:type="dxa"/>
          <w:right w:w="0" w:type="dxa"/>
        </w:tblCellMar>
      </w:tblPr>
      <w:tblGrid>
        <w:gridCol w:w="3041"/>
        <w:gridCol w:w="109"/>
        <w:gridCol w:w="109"/>
        <w:gridCol w:w="634"/>
        <w:gridCol w:w="109"/>
        <w:gridCol w:w="109"/>
        <w:gridCol w:w="5038"/>
        <w:gridCol w:w="156"/>
      </w:tblGrid>
      <w:tr>
        <w:trPr/>
        <w:tc>
          <w:tcPr>
            <w:tcW w:w="3041" w:type="dxa"/>
            <w:tcBorders>
              <w:bottom w:val="single" w:sz="8" w:space="0" w:color="83AD40"/>
            </w:tcBorders>
            <w:vAlign w:val="center"/>
          </w:tcPr>
          <w:p>
            <w:pPr>
              <w:pStyle w:val="TableContents"/>
              <w:bidi w:val="0"/>
              <w:spacing w:before="0" w:after="0"/>
              <w:jc w:val="left"/>
              <w:rPr>
                <w:spacing w:val="2"/>
              </w:rPr>
            </w:pPr>
            <w:r>
              <w:rPr>
                <w:spacing w:val="2"/>
              </w:rPr>
              <w:t xml:space="preserve">Item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634"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5038" w:type="dxa"/>
            <w:tcBorders>
              <w:bottom w:val="single" w:sz="8" w:space="0" w:color="83AD40"/>
            </w:tcBorders>
            <w:vAlign w:val="center"/>
          </w:tcPr>
          <w:p>
            <w:pPr>
              <w:pStyle w:val="TableContents"/>
              <w:bidi w:val="0"/>
              <w:spacing w:before="0" w:after="0"/>
              <w:jc w:val="left"/>
              <w:rPr>
                <w:spacing w:val="2"/>
              </w:rPr>
            </w:pPr>
            <w:r>
              <w:rPr>
                <w:spacing w:val="2"/>
              </w:rPr>
              <w:t xml:space="preserve">Board Recommendation </w:t>
            </w:r>
          </w:p>
        </w:tc>
        <w:tc>
          <w:tcPr>
            <w:tcW w:w="156" w:type="dxa"/>
            <w:tcBorders>
              <w:bottom w:val="single" w:sz="8" w:space="0" w:color="83AD40"/>
            </w:tcBorders>
            <w:tcMar>
              <w:bottom w:w="28" w:type="dxa"/>
            </w:tcMar>
            <w:vAlign w:val="center"/>
          </w:tcPr>
          <w:p>
            <w:pPr>
              <w:pStyle w:val="TableContents"/>
              <w:bidi w:val="0"/>
              <w:spacing w:before="0" w:after="283"/>
              <w:jc w:val="left"/>
              <w:rPr/>
            </w:pPr>
            <w:r>
              <w:rPr/>
              <w:t>​</w:t>
            </w:r>
          </w:p>
        </w:tc>
      </w:tr>
      <w:tr>
        <w:trPr/>
        <w:tc>
          <w:tcPr>
            <w:tcW w:w="3041" w:type="dxa"/>
            <w:tcBorders>
              <w:bottom w:val="single" w:sz="2" w:space="0" w:color="000000"/>
            </w:tcBorders>
            <w:tcMar>
              <w:bottom w:w="97" w:type="dxa"/>
            </w:tcMar>
            <w:vAlign w:val="center"/>
          </w:tcPr>
          <w:p>
            <w:pPr>
              <w:pStyle w:val="TableContents"/>
              <w:bidi w:val="0"/>
              <w:spacing w:lineRule="atLeast" w:line="220" w:before="0" w:after="283"/>
              <w:jc w:val="left"/>
              <w:rPr>
                <w:b/>
              </w:rPr>
            </w:pPr>
            <w:r>
              <w:rPr>
                <w:b/>
                <w:color w:val="1F2668"/>
              </w:rPr>
              <w:t>Proposal 1:</w:t>
            </w:r>
            <w:r>
              <w:rPr>
                <w:b/>
                <w:spacing w:val="-2"/>
              </w:rPr>
              <w:t xml:space="preserve"> </w:t>
            </w:r>
            <w:r>
              <w:rPr>
                <w:b w:val="false"/>
                <w:spacing w:val="-2"/>
              </w:rPr>
              <w:t xml:space="preserve">Election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4" w:type="dxa"/>
            <w:tcBorders>
              <w:bottom w:val="single" w:sz="2" w:space="0" w:color="000000"/>
            </w:tcBorders>
            <w:tcMar>
              <w:bottom w:w="28" w:type="dxa"/>
            </w:tcMar>
            <w:vAlign w:val="center"/>
          </w:tcPr>
          <w:p>
            <w:pPr>
              <w:pStyle w:val="TableContents"/>
              <w:bidi w:val="0"/>
              <w:spacing w:before="0" w:after="0"/>
              <w:jc w:val="center"/>
              <w:rPr/>
            </w:pPr>
            <w:r>
              <w:rPr/>
              <w:drawing>
                <wp:inline distT="0" distB="0" distL="0" distR="0">
                  <wp:extent cx="342900" cy="342900"/>
                  <wp:effectExtent l="0" t="0" r="0" b="0"/>
                  <wp:docPr id="98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291" descr=""/>
                          <pic:cNvPicPr>
                            <a:picLocks noChangeAspect="1" noChangeArrowheads="1"/>
                          </pic:cNvPicPr>
                        </pic:nvPicPr>
                        <pic:blipFill>
                          <a:blip r:embed="rId391"/>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8" w:type="dxa"/>
            <w:tcBorders>
              <w:bottom w:val="single" w:sz="2" w:space="0" w:color="000000"/>
            </w:tcBorders>
            <w:tcMar>
              <w:bottom w:w="97" w:type="dxa"/>
            </w:tcMar>
            <w:vAlign w:val="center"/>
          </w:tcPr>
          <w:p>
            <w:pPr>
              <w:pStyle w:val="TableContents"/>
              <w:bidi w:val="0"/>
              <w:spacing w:lineRule="atLeast" w:line="220" w:before="0" w:after="283"/>
              <w:jc w:val="left"/>
              <w:rPr/>
            </w:pPr>
            <w:r>
              <w:rPr>
                <w:b/>
                <w:color w:val="1F2668"/>
              </w:rPr>
              <w:t>FOR</w:t>
            </w:r>
            <w:r>
              <w:rPr>
                <w:spacing w:val="-2"/>
              </w:rPr>
              <w:t xml:space="preserve"> the election of John H. Alschuler, Carol N. Brown, Lauren B. Dillard, Stephen L. Green, Craig M. Hatkoff, Marc Holliday and Andrew W. Mathias as directors to serve on the Board for a one-year term and until their successors are duly elected and qualify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41" w:type="dxa"/>
            <w:tcBorders>
              <w:bottom w:val="single" w:sz="2" w:space="0" w:color="000000"/>
            </w:tcBorders>
            <w:tcMar>
              <w:bottom w:w="97" w:type="dxa"/>
            </w:tcMar>
            <w:vAlign w:val="center"/>
          </w:tcPr>
          <w:p>
            <w:pPr>
              <w:pStyle w:val="TableContents"/>
              <w:bidi w:val="0"/>
              <w:spacing w:lineRule="atLeast" w:line="220" w:before="0" w:after="0"/>
              <w:jc w:val="left"/>
              <w:rPr/>
            </w:pPr>
            <w:r>
              <w:rPr>
                <w:b/>
                <w:color w:val="1F2668"/>
              </w:rPr>
              <w:t>Proposal 2:</w:t>
            </w:r>
            <w:r>
              <w:rPr>
                <w:spacing w:val="-2"/>
              </w:rPr>
              <w:t xml:space="preserve"> Approval of an Advisory Resolution Approving the Compensation of Our Named Executive Officers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34" w:type="dxa"/>
            <w:tcBorders>
              <w:bottom w:val="single" w:sz="2" w:space="0" w:color="000000"/>
            </w:tcBorders>
            <w:tcMar>
              <w:bottom w:w="155" w:type="dxa"/>
            </w:tcMar>
            <w:vAlign w:val="center"/>
          </w:tcPr>
          <w:p>
            <w:pPr>
              <w:pStyle w:val="TableContents"/>
              <w:bidi w:val="0"/>
              <w:spacing w:before="0" w:after="0"/>
              <w:jc w:val="center"/>
              <w:rPr/>
            </w:pPr>
            <w:r>
              <w:rPr/>
              <w:drawing>
                <wp:inline distT="0" distB="0" distL="0" distR="0">
                  <wp:extent cx="342900" cy="342900"/>
                  <wp:effectExtent l="0" t="0" r="0" b="0"/>
                  <wp:docPr id="981"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292" descr=""/>
                          <pic:cNvPicPr>
                            <a:picLocks noChangeAspect="1" noChangeArrowheads="1"/>
                          </pic:cNvPicPr>
                        </pic:nvPicPr>
                        <pic:blipFill>
                          <a:blip r:embed="rId392"/>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38" w:type="dxa"/>
            <w:tcBorders>
              <w:bottom w:val="single" w:sz="2" w:space="0" w:color="000000"/>
            </w:tcBorders>
            <w:tcMar>
              <w:bottom w:w="97" w:type="dxa"/>
            </w:tcMar>
            <w:vAlign w:val="center"/>
          </w:tcPr>
          <w:p>
            <w:pPr>
              <w:pStyle w:val="TableContents"/>
              <w:bidi w:val="0"/>
              <w:spacing w:lineRule="atLeast" w:line="220" w:before="0" w:after="0"/>
              <w:jc w:val="left"/>
              <w:rPr/>
            </w:pPr>
            <w:r>
              <w:rPr>
                <w:b/>
                <w:color w:val="1F2668"/>
              </w:rPr>
              <w:t>FOR</w:t>
            </w:r>
            <w:r>
              <w:rPr>
                <w:spacing w:val="-2"/>
              </w:rPr>
              <w:t xml:space="preserve"> the approval of an advisory resolution approving the compensation of our named executive officers as disclosed in this proxy statement pursuant to Item 402 of Regulation S-K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041" w:type="dxa"/>
            <w:tcBorders>
              <w:bottom w:val="single" w:sz="8" w:space="0" w:color="83AD40"/>
            </w:tcBorders>
            <w:tcMar>
              <w:bottom w:w="97" w:type="dxa"/>
            </w:tcMar>
            <w:vAlign w:val="center"/>
          </w:tcPr>
          <w:p>
            <w:pPr>
              <w:pStyle w:val="TableContents"/>
              <w:bidi w:val="0"/>
              <w:spacing w:lineRule="atLeast" w:line="220" w:before="0" w:after="0"/>
              <w:jc w:val="left"/>
              <w:rPr/>
            </w:pPr>
            <w:r>
              <w:rPr>
                <w:b/>
                <w:color w:val="1F2668"/>
              </w:rPr>
              <w:t>Proposal 3:</w:t>
            </w:r>
            <w:r>
              <w:rPr>
                <w:spacing w:val="-2"/>
              </w:rPr>
              <w:t xml:space="preserve"> The Ratification of the Appointment of Deloitte &amp; Touche LLP as Our Independent Registered Public Accounting Firm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634" w:type="dxa"/>
            <w:tcBorders>
              <w:bottom w:val="single" w:sz="8" w:space="0" w:color="83AD40"/>
            </w:tcBorders>
            <w:tcMar>
              <w:bottom w:w="155" w:type="dxa"/>
            </w:tcMar>
            <w:vAlign w:val="center"/>
          </w:tcPr>
          <w:p>
            <w:pPr>
              <w:pStyle w:val="TableContents"/>
              <w:bidi w:val="0"/>
              <w:spacing w:before="0" w:after="0"/>
              <w:jc w:val="center"/>
              <w:rPr/>
            </w:pPr>
            <w:r>
              <w:rPr/>
              <w:drawing>
                <wp:inline distT="0" distB="0" distL="0" distR="0">
                  <wp:extent cx="342900" cy="342900"/>
                  <wp:effectExtent l="0" t="0" r="0" b="0"/>
                  <wp:docPr id="982"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293" descr=""/>
                          <pic:cNvPicPr>
                            <a:picLocks noChangeAspect="1" noChangeArrowheads="1"/>
                          </pic:cNvPicPr>
                        </pic:nvPicPr>
                        <pic:blipFill>
                          <a:blip r:embed="rId393"/>
                          <a:stretch>
                            <a:fillRect/>
                          </a:stretch>
                        </pic:blipFill>
                        <pic:spPr bwMode="auto">
                          <a:xfrm>
                            <a:off x="0" y="0"/>
                            <a:ext cx="342900" cy="342900"/>
                          </a:xfrm>
                          <a:prstGeom prst="rect">
                            <a:avLst/>
                          </a:prstGeom>
                        </pic:spPr>
                      </pic:pic>
                    </a:graphicData>
                  </a:graphic>
                </wp:inline>
              </w:drawing>
            </w:r>
            <w:r>
              <w:rPr/>
              <w:t xml:space="preserve"> </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109" w:type="dxa"/>
            <w:tcBorders>
              <w:bottom w:val="single" w:sz="8" w:space="0" w:color="83AD40"/>
            </w:tcBorders>
            <w:tcMar>
              <w:bottom w:w="28" w:type="dxa"/>
            </w:tcMar>
            <w:vAlign w:val="center"/>
          </w:tcPr>
          <w:p>
            <w:pPr>
              <w:pStyle w:val="TableContents"/>
              <w:bidi w:val="0"/>
              <w:spacing w:before="0" w:after="283"/>
              <w:jc w:val="left"/>
              <w:rPr/>
            </w:pPr>
            <w:r>
              <w:rPr/>
              <w:t>​</w:t>
            </w:r>
          </w:p>
        </w:tc>
        <w:tc>
          <w:tcPr>
            <w:tcW w:w="5038" w:type="dxa"/>
            <w:tcBorders>
              <w:bottom w:val="single" w:sz="8" w:space="0" w:color="83AD40"/>
            </w:tcBorders>
            <w:tcMar>
              <w:bottom w:w="97" w:type="dxa"/>
            </w:tcMar>
            <w:vAlign w:val="center"/>
          </w:tcPr>
          <w:p>
            <w:pPr>
              <w:pStyle w:val="TableContents"/>
              <w:bidi w:val="0"/>
              <w:spacing w:lineRule="atLeast" w:line="220" w:before="0" w:after="0"/>
              <w:jc w:val="left"/>
              <w:rPr/>
            </w:pPr>
            <w:r>
              <w:rPr>
                <w:b/>
                <w:color w:val="1F2668"/>
              </w:rPr>
              <w:t>FOR</w:t>
            </w:r>
            <w:r>
              <w:rPr>
                <w:spacing w:val="-2"/>
              </w:rPr>
              <w:t xml:space="preserve"> the ratification of the appointment of Deloitte &amp; Touche LLP as our independent registered public accounting firm for the fiscal year ending December 31, 2024</w:t>
            </w:r>
            <w:r>
              <w:rPr/>
              <w:t xml:space="preserve"> </w:t>
            </w:r>
          </w:p>
        </w:tc>
        <w:tc>
          <w:tcPr>
            <w:tcW w:w="156" w:type="dxa"/>
            <w:tcBorders>
              <w:bottom w:val="single" w:sz="8" w:space="0" w:color="83AD40"/>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OTMA"/>
      <w:bookmarkEnd w:id="31"/>
      <w:r>
        <w:rPr>
          <w:rFonts w:ascii="calibri;arial;sans-serif" w:hAnsi="calibri;arial;sans-serif"/>
          <w:b w:val="false"/>
          <w:i w:val="false"/>
          <w:caps w:val="false"/>
          <w:smallCaps w:val="false"/>
          <w:color w:val="000000"/>
          <w:sz w:val="16"/>
        </w:rPr>
        <w:t xml:space="preserve">​ </w:t>
      </w:r>
    </w:p>
    <w:tbl>
      <w:tblPr>
        <w:tblW w:w="3543" w:type="dxa"/>
        <w:jc w:val="left"/>
        <w:tblInd w:w="900" w:type="dxa"/>
        <w:tblLayout w:type="fixed"/>
        <w:tblCellMar>
          <w:top w:w="0" w:type="dxa"/>
          <w:left w:w="0" w:type="dxa"/>
          <w:bottom w:w="0" w:type="dxa"/>
          <w:right w:w="0" w:type="dxa"/>
        </w:tblCellMar>
      </w:tblPr>
      <w:tblGrid>
        <w:gridCol w:w="124"/>
        <w:gridCol w:w="270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pPr>
            <w:r>
              <w:rPr/>
              <w:t>OTHER INFORMATION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93</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other information should I review before voting?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2023 annual report, including financial statements for the fiscal year ended December 31, 2023, is being made available to you along with this proxy statement. You may obtain, free of charge, copies of our 2023 annual report and our Annual Report on Form 10-K for the fiscal year ended December 31, 2023, which contains additional information about the Company, on our website at http://www.slgreen.com or by directing your request in writing to SL Green Realty Corp., One Vanderbilt Avenue, 28th Floor, New York, New York 10017-3852, Attention: Investor Relations. The 2023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How do I change how I receive proxy materials in the future?</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Attention: Investor Relations, by sending a blank e-mail with the 16-digit control number on your Notice of Internet Availability to sendmaterial@proxyvote.com, via the internet at http://www.proxyvote.com or by telephone at (800) 579-1639. Your election will remain in effect until you change it.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What should I do if I received more than one Notice of Internet Availability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360" w:before="400" w:after="283"/>
        <w:jc w:val="left"/>
        <w:rPr>
          <w:rFonts w:ascii="Arial;Helvetica;sans-serif" w:hAnsi="Arial;Helvetica;sans-serif"/>
          <w:b/>
          <w:i w:val="false"/>
          <w:caps w:val="false"/>
          <w:smallCaps w:val="false"/>
          <w:color w:val="83AD40"/>
          <w:sz w:val="32"/>
        </w:rPr>
      </w:pPr>
      <w:r>
        <w:rPr>
          <w:rFonts w:ascii="Arial;Helvetica;sans-serif" w:hAnsi="Arial;Helvetica;sans-serif"/>
          <w:b/>
          <w:i w:val="false"/>
          <w:caps/>
          <w:color w:val="83AD40"/>
          <w:sz w:val="32"/>
        </w:rPr>
        <w:t>OTHER MATTERS</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300" w:before="32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Attendance at the 2024 Annual Meeting</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All stockholders of record, as well as stockholders that hold their shares through a broker, bank or similar organization, of shares of SLG’s common stock at the close of business on the record date, or their designated proxies, are authorized to attend the 2024 Annual Meeting.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Stockholders will be able to vote and submit questions during the Annual Meeting.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013" w:type="dxa"/>
        <w:jc w:val="left"/>
        <w:tblInd w:w="900" w:type="dxa"/>
        <w:tblLayout w:type="fixed"/>
        <w:tblCellMar>
          <w:top w:w="0" w:type="dxa"/>
          <w:left w:w="0" w:type="dxa"/>
          <w:bottom w:w="0" w:type="dxa"/>
          <w:right w:w="0" w:type="dxa"/>
        </w:tblCellMar>
      </w:tblPr>
      <w:tblGrid>
        <w:gridCol w:w="124"/>
        <w:gridCol w:w="346"/>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283"/>
              <w:jc w:val="left"/>
              <w:rPr/>
            </w:pPr>
            <w:r>
              <w:rPr/>
              <w:t>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Solicitation of Proxies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$15,000 plus out-of-pocket expenses.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300" w:before="360" w:after="283"/>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Stockholder Proposals and Nominations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Proposals for Inclusion in our 2025 Proxy Materials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2025 annual meeting, the proposal must be delivered to our Secretary at the address provided below by December 20,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Director Nominations Under our Proxy Access Bylaws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2025 annual meeting, notice of a proxy access nomination must be delivered to our Secretary at the address provided below no later than December 20, 2024 and no earlier than November 20, 2024.</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Other Proposals or Nominations to be brought before our 2025 Annual Meeting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Our bylaws permit a stockholder to propose items of business that are not intended to be included in our proxy materials and to nominate candidates other than under our proxy access bylaw if the stockholder complies with the procedures set forth in our bylaws. For the 2025 annual meeting, notice of such proposals or nominations must be delivered to our Secretary at the address provided below no later than March 5, 2025 and no earlier than February 3,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If the Company moves the 2025 annual meeting to a date that is more than 25 days before or after the date which is the one-year anniversary of this year’s Annual Meeting date (i.e., June 3, 2025), the Company must receive notice of proposals or nominations no later than the close of business on the 10th day following the earlier of the day on which the Company makes a public announcement of the meeting date or the day on which notice of the meeting date is first distributed to stockholders.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Additionally, stockholders who intend to solicit proxies in support of director nominees other than the Company’s nominees must provide notice that sets forth the information required by Rule 14a-19 under the Exchange Act to our Secretary at the address provided no later than April 4, 2025.</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83AD40"/>
          <w:sz w:val="22"/>
        </w:rPr>
      </w:pPr>
      <w:r>
        <w:rPr>
          <w:rFonts w:ascii="Arial;Helvetica;sans-serif" w:hAnsi="Arial;Helvetica;sans-serif"/>
          <w:b/>
          <w:i w:val="false"/>
          <w:caps w:val="false"/>
          <w:smallCaps w:val="false"/>
          <w:color w:val="83AD40"/>
          <w:sz w:val="22"/>
        </w:rPr>
        <w:t>Address for Submission of Notices and Additional Information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All stockholder nominations of individuals for election as directors or proposals of other items of business to be considered by stockholders at the 2025 Annual Meeting (whether or not intended for inclusion in our proxy materials) must be submitted in writing to SL Green Realty Corp., One Vanderbilt Avenue, 28th Floor, New York, New York 10017-3852, Attention: Andrew S. Levine, Secretary.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43" w:type="dxa"/>
        <w:jc w:val="left"/>
        <w:tblInd w:w="900" w:type="dxa"/>
        <w:tblLayout w:type="fixed"/>
        <w:tblCellMar>
          <w:top w:w="0" w:type="dxa"/>
          <w:left w:w="0" w:type="dxa"/>
          <w:bottom w:w="0" w:type="dxa"/>
          <w:right w:w="0" w:type="dxa"/>
        </w:tblCellMar>
      </w:tblPr>
      <w:tblGrid>
        <w:gridCol w:w="124"/>
        <w:gridCol w:w="2701"/>
        <w:gridCol w:w="109"/>
        <w:gridCol w:w="109"/>
        <w:gridCol w:w="346"/>
        <w:gridCol w:w="154"/>
      </w:tblGrid>
      <w:tr>
        <w:trPr/>
        <w:tc>
          <w:tcPr>
            <w:tcW w:w="124" w:type="dxa"/>
            <w:tcBorders/>
            <w:vAlign w:val="center"/>
          </w:tcPr>
          <w:p>
            <w:pPr>
              <w:pStyle w:val="TableContents"/>
              <w:bidi w:val="0"/>
              <w:spacing w:before="0" w:after="283"/>
              <w:jc w:val="left"/>
              <w:rPr/>
            </w:pPr>
            <w:r>
              <w:rPr/>
              <w:t>​</w:t>
            </w:r>
          </w:p>
        </w:tc>
        <w:tc>
          <w:tcPr>
            <w:tcW w:w="2701" w:type="dxa"/>
            <w:tcBorders/>
            <w:vAlign w:val="center"/>
          </w:tcPr>
          <w:p>
            <w:pPr>
              <w:pStyle w:val="TableContents"/>
              <w:bidi w:val="0"/>
              <w:spacing w:lineRule="atLeast" w:line="200" w:before="0" w:after="0"/>
              <w:jc w:val="left"/>
              <w:rPr/>
            </w:pPr>
            <w:r>
              <w:rPr/>
              <w:t>OTHER INFORMATION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 w:type="dxa"/>
            <w:tcBorders/>
            <w:vAlign w:val="center"/>
          </w:tcPr>
          <w:p>
            <w:pPr>
              <w:pStyle w:val="TableContents"/>
              <w:bidi w:val="0"/>
              <w:spacing w:before="0" w:after="0"/>
              <w:jc w:val="right"/>
              <w:rPr>
                <w:color w:val="1F2668"/>
                <w:sz w:val="24"/>
              </w:rPr>
            </w:pPr>
            <w:r>
              <w:rPr>
                <w:color w:val="1F2668"/>
                <w:sz w:val="24"/>
              </w:rPr>
              <w:t>95</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560" w:after="154"/>
        <w:ind w:left="900" w:right="0" w:hanging="0"/>
        <w:jc w:val="left"/>
        <w:rPr>
          <w:rFonts w:ascii="Arial;Helvetica;sans-serif" w:hAnsi="Arial;Helvetica;sans-serif"/>
          <w:b/>
          <w:i w:val="false"/>
          <w:caps w:val="false"/>
          <w:smallCaps w:val="false"/>
          <w:color w:val="1F2668"/>
          <w:sz w:val="26"/>
        </w:rPr>
      </w:pPr>
      <w:r>
        <w:rPr>
          <w:rFonts w:ascii="Arial;Helvetica;sans-serif" w:hAnsi="Arial;Helvetica;sans-serif"/>
          <w:b/>
          <w:i w:val="false"/>
          <w:caps w:val="false"/>
          <w:smallCaps w:val="false"/>
          <w:color w:val="1F2668"/>
          <w:sz w:val="26"/>
        </w:rPr>
        <w:t>Householding of Proxy Materials</w:t>
      </w:r>
      <w:r>
        <w:rPr>
          <w:rFonts w:ascii="Arial;Helvetica;sans-serif" w:hAnsi="Arial;Helvetica;sans-serif"/>
          <w:b/>
          <w:i w:val="false"/>
          <w:caps w:val="false"/>
          <w:smallCaps w:val="false"/>
          <w:color w:val="000000"/>
          <w:spacing w:val="5"/>
          <w:sz w:val="2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Attention: Investor Relations or by telephone at (212) 594-2700.</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AAF"/>
      <w:bookmarkEnd w:id="32"/>
      <w:r>
        <w:rPr>
          <w:rFonts w:ascii="calibri;arial;sans-serif" w:hAnsi="calibri;arial;sans-serif"/>
          <w:b w:val="false"/>
          <w:i w:val="false"/>
          <w:caps w:val="false"/>
          <w:smallCaps w:val="false"/>
          <w:color w:val="000000"/>
          <w:sz w:val="16"/>
        </w:rPr>
        <w:t xml:space="preserve">​ </w:t>
      </w:r>
    </w:p>
    <w:tbl>
      <w:tblPr>
        <w:tblW w:w="1086" w:type="dxa"/>
        <w:jc w:val="left"/>
        <w:tblInd w:w="900" w:type="dxa"/>
        <w:tblLayout w:type="fixed"/>
        <w:tblCellMar>
          <w:top w:w="0" w:type="dxa"/>
          <w:left w:w="0" w:type="dxa"/>
          <w:bottom w:w="0" w:type="dxa"/>
          <w:right w:w="0" w:type="dxa"/>
        </w:tblCellMar>
      </w:tblPr>
      <w:tblGrid>
        <w:gridCol w:w="124"/>
        <w:gridCol w:w="109"/>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pPr>
            <w:r>
              <w:rPr/>
              <w:t>A-1</w:t>
              <w:br/>
              <w:t>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420" w:before="560" w:after="154"/>
        <w:ind w:left="900" w:right="0" w:hanging="0"/>
        <w:jc w:val="left"/>
        <w:rPr>
          <w:rFonts w:ascii="Arial;Helvetica;sans-serif" w:hAnsi="Arial;Helvetica;sans-serif"/>
          <w:b/>
          <w:i w:val="false"/>
          <w:caps/>
          <w:color w:val="1F2668"/>
          <w:sz w:val="42"/>
        </w:rPr>
      </w:pPr>
      <w:r>
        <w:rPr>
          <w:rFonts w:ascii="Arial;Helvetica;sans-serif" w:hAnsi="Arial;Helvetica;sans-serif"/>
          <w:b/>
          <w:i w:val="false"/>
          <w:caps/>
          <w:color w:val="1F2668"/>
          <w:sz w:val="42"/>
        </w:rPr>
        <w:t>APPENDIX A:</w:t>
      </w:r>
    </w:p>
    <w:p>
      <w:pPr>
        <w:pStyle w:val="TextBody"/>
        <w:bidi w:val="0"/>
        <w:spacing w:lineRule="atLeast" w:line="340" w:before="400" w:after="283"/>
        <w:jc w:val="left"/>
        <w:rPr>
          <w:rFonts w:ascii="Arial;Helvetica;sans-serif" w:hAnsi="Arial;Helvetica;sans-serif"/>
          <w:b/>
          <w:i w:val="false"/>
          <w:caps/>
          <w:color w:val="83AD40"/>
          <w:spacing w:val="-10"/>
          <w:sz w:val="32"/>
        </w:rPr>
      </w:pPr>
      <w:r>
        <w:rPr>
          <w:rFonts w:ascii="Arial;Helvetica;sans-serif" w:hAnsi="Arial;Helvetica;sans-serif"/>
          <w:b/>
          <w:i w:val="false"/>
          <w:caps/>
          <w:color w:val="83AD40"/>
          <w:spacing w:val="-10"/>
          <w:sz w:val="32"/>
        </w:rPr>
        <w:t xml:space="preserve">INFORMATION REGARDING CERTAIN FINANCIAL MEASURES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Below is a reconciliation of net income attributable to our stockholders to Normalized Funds from Operations, or FFO, per share for the twelve months ended December 31, 2023 (amounts in thousands, except per share data).</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7300"/>
        <w:gridCol w:w="109"/>
        <w:gridCol w:w="109"/>
        <w:gridCol w:w="125"/>
        <w:gridCol w:w="261"/>
        <w:gridCol w:w="1117"/>
        <w:gridCol w:w="128"/>
        <w:gridCol w:w="156"/>
      </w:tblGrid>
      <w:tr>
        <w:trPr/>
        <w:tc>
          <w:tcPr>
            <w:tcW w:w="7300"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1" w:type="dxa"/>
            <w:gridSpan w:val="4"/>
            <w:tcBorders>
              <w:bottom w:val="single" w:sz="2" w:space="0" w:color="1F2668"/>
            </w:tcBorders>
            <w:vAlign w:val="center"/>
          </w:tcPr>
          <w:p>
            <w:pPr>
              <w:pStyle w:val="TableContents"/>
              <w:bidi w:val="0"/>
              <w:spacing w:before="0" w:after="0"/>
              <w:jc w:val="right"/>
              <w:rPr/>
            </w:pPr>
            <w:r>
              <w:rPr>
                <w:spacing w:val="2"/>
              </w:rPr>
              <w:t xml:space="preserve">Twelve months </w:t>
              <w:br/>
              <w:t xml:space="preserve">ended </w:t>
              <w:br/>
              <w:t xml:space="preserve">December 31, </w:t>
              <w:br/>
              <w:t>2023</w:t>
            </w:r>
            <w:r>
              <w:rP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Normalized FFO Reconciliation: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SL Green common stockholders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(579,509)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spacing w:val="-2"/>
              </w:rPr>
              <w:t>Add: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247,810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Joint venture depreciation and noncontrolling interest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284,284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(42,033)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spacing w:val="-2"/>
              </w:rPr>
              <w:t>Less: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(13,368)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(6,813)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(32,370)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and impairments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(382,374)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on non-rental real estate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4,136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FFO attributable to SL Green common stockholders and unit holders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341,341</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spacing w:val="-2"/>
              </w:rPr>
              <w:t>Add: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Non-cash fair value adjustments on mark-to-market 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10,447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Loan loss and other investment reserves, net of recoveries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6,890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early extinguishment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870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28" w:type="dxa"/>
            </w:tcMar>
            <w:vAlign w:val="center"/>
          </w:tcPr>
          <w:p>
            <w:pPr>
              <w:pStyle w:val="TableContents"/>
              <w:bidi w:val="0"/>
              <w:spacing w:before="0" w:after="283"/>
              <w:jc w:val="left"/>
              <w:rPr/>
            </w:pPr>
            <w:r>
              <w:rPr>
                <w:spacing w:val="-2"/>
              </w:rPr>
              <w:t>Non-recurring general and administrative charges related to the non-renewal of the Company’s former president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28" w:type="dxa"/>
            </w:tcMar>
            <w:vAlign w:val="center"/>
          </w:tcPr>
          <w:p>
            <w:pPr>
              <w:pStyle w:val="TableContents"/>
              <w:bidi w:val="0"/>
              <w:spacing w:before="0" w:after="283"/>
              <w:jc w:val="right"/>
              <w:rPr/>
            </w:pPr>
            <w:r>
              <w:rPr/>
              <w:t>​</w:t>
            </w:r>
          </w:p>
        </w:tc>
        <w:tc>
          <w:tcPr>
            <w:tcW w:w="1117" w:type="dxa"/>
            <w:tcBorders>
              <w:bottom w:val="single" w:sz="2" w:space="0" w:color="4B5088"/>
            </w:tcBorders>
            <w:tcMar>
              <w:bottom w:w="28" w:type="dxa"/>
            </w:tcMar>
            <w:vAlign w:val="center"/>
          </w:tcPr>
          <w:p>
            <w:pPr>
              <w:pStyle w:val="TableContents"/>
              <w:bidi w:val="0"/>
              <w:spacing w:before="0" w:after="283"/>
              <w:jc w:val="right"/>
              <w:rPr/>
            </w:pPr>
            <w:r>
              <w:rPr/>
              <w:t xml:space="preserve">18,700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Normalized FFO attributable to SL Green common stockholders and unit holders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378,248</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Basic ownership interest: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REIT common share and common share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63,809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partnership units held by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4,163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Basic weighted average shares and units outstanding</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67,972</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Diluted ownership interest: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REIT common share and common share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64,869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Weighted average partnership units held by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4,163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Diluted weighted average shares and units outstanding</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69,032</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FFO per share: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Basic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4.98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Diluted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4.94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pPr>
            <w:r>
              <w:rPr/>
              <w:t>Normalized FFO per share: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Basic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 xml:space="preserve">5.52 </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300" w:type="dxa"/>
            <w:tcBorders>
              <w:bottom w:val="single" w:sz="2" w:space="0" w:color="1F2668"/>
            </w:tcBorders>
            <w:tcMar>
              <w:bottom w:w="35" w:type="dxa"/>
            </w:tcMar>
            <w:vAlign w:val="center"/>
          </w:tcPr>
          <w:p>
            <w:pPr>
              <w:pStyle w:val="TableContents"/>
              <w:bidi w:val="0"/>
              <w:spacing w:before="0" w:after="283"/>
              <w:jc w:val="left"/>
              <w:rPr>
                <w:spacing w:val="-2"/>
              </w:rPr>
            </w:pPr>
            <w:r>
              <w:rPr>
                <w:spacing w:val="-2"/>
              </w:rPr>
              <w:t xml:space="preserve">Diluted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1F2668"/>
            </w:tcBorders>
            <w:tcMar>
              <w:bottom w:w="28" w:type="dxa"/>
            </w:tcMar>
            <w:vAlign w:val="center"/>
          </w:tcPr>
          <w:p>
            <w:pPr>
              <w:pStyle w:val="TableContents"/>
              <w:bidi w:val="0"/>
              <w:spacing w:before="0" w:after="283"/>
              <w:jc w:val="left"/>
              <w:rPr/>
            </w:pPr>
            <w:r>
              <w:rPr/>
              <w:t>​</w:t>
            </w:r>
          </w:p>
        </w:tc>
        <w:tc>
          <w:tcPr>
            <w:tcW w:w="261" w:type="dxa"/>
            <w:tcBorders>
              <w:bottom w:val="single" w:sz="2" w:space="0" w:color="1F2668"/>
            </w:tcBorders>
            <w:tcMar>
              <w:bottom w:w="35" w:type="dxa"/>
            </w:tcMar>
            <w:vAlign w:val="center"/>
          </w:tcPr>
          <w:p>
            <w:pPr>
              <w:pStyle w:val="TableContents"/>
              <w:bidi w:val="0"/>
              <w:spacing w:before="0" w:after="283"/>
              <w:jc w:val="right"/>
              <w:rPr/>
            </w:pPr>
            <w:r>
              <w:rPr/>
              <w:t>​</w:t>
            </w:r>
          </w:p>
        </w:tc>
        <w:tc>
          <w:tcPr>
            <w:tcW w:w="1117" w:type="dxa"/>
            <w:tcBorders>
              <w:bottom w:val="single" w:sz="2" w:space="0" w:color="1F2668"/>
            </w:tcBorders>
            <w:tcMar>
              <w:bottom w:w="35" w:type="dxa"/>
            </w:tcMar>
            <w:vAlign w:val="center"/>
          </w:tcPr>
          <w:p>
            <w:pPr>
              <w:pStyle w:val="TableContents"/>
              <w:bidi w:val="0"/>
              <w:spacing w:before="0" w:after="283"/>
              <w:jc w:val="right"/>
              <w:rPr/>
            </w:pPr>
            <w:r>
              <w:rPr/>
              <w:t>5.48</w:t>
            </w:r>
          </w:p>
        </w:tc>
        <w:tc>
          <w:tcPr>
            <w:tcW w:w="128" w:type="dxa"/>
            <w:tcBorders>
              <w:bottom w:val="single" w:sz="2" w:space="0" w:color="1F2668"/>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48" w:type="dxa"/>
        <w:jc w:val="left"/>
        <w:tblInd w:w="900" w:type="dxa"/>
        <w:tblLayout w:type="fixed"/>
        <w:tblCellMar>
          <w:top w:w="0" w:type="dxa"/>
          <w:left w:w="0" w:type="dxa"/>
          <w:bottom w:w="0" w:type="dxa"/>
          <w:right w:w="0" w:type="dxa"/>
        </w:tblCellMar>
      </w:tblPr>
      <w:tblGrid>
        <w:gridCol w:w="124"/>
        <w:gridCol w:w="481"/>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Below is a reconciliation of net income attributable to our stockholders to Normalized Funds Available for Distribution, or FAD, for the twelve months ended December 31, 2023 (amounts in thousands, except per share data).</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63" w:type="dxa"/>
          <w:right w:w="0" w:type="dxa"/>
        </w:tblCellMar>
      </w:tblPr>
      <w:tblGrid>
        <w:gridCol w:w="7299"/>
        <w:gridCol w:w="109"/>
        <w:gridCol w:w="109"/>
        <w:gridCol w:w="125"/>
        <w:gridCol w:w="261"/>
        <w:gridCol w:w="1117"/>
        <w:gridCol w:w="128"/>
        <w:gridCol w:w="157"/>
      </w:tblGrid>
      <w:tr>
        <w:trPr/>
        <w:tc>
          <w:tcPr>
            <w:tcW w:w="7299" w:type="dxa"/>
            <w:tcBorders>
              <w:bottom w:val="single" w:sz="2" w:space="0" w:color="1F2668"/>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1" w:type="dxa"/>
            <w:gridSpan w:val="4"/>
            <w:tcBorders>
              <w:bottom w:val="single" w:sz="2" w:space="0" w:color="1F2668"/>
            </w:tcBorders>
            <w:vAlign w:val="center"/>
          </w:tcPr>
          <w:p>
            <w:pPr>
              <w:pStyle w:val="TableContents"/>
              <w:bidi w:val="0"/>
              <w:spacing w:before="0" w:after="0"/>
              <w:jc w:val="right"/>
              <w:rPr/>
            </w:pPr>
            <w:r>
              <w:rPr>
                <w:spacing w:val="2"/>
              </w:rPr>
              <w:t xml:space="preserve">Twelve months </w:t>
              <w:br/>
              <w:t xml:space="preserve">ended </w:t>
              <w:br/>
              <w:t xml:space="preserve">December 31, </w:t>
              <w:br/>
              <w:t>2023</w:t>
            </w:r>
            <w:r>
              <w:rP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pPr>
            <w:r>
              <w:rPr/>
              <w:t>Normalized Funds Available for Distribution Reconciliation: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SL Green common stockholders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(579,509)</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247,810</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Joint venture depreciation and noncontrolling interest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284,284</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Net loss attributable to 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(42,033)</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(13,368)</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(6,813)</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(32,370)</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and impairments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(382,374)</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on non-rental real estate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4,136</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pPr>
            <w:r>
              <w:rPr/>
              <w:t>FFO attributable to SL Green common stockholders and unit holders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341,341</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 real estate 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4,136</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7,837</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Non-cash deferred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62,352</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FAD adjustment for joint ventures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(81,112)</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Straight-line rental income and other non-cash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(20,188)</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Second cycle tenant 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(52,300)</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Second cycle leasing commissions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(9,335)</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Revenue enhancing recurring CAPEX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(1,458)</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Non-revenue enhancing recurring CAPEX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(21,530)</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pPr>
            <w:r>
              <w:rPr/>
              <w:t>Funds Available for Distribution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229,743</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Add: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35" w:type="dxa"/>
            </w:tcMar>
            <w:vAlign w:val="center"/>
          </w:tcPr>
          <w:p>
            <w:pPr>
              <w:pStyle w:val="TableContents"/>
              <w:bidi w:val="0"/>
              <w:spacing w:before="0" w:after="283"/>
              <w:jc w:val="right"/>
              <w:rPr/>
            </w:pPr>
            <w:r>
              <w:rPr/>
              <w:t>​</w:t>
            </w:r>
          </w:p>
        </w:tc>
        <w:tc>
          <w:tcPr>
            <w:tcW w:w="1117" w:type="dxa"/>
            <w:tcBorders>
              <w:bottom w:val="single" w:sz="2" w:space="0" w:color="4B5088"/>
            </w:tcBorders>
            <w:tcMar>
              <w:bottom w:w="35" w:type="dxa"/>
            </w:tcMar>
            <w:vAlign w:val="center"/>
          </w:tcPr>
          <w:p>
            <w:pPr>
              <w:pStyle w:val="TableContents"/>
              <w:bidi w:val="0"/>
              <w:spacing w:before="0" w:after="283"/>
              <w:jc w:val="right"/>
              <w:rPr/>
            </w:pPr>
            <w:r>
              <w:rPr/>
              <w:t>​</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4B5088"/>
            </w:tcBorders>
            <w:tcMar>
              <w:bottom w:w="28" w:type="dxa"/>
            </w:tcMar>
            <w:vAlign w:val="center"/>
          </w:tcPr>
          <w:p>
            <w:pPr>
              <w:pStyle w:val="TableContents"/>
              <w:bidi w:val="0"/>
              <w:spacing w:before="0" w:after="283"/>
              <w:jc w:val="left"/>
              <w:rPr>
                <w:spacing w:val="-2"/>
              </w:rPr>
            </w:pPr>
            <w:r>
              <w:rPr>
                <w:spacing w:val="-2"/>
              </w:rPr>
              <w:t xml:space="preserve">Non-recurring general and administrative charges related to the non-renewal of the Company’s former president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4B5088"/>
            </w:tcBorders>
            <w:tcMar>
              <w:bottom w:w="28" w:type="dxa"/>
            </w:tcMar>
            <w:vAlign w:val="center"/>
          </w:tcPr>
          <w:p>
            <w:pPr>
              <w:pStyle w:val="TableContents"/>
              <w:bidi w:val="0"/>
              <w:spacing w:before="0" w:after="283"/>
              <w:jc w:val="left"/>
              <w:rPr/>
            </w:pPr>
            <w:r>
              <w:rPr/>
              <w:t>​</w:t>
            </w:r>
          </w:p>
        </w:tc>
        <w:tc>
          <w:tcPr>
            <w:tcW w:w="261" w:type="dxa"/>
            <w:tcBorders>
              <w:bottom w:val="single" w:sz="2" w:space="0" w:color="4B5088"/>
            </w:tcBorders>
            <w:tcMar>
              <w:bottom w:w="28" w:type="dxa"/>
            </w:tcMar>
            <w:vAlign w:val="center"/>
          </w:tcPr>
          <w:p>
            <w:pPr>
              <w:pStyle w:val="TableContents"/>
              <w:bidi w:val="0"/>
              <w:spacing w:before="0" w:after="283"/>
              <w:jc w:val="right"/>
              <w:rPr/>
            </w:pPr>
            <w:r>
              <w:rPr/>
              <w:t>​</w:t>
            </w:r>
          </w:p>
        </w:tc>
        <w:tc>
          <w:tcPr>
            <w:tcW w:w="1117" w:type="dxa"/>
            <w:tcBorders>
              <w:bottom w:val="single" w:sz="2" w:space="0" w:color="4B5088"/>
            </w:tcBorders>
            <w:tcMar>
              <w:bottom w:w="28" w:type="dxa"/>
            </w:tcMar>
            <w:vAlign w:val="center"/>
          </w:tcPr>
          <w:p>
            <w:pPr>
              <w:pStyle w:val="TableContents"/>
              <w:bidi w:val="0"/>
              <w:spacing w:before="0" w:after="283"/>
              <w:jc w:val="right"/>
              <w:rPr/>
            </w:pPr>
            <w:r>
              <w:rPr/>
              <w:t>18,700</w:t>
            </w:r>
          </w:p>
        </w:tc>
        <w:tc>
          <w:tcPr>
            <w:tcW w:w="128" w:type="dxa"/>
            <w:tcBorders>
              <w:bottom w:val="single" w:sz="2" w:space="0" w:color="4B508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99" w:type="dxa"/>
            <w:tcBorders>
              <w:bottom w:val="single" w:sz="2" w:space="0" w:color="1F2668"/>
            </w:tcBorders>
            <w:tcMar>
              <w:bottom w:w="28" w:type="dxa"/>
            </w:tcMar>
            <w:vAlign w:val="center"/>
          </w:tcPr>
          <w:p>
            <w:pPr>
              <w:pStyle w:val="TableContents"/>
              <w:bidi w:val="0"/>
              <w:spacing w:before="0" w:after="283"/>
              <w:jc w:val="left"/>
              <w:rPr/>
            </w:pPr>
            <w:r>
              <w:rPr/>
              <w:t>Normalized Funds Available for Distribution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 w:type="dxa"/>
            <w:tcBorders>
              <w:bottom w:val="single" w:sz="2" w:space="0" w:color="1F2668"/>
            </w:tcBorders>
            <w:tcMar>
              <w:bottom w:w="28" w:type="dxa"/>
            </w:tcMar>
            <w:vAlign w:val="center"/>
          </w:tcPr>
          <w:p>
            <w:pPr>
              <w:pStyle w:val="TableContents"/>
              <w:bidi w:val="0"/>
              <w:spacing w:before="0" w:after="283"/>
              <w:jc w:val="left"/>
              <w:rPr/>
            </w:pPr>
            <w:r>
              <w:rPr/>
              <w:t>​</w:t>
            </w:r>
          </w:p>
        </w:tc>
        <w:tc>
          <w:tcPr>
            <w:tcW w:w="261" w:type="dxa"/>
            <w:tcBorders>
              <w:bottom w:val="single" w:sz="2" w:space="0" w:color="1F2668"/>
            </w:tcBorders>
            <w:tcMar>
              <w:bottom w:w="28" w:type="dxa"/>
            </w:tcMar>
            <w:vAlign w:val="center"/>
          </w:tcPr>
          <w:p>
            <w:pPr>
              <w:pStyle w:val="TableContents"/>
              <w:bidi w:val="0"/>
              <w:spacing w:before="0" w:after="283"/>
              <w:jc w:val="right"/>
              <w:rPr/>
            </w:pPr>
            <w:r>
              <w:rPr/>
              <w:t>$</w:t>
            </w:r>
          </w:p>
        </w:tc>
        <w:tc>
          <w:tcPr>
            <w:tcW w:w="1117" w:type="dxa"/>
            <w:tcBorders>
              <w:bottom w:val="single" w:sz="2" w:space="0" w:color="1F2668"/>
            </w:tcBorders>
            <w:tcMar>
              <w:bottom w:w="28" w:type="dxa"/>
            </w:tcMar>
            <w:vAlign w:val="center"/>
          </w:tcPr>
          <w:p>
            <w:pPr>
              <w:pStyle w:val="TableContents"/>
              <w:bidi w:val="0"/>
              <w:spacing w:before="0" w:after="283"/>
              <w:jc w:val="right"/>
              <w:rPr/>
            </w:pPr>
            <w:r>
              <w:rPr/>
              <w:t>248,443</w:t>
            </w:r>
          </w:p>
        </w:tc>
        <w:tc>
          <w:tcPr>
            <w:tcW w:w="128" w:type="dxa"/>
            <w:tcBorders>
              <w:bottom w:val="single" w:sz="2" w:space="0" w:color="1F2668"/>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6" w:after="283"/>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Below are reconciliations of net income to operating income, same-store cash net operating income and same-store cash net operating income excluding lease termination income for the twelve months ended December 31, 2023 and 2022 (amounts in thousands).</w:t>
      </w:r>
      <w:r>
        <w:rPr>
          <w:rFonts w:ascii="Arial;Helvetica;sans-serif" w:hAnsi="Arial;Helvetica;sans-serif"/>
          <w:b w:val="false"/>
          <w:i w:val="false"/>
          <w:caps w:val="false"/>
          <w:smallCaps w:val="false"/>
          <w:color w:val="000000"/>
          <w:spacing w:val="4"/>
          <w:sz w:val="18"/>
        </w:rPr>
        <w:t xml:space="preserve"> </w:t>
      </w:r>
    </w:p>
    <w:tbl>
      <w:tblPr>
        <w:tblW w:w="9305" w:type="dxa"/>
        <w:jc w:val="left"/>
        <w:tblInd w:w="900" w:type="dxa"/>
        <w:tblLayout w:type="fixed"/>
        <w:tblCellMar>
          <w:top w:w="0" w:type="dxa"/>
          <w:left w:w="0" w:type="dxa"/>
          <w:bottom w:w="0" w:type="dxa"/>
          <w:right w:w="0" w:type="dxa"/>
        </w:tblCellMar>
      </w:tblPr>
      <w:tblGrid>
        <w:gridCol w:w="6016"/>
        <w:gridCol w:w="109"/>
        <w:gridCol w:w="109"/>
        <w:gridCol w:w="109"/>
        <w:gridCol w:w="226"/>
        <w:gridCol w:w="1018"/>
        <w:gridCol w:w="109"/>
        <w:gridCol w:w="109"/>
        <w:gridCol w:w="109"/>
        <w:gridCol w:w="109"/>
        <w:gridCol w:w="109"/>
        <w:gridCol w:w="909"/>
        <w:gridCol w:w="109"/>
        <w:gridCol w:w="155"/>
      </w:tblGrid>
      <w:tr>
        <w:trPr/>
        <w:tc>
          <w:tcPr>
            <w:tcW w:w="60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16" w:type="dxa"/>
            <w:gridSpan w:val="10"/>
            <w:tcBorders>
              <w:bottom w:val="single" w:sz="2" w:space="0" w:color="1F2668"/>
            </w:tcBorders>
            <w:tcMar>
              <w:bottom w:w="70" w:type="dxa"/>
            </w:tcMar>
            <w:vAlign w:val="center"/>
          </w:tcPr>
          <w:p>
            <w:pPr>
              <w:pStyle w:val="TableContents"/>
              <w:bidi w:val="0"/>
              <w:spacing w:before="0" w:after="0"/>
              <w:jc w:val="right"/>
              <w:rPr/>
            </w:pPr>
            <w:r>
              <w:rPr>
                <w:spacing w:val="2"/>
              </w:rPr>
              <w:t>Year Ended December 31,</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1F2668"/>
            </w:tcBorders>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2"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6"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2022</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pPr>
            <w:r>
              <w:rPr/>
              <w:t>Operating Income and Same-store cash NOI Reconciliation</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pPr>
            <w:r>
              <w:rPr/>
              <w:t>Net loss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(599,337)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(76,303)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Depreciable real estate reserves and impairments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382,374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6,313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sale of real estate,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32,370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84,485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Purchase price and other fair value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17,260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8,118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on sale of interest in unconsolidated joint venture/real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13,368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131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247,810</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216,167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Tax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9,201</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2,647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7,837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7,817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Interest expense, net of 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137,114</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89,473</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pPr>
            <w:r>
              <w:rPr/>
              <w:t>Operating income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247,997</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0"/>
              <w:jc w:val="right"/>
              <w:rPr>
                <w:color w:val="000000"/>
              </w:rPr>
            </w:pPr>
            <w:r>
              <w:rPr>
                <w:color w:val="000000"/>
              </w:rPr>
              <w:t>​</w:t>
            </w:r>
          </w:p>
        </w:tc>
        <w:tc>
          <w:tcPr>
            <w:tcW w:w="909" w:type="dxa"/>
            <w:tcBorders>
              <w:bottom w:val="single" w:sz="2" w:space="0" w:color="4B5088"/>
            </w:tcBorders>
            <w:tcMar>
              <w:bottom w:w="35" w:type="dxa"/>
            </w:tcMar>
            <w:vAlign w:val="center"/>
          </w:tcPr>
          <w:p>
            <w:pPr>
              <w:pStyle w:val="TableContents"/>
              <w:bidi w:val="0"/>
              <w:spacing w:before="0" w:after="0"/>
              <w:jc w:val="right"/>
              <w:rPr>
                <w:b w:val="false"/>
                <w:color w:val="000000"/>
              </w:rPr>
            </w:pPr>
            <w:r>
              <w:rPr>
                <w:b w:val="false"/>
                <w:color w:val="000000"/>
              </w:rPr>
              <w:t>338,848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01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from unconsolidated joint ventures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18" w:type="dxa"/>
            <w:tcBorders>
              <w:bottom w:val="single" w:sz="2" w:space="0" w:color="4B5088"/>
            </w:tcBorders>
            <w:tcMar>
              <w:bottom w:w="35" w:type="dxa"/>
            </w:tcMar>
            <w:vAlign w:val="center"/>
          </w:tcPr>
          <w:p>
            <w:pPr>
              <w:pStyle w:val="TableContents"/>
              <w:bidi w:val="0"/>
              <w:spacing w:before="0" w:after="283"/>
              <w:jc w:val="right"/>
              <w:rPr/>
            </w:pPr>
            <w:r>
              <w:rPr/>
              <w:t>76,509</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09" w:type="dxa"/>
            <w:tcBorders>
              <w:bottom w:val="single" w:sz="2" w:space="0" w:color="4B5088"/>
            </w:tcBorders>
            <w:tcMar>
              <w:bottom w:w="35" w:type="dxa"/>
            </w:tcMar>
            <w:vAlign w:val="center"/>
          </w:tcPr>
          <w:p>
            <w:pPr>
              <w:pStyle w:val="TableContents"/>
              <w:bidi w:val="0"/>
              <w:spacing w:before="0" w:after="283"/>
              <w:jc w:val="right"/>
              <w:rPr/>
            </w:pPr>
            <w:r>
              <w:rPr/>
              <w:t xml:space="preserve">57,958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538" w:type="dxa"/>
        <w:jc w:val="left"/>
        <w:tblInd w:w="900" w:type="dxa"/>
        <w:tblLayout w:type="fixed"/>
        <w:tblCellMar>
          <w:top w:w="0" w:type="dxa"/>
          <w:left w:w="0" w:type="dxa"/>
          <w:bottom w:w="0" w:type="dxa"/>
          <w:right w:w="0" w:type="dxa"/>
        </w:tblCellMar>
      </w:tblPr>
      <w:tblGrid>
        <w:gridCol w:w="124"/>
        <w:gridCol w:w="1561"/>
        <w:gridCol w:w="109"/>
        <w:gridCol w:w="109"/>
        <w:gridCol w:w="481"/>
        <w:gridCol w:w="154"/>
      </w:tblGrid>
      <w:tr>
        <w:trPr/>
        <w:tc>
          <w:tcPr>
            <w:tcW w:w="124" w:type="dxa"/>
            <w:tcBorders/>
            <w:vAlign w:val="center"/>
          </w:tcPr>
          <w:p>
            <w:pPr>
              <w:pStyle w:val="TableContents"/>
              <w:bidi w:val="0"/>
              <w:spacing w:before="0" w:after="283"/>
              <w:jc w:val="left"/>
              <w:rPr/>
            </w:pPr>
            <w:r>
              <w:rPr/>
              <w:t>​</w:t>
            </w:r>
          </w:p>
        </w:tc>
        <w:tc>
          <w:tcPr>
            <w:tcW w:w="1561" w:type="dxa"/>
            <w:tcBorders/>
            <w:vAlign w:val="center"/>
          </w:tcPr>
          <w:p>
            <w:pPr>
              <w:pStyle w:val="TableContents"/>
              <w:bidi w:val="0"/>
              <w:spacing w:lineRule="atLeast" w:line="200" w:before="0" w:after="0"/>
              <w:jc w:val="left"/>
              <w:rPr/>
            </w:pPr>
            <w:r>
              <w:rPr/>
              <w:t>APPENDIX A</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0"/>
              <w:jc w:val="right"/>
              <w:rPr>
                <w:color w:val="1F2668"/>
                <w:sz w:val="24"/>
              </w:rPr>
            </w:pPr>
            <w:r>
              <w:rPr>
                <w:color w:val="1F2668"/>
                <w:sz w:val="24"/>
              </w:rPr>
              <w:t>A-3</w:t>
            </w:r>
          </w:p>
        </w:tc>
        <w:tc>
          <w:tcPr>
            <w:tcW w:w="154" w:type="dxa"/>
            <w:tcBorders/>
            <w:vAlign w:val="center"/>
          </w:tcPr>
          <w:p>
            <w:pPr>
              <w:pStyle w:val="TableContents"/>
              <w:bidi w:val="0"/>
              <w:spacing w:before="0" w:after="283"/>
              <w:jc w:val="left"/>
              <w:rPr/>
            </w:pPr>
            <w:r>
              <w:rPr/>
              <w:t>​</w:t>
            </w:r>
          </w:p>
        </w:tc>
      </w:tr>
    </w:tbl>
    <w:tbl>
      <w:tblPr>
        <w:tblW w:w="9305" w:type="dxa"/>
        <w:jc w:val="left"/>
        <w:tblInd w:w="900" w:type="dxa"/>
        <w:tblLayout w:type="fixed"/>
        <w:tblCellMar>
          <w:top w:w="0" w:type="dxa"/>
          <w:left w:w="0" w:type="dxa"/>
          <w:bottom w:w="0" w:type="dxa"/>
          <w:right w:w="0" w:type="dxa"/>
        </w:tblCellMar>
      </w:tblPr>
      <w:tblGrid>
        <w:gridCol w:w="5646"/>
        <w:gridCol w:w="109"/>
        <w:gridCol w:w="109"/>
        <w:gridCol w:w="109"/>
        <w:gridCol w:w="226"/>
        <w:gridCol w:w="1035"/>
        <w:gridCol w:w="109"/>
        <w:gridCol w:w="109"/>
        <w:gridCol w:w="109"/>
        <w:gridCol w:w="109"/>
        <w:gridCol w:w="109"/>
        <w:gridCol w:w="935"/>
        <w:gridCol w:w="109"/>
        <w:gridCol w:w="109"/>
        <w:gridCol w:w="109"/>
        <w:gridCol w:w="109"/>
        <w:gridCol w:w="155"/>
      </w:tblGrid>
      <w:tr>
        <w:trPr/>
        <w:tc>
          <w:tcPr>
            <w:tcW w:w="56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59" w:type="dxa"/>
            <w:gridSpan w:val="10"/>
            <w:tcBorders>
              <w:bottom w:val="single" w:sz="2" w:space="0" w:color="1F2668"/>
            </w:tcBorders>
            <w:tcMar>
              <w:bottom w:w="70" w:type="dxa"/>
            </w:tcMar>
            <w:vAlign w:val="center"/>
          </w:tcPr>
          <w:p>
            <w:pPr>
              <w:pStyle w:val="TableContents"/>
              <w:bidi w:val="0"/>
              <w:spacing w:before="0" w:after="0"/>
              <w:jc w:val="right"/>
              <w:rPr/>
            </w:pPr>
            <w:r>
              <w:rPr>
                <w:spacing w:val="2"/>
              </w:rPr>
              <w:t>Year Ended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1F2668"/>
            </w:tcBorders>
            <w:tcMar>
              <w:bottom w:w="70"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9"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2" w:type="dxa"/>
            <w:gridSpan w:val="4"/>
            <w:tcBorders>
              <w:bottom w:val="single" w:sz="2" w:space="0" w:color="1F2668"/>
            </w:tcBorders>
            <w:tcMar>
              <w:bottom w:w="70" w:type="dxa"/>
            </w:tcMar>
            <w:vAlign w:val="center"/>
          </w:tcPr>
          <w:p>
            <w:pPr>
              <w:pStyle w:val="TableContents"/>
              <w:bidi w:val="0"/>
              <w:spacing w:before="0" w:after="0"/>
              <w:jc w:val="right"/>
              <w:rPr/>
            </w:pPr>
            <w:r>
              <w:rPr>
                <w:spacing w:val="2"/>
              </w:rPr>
              <w:t>2022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Marketing, general and administrative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111,389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93,798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Transaction related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1,099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409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Loan loss and other investment reserves, net of recoveries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6,890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101,211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89,207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Loss on early extinguishment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870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Investment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(34,705)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(81,113)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SUMMIT operator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(118,260)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(89,048)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Non-building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(44,568)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(47,161)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0"/>
              <w:jc w:val="left"/>
              <w:rPr>
                <w:b/>
                <w:color w:val="1F2668"/>
              </w:rPr>
            </w:pPr>
            <w:r>
              <w:rPr>
                <w:b/>
                <w:color w:val="1F2668"/>
              </w:rPr>
              <w:t>Net operating income (NOI)</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w:t>
            </w:r>
          </w:p>
        </w:tc>
        <w:tc>
          <w:tcPr>
            <w:tcW w:w="1035"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348,432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362,898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Equity in net loss from unconsolidated joint venture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(76,509)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(57,958)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depreciation and amortization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266,340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241,127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amortization of deferred financing 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12,005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12,031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interest expense, net of 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272,217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209,182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loss on early extinguishment of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325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investment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(1,271)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(1,420)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non-building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(14,336)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(7,232)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0"/>
              <w:jc w:val="left"/>
              <w:rPr>
                <w:b/>
                <w:color w:val="1F2668"/>
              </w:rPr>
            </w:pPr>
            <w:r>
              <w:rPr>
                <w:b/>
                <w:color w:val="1F2668"/>
              </w:rPr>
              <w:t>NOI including SLG share of unconsolidated JVs</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w:t>
            </w:r>
          </w:p>
        </w:tc>
        <w:tc>
          <w:tcPr>
            <w:tcW w:w="1035"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806,878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758,953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NOI from other properties/affiliates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(110,012)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(69,939)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0"/>
              <w:jc w:val="left"/>
              <w:rPr>
                <w:b/>
                <w:color w:val="1F2668"/>
              </w:rPr>
            </w:pPr>
            <w:r>
              <w:rPr>
                <w:b/>
                <w:color w:val="1F2668"/>
              </w:rPr>
              <w:t>Same-Store NOI</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w:t>
            </w:r>
          </w:p>
        </w:tc>
        <w:tc>
          <w:tcPr>
            <w:tcW w:w="1035"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696,866</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689,014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Straight-line and free 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(10,049)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(5,933)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Amortization of acquired above and below-market leases,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53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(22)</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pPr>
            <w:r>
              <w:rPr>
                <w:spacing w:val="-2"/>
              </w:rPr>
              <w:t>Operating lease straight-line adjustment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815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815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straight-line and free 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(20,087)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(48,207)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amortization of acquired above and below-market leases,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(17,938)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(17,598)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ground lease straight-line adjustment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678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770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0"/>
              <w:jc w:val="left"/>
              <w:rPr>
                <w:b/>
                <w:color w:val="1F2668"/>
              </w:rPr>
            </w:pPr>
            <w:r>
              <w:rPr>
                <w:b/>
                <w:color w:val="1F2668"/>
              </w:rPr>
              <w:t>Same-store cash NOI</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w:t>
            </w:r>
          </w:p>
        </w:tc>
        <w:tc>
          <w:tcPr>
            <w:tcW w:w="1035" w:type="dxa"/>
            <w:tcBorders>
              <w:bottom w:val="single" w:sz="2" w:space="0" w:color="4B5088"/>
            </w:tcBorders>
            <w:tcMar>
              <w:bottom w:w="35" w:type="dxa"/>
            </w:tcMar>
            <w:vAlign w:val="center"/>
          </w:tcPr>
          <w:p>
            <w:pPr>
              <w:pStyle w:val="TableContents"/>
              <w:bidi w:val="0"/>
              <w:spacing w:before="0" w:after="0"/>
              <w:jc w:val="right"/>
              <w:rPr>
                <w:b/>
                <w:color w:val="1F2668"/>
              </w:rPr>
            </w:pPr>
            <w:r>
              <w:rPr>
                <w:b/>
                <w:color w:val="1F2668"/>
              </w:rPr>
              <w:t>650,338</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618,839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Lease termination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(3,622)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 xml:space="preserve">(1,199)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4B5088"/>
            </w:tcBorders>
            <w:tcMar>
              <w:bottom w:w="35" w:type="dxa"/>
            </w:tcMar>
            <w:vAlign w:val="center"/>
          </w:tcPr>
          <w:p>
            <w:pPr>
              <w:pStyle w:val="TableContents"/>
              <w:bidi w:val="0"/>
              <w:spacing w:before="0" w:after="283"/>
              <w:jc w:val="left"/>
              <w:rPr>
                <w:spacing w:val="-2"/>
              </w:rPr>
            </w:pPr>
            <w:r>
              <w:rPr>
                <w:spacing w:val="-2"/>
              </w:rPr>
              <w:t xml:space="preserve">SLG share of unconsolidated JV lease termination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226" w:type="dxa"/>
            <w:tcBorders>
              <w:bottom w:val="single" w:sz="2" w:space="0" w:color="4B5088"/>
            </w:tcBorders>
            <w:tcMar>
              <w:bottom w:w="35" w:type="dxa"/>
            </w:tcMar>
            <w:vAlign w:val="center"/>
          </w:tcPr>
          <w:p>
            <w:pPr>
              <w:pStyle w:val="TableContents"/>
              <w:bidi w:val="0"/>
              <w:spacing w:before="0" w:after="283"/>
              <w:jc w:val="right"/>
              <w:rPr/>
            </w:pPr>
            <w:r>
              <w:rPr/>
              <w:t>​</w:t>
            </w:r>
          </w:p>
        </w:tc>
        <w:tc>
          <w:tcPr>
            <w:tcW w:w="1035" w:type="dxa"/>
            <w:tcBorders>
              <w:bottom w:val="single" w:sz="2" w:space="0" w:color="4B5088"/>
            </w:tcBorders>
            <w:tcMar>
              <w:bottom w:w="35" w:type="dxa"/>
            </w:tcMar>
            <w:vAlign w:val="center"/>
          </w:tcPr>
          <w:p>
            <w:pPr>
              <w:pStyle w:val="TableContents"/>
              <w:bidi w:val="0"/>
              <w:spacing w:before="0" w:after="283"/>
              <w:jc w:val="right"/>
              <w:rPr/>
            </w:pPr>
            <w:r>
              <w:rPr/>
              <w:t xml:space="preserve">(2,265) </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4B5088"/>
            </w:tcBorders>
            <w:tcMar>
              <w:bottom w:w="35" w:type="dxa"/>
            </w:tcMar>
            <w:vAlign w:val="center"/>
          </w:tcPr>
          <w:p>
            <w:pPr>
              <w:pStyle w:val="TableContents"/>
              <w:bidi w:val="0"/>
              <w:spacing w:before="0" w:after="283"/>
              <w:jc w:val="right"/>
              <w:rPr/>
            </w:pPr>
            <w:r>
              <w:rPr/>
              <w:t>​</w:t>
            </w:r>
          </w:p>
        </w:tc>
        <w:tc>
          <w:tcPr>
            <w:tcW w:w="935" w:type="dxa"/>
            <w:tcBorders>
              <w:bottom w:val="single" w:sz="2" w:space="0" w:color="4B5088"/>
            </w:tcBorders>
            <w:tcMar>
              <w:bottom w:w="35" w:type="dxa"/>
            </w:tcMar>
            <w:vAlign w:val="center"/>
          </w:tcPr>
          <w:p>
            <w:pPr>
              <w:pStyle w:val="TableContents"/>
              <w:bidi w:val="0"/>
              <w:spacing w:before="0" w:after="283"/>
              <w:jc w:val="right"/>
              <w:rPr/>
            </w:pPr>
            <w:r>
              <w:rPr/>
              <w:t>(8,515)</w:t>
            </w:r>
          </w:p>
        </w:tc>
        <w:tc>
          <w:tcPr>
            <w:tcW w:w="109" w:type="dxa"/>
            <w:tcBorders>
              <w:bottom w:val="single" w:sz="2" w:space="0" w:color="4B508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5646" w:type="dxa"/>
            <w:tcBorders>
              <w:bottom w:val="single" w:sz="2" w:space="0" w:color="1F2668"/>
            </w:tcBorders>
            <w:tcMar>
              <w:bottom w:w="35" w:type="dxa"/>
            </w:tcMar>
            <w:vAlign w:val="center"/>
          </w:tcPr>
          <w:p>
            <w:pPr>
              <w:pStyle w:val="TableContents"/>
              <w:bidi w:val="0"/>
              <w:spacing w:before="0" w:after="283"/>
              <w:jc w:val="left"/>
              <w:rPr/>
            </w:pPr>
            <w:r>
              <w:rPr/>
              <w:t>Same-store cash NOI excluding lease termination income</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226" w:type="dxa"/>
            <w:tcBorders>
              <w:bottom w:val="single" w:sz="2" w:space="0" w:color="1F2668"/>
            </w:tcBorders>
            <w:tcMar>
              <w:bottom w:w="35" w:type="dxa"/>
            </w:tcMar>
            <w:vAlign w:val="center"/>
          </w:tcPr>
          <w:p>
            <w:pPr>
              <w:pStyle w:val="TableContents"/>
              <w:bidi w:val="0"/>
              <w:spacing w:before="0" w:after="283"/>
              <w:jc w:val="right"/>
              <w:rPr/>
            </w:pPr>
            <w:r>
              <w:rPr/>
              <w:t>$</w:t>
            </w:r>
          </w:p>
        </w:tc>
        <w:tc>
          <w:tcPr>
            <w:tcW w:w="1035" w:type="dxa"/>
            <w:tcBorders>
              <w:bottom w:val="single" w:sz="2" w:space="0" w:color="1F2668"/>
            </w:tcBorders>
            <w:tcMar>
              <w:bottom w:w="35" w:type="dxa"/>
            </w:tcMar>
            <w:vAlign w:val="center"/>
          </w:tcPr>
          <w:p>
            <w:pPr>
              <w:pStyle w:val="TableContents"/>
              <w:bidi w:val="0"/>
              <w:spacing w:before="0" w:after="283"/>
              <w:jc w:val="right"/>
              <w:rPr/>
            </w:pPr>
            <w:r>
              <w:rPr/>
              <w:t>644,451</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1F2668"/>
            </w:tcBorders>
            <w:tcMar>
              <w:bottom w:w="35" w:type="dxa"/>
            </w:tcMar>
            <w:vAlign w:val="center"/>
          </w:tcPr>
          <w:p>
            <w:pPr>
              <w:pStyle w:val="TableContents"/>
              <w:bidi w:val="0"/>
              <w:spacing w:before="0" w:after="0"/>
              <w:jc w:val="right"/>
              <w:rPr>
                <w:color w:val="000000"/>
              </w:rPr>
            </w:pPr>
            <w:r>
              <w:rPr>
                <w:color w:val="000000"/>
              </w:rPr>
              <w:t>​</w:t>
            </w:r>
          </w:p>
        </w:tc>
        <w:tc>
          <w:tcPr>
            <w:tcW w:w="935" w:type="dxa"/>
            <w:tcBorders>
              <w:bottom w:val="single" w:sz="2" w:space="0" w:color="1F2668"/>
            </w:tcBorders>
            <w:tcMar>
              <w:bottom w:w="35" w:type="dxa"/>
            </w:tcMar>
            <w:vAlign w:val="center"/>
          </w:tcPr>
          <w:p>
            <w:pPr>
              <w:pStyle w:val="TableContents"/>
              <w:bidi w:val="0"/>
              <w:spacing w:before="0" w:after="0"/>
              <w:jc w:val="right"/>
              <w:rPr>
                <w:b w:val="false"/>
                <w:color w:val="000000"/>
              </w:rPr>
            </w:pPr>
            <w:r>
              <w:rPr>
                <w:b w:val="false"/>
                <w:color w:val="000000"/>
              </w:rPr>
              <w:t>609,125</w:t>
            </w:r>
          </w:p>
        </w:tc>
        <w:tc>
          <w:tcPr>
            <w:tcW w:w="109" w:type="dxa"/>
            <w:tcBorders>
              <w:bottom w:val="single" w:sz="2" w:space="0" w:color="1F2668"/>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9305" w:type="dxa"/>
            <w:gridSpan w:val="17"/>
            <w:tcBorders/>
            <w:vAlign w:val="center"/>
          </w:tcPr>
          <w:p>
            <w:pPr>
              <w:pStyle w:val="TableContents"/>
              <w:bidi w:val="0"/>
              <w:spacing w:before="0" w:after="283"/>
              <w:jc w:val="left"/>
              <w:rPr/>
            </w:pPr>
            <w:r>
              <w:rPr/>
              <w:t>​</w:t>
            </w:r>
          </w:p>
        </w:tc>
      </w:tr>
    </w:tbl>
    <w:p>
      <w:pPr>
        <w:pStyle w:val="TextBody"/>
        <w:bidi w:val="0"/>
        <w:spacing w:lineRule="atLeast" w:line="220" w:before="337" w:after="283"/>
        <w:ind w:left="900" w:right="0" w:hanging="0"/>
        <w:jc w:val="left"/>
        <w:rPr>
          <w:rFonts w:ascii="Arial;Helvetica;sans-serif" w:hAnsi="Arial;Helvetica;sans-serif"/>
          <w:b/>
          <w:i/>
          <w:caps w:val="false"/>
          <w:smallCaps w:val="false"/>
          <w:color w:val="1F2668"/>
          <w:sz w:val="18"/>
        </w:rPr>
      </w:pPr>
      <w:r>
        <w:rPr>
          <w:rFonts w:ascii="Arial;Helvetica;sans-serif" w:hAnsi="Arial;Helvetica;sans-serif"/>
          <w:b/>
          <w:i/>
          <w:caps w:val="false"/>
          <w:smallCaps w:val="false"/>
          <w:color w:val="1F2668"/>
          <w:sz w:val="18"/>
        </w:rPr>
        <w:t>Notes:</w:t>
      </w:r>
      <w:r>
        <w:rPr>
          <w:rFonts w:ascii="Arial;Helvetica;sans-serif" w:hAnsi="Arial;Helvetica;sans-serif"/>
          <w:b/>
          <w:i/>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u w:val="single"/>
        </w:rPr>
        <w:t>Funds from Operations and Normalized Funds from Operations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48" w:type="dxa"/>
        <w:jc w:val="left"/>
        <w:tblInd w:w="900" w:type="dxa"/>
        <w:tblLayout w:type="fixed"/>
        <w:tblCellMar>
          <w:top w:w="0" w:type="dxa"/>
          <w:left w:w="0" w:type="dxa"/>
          <w:bottom w:w="0" w:type="dxa"/>
          <w:right w:w="0" w:type="dxa"/>
        </w:tblCellMar>
      </w:tblPr>
      <w:tblGrid>
        <w:gridCol w:w="124"/>
        <w:gridCol w:w="481"/>
        <w:gridCol w:w="109"/>
        <w:gridCol w:w="109"/>
        <w:gridCol w:w="4171"/>
        <w:gridCol w:w="154"/>
      </w:tblGrid>
      <w:tr>
        <w:trPr/>
        <w:tc>
          <w:tcPr>
            <w:tcW w:w="124"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t>A-4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71" w:type="dxa"/>
            <w:tcBorders/>
            <w:vAlign w:val="center"/>
          </w:tcPr>
          <w:p>
            <w:pPr>
              <w:pStyle w:val="TableContents"/>
              <w:bidi w:val="0"/>
              <w:spacing w:lineRule="atLeast" w:line="200" w:before="0" w:after="0"/>
              <w:jc w:val="left"/>
              <w:rPr>
                <w:sz w:val="16"/>
              </w:rPr>
            </w:pPr>
            <w:r>
              <w:rPr>
                <w:sz w:val="16"/>
              </w:rPr>
              <w:t>SL GREEN REALTY CORP. 2024 PROXY STATEMENT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560" w:after="154"/>
        <w:ind w:left="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indication of our financial performance or to cash flow from operating activities (determined in accordance with GAAP) as a measure of our liquidity, nor is it indicative of funds available to fund our cash needs, including our ability to make cash distributions.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also present Normalized FFO, defined as FFO excluding the impact of discrete transactions (set forth in the table above) that impacted FFO in 2023, which we present to enhance the comparability of our FFO across periods.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u w:val="single"/>
        </w:rPr>
        <w:t>Funds Available for Distribution and Normalized Funds Available for Distribution</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 xml:space="preserve">Funds Available for Distribution, or 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cycle tenant improvement and leasing costs, and recurring capital expenditures.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FAD is not intended to represent cash flow for the period and is not indicative of cash flow provided by operating activities as determined in accordance with GAAP. FAD is presented solely as a supplemental disclosure with respect to liquidity because the Company believes it provides useful information regarding the Company’s ability to fund its dividends.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also present Normalized FAD, defined as FAD excluding the impact of discrete transactions (set forth in the table above) that impacted FAD in 2023, which we present to enhance the comparability of our FAD across periods.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u w:val="single"/>
        </w:rPr>
        <w:t>Same-Store Cash Net Operating Income</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Net Operating Income, or 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We present NOI and Cash NOI because we believe that these measures, when taken together with the corresponding GAAP financial measures and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 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Same-Store refers to properties owned in the same manner during both the current and prior year, excluding development and redevelopment properties that are not stabilized for both the current and prior year.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2"/>
          <w:sz w:val="18"/>
        </w:rPr>
        <w:t>SLG Share of Unconsolidated JV is computed by multiplying the referenced line item by the Company’s percentage ownership or economic interest in the respective joint ventures and may not accurately depict the legal and economic implications of holding a non-controlling interest in the respective joint ventures.</w:t>
      </w:r>
      <w:r>
        <w:rPr>
          <w:rFonts w:ascii="Arial;Helvetica;sans-serif" w:hAnsi="Arial;Helvetic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120" w:after="283"/>
        <w:ind w:left="1393" w:right="0" w:hanging="0"/>
        <w:jc w:val="center"/>
        <w:rPr>
          <w:caps w:val="false"/>
          <w:smallCaps w:val="false"/>
          <w:color w:val="000000"/>
        </w:rPr>
      </w:pPr>
      <w:r>
        <w:rPr>
          <w:caps w:val="false"/>
          <w:smallCaps w:val="false"/>
          <w:color w:val="000000"/>
        </w:rPr>
        <w:drawing>
          <wp:inline distT="0" distB="0" distL="0" distR="0">
            <wp:extent cx="1409700" cy="409575"/>
            <wp:effectExtent l="0" t="0" r="0" b="0"/>
            <wp:docPr id="983"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 name="Image294" descr=""/>
                    <pic:cNvPicPr>
                      <a:picLocks noChangeAspect="1" noChangeArrowheads="1"/>
                    </pic:cNvPicPr>
                  </pic:nvPicPr>
                  <pic:blipFill>
                    <a:blip r:embed="rId394"/>
                    <a:stretch>
                      <a:fillRect/>
                    </a:stretch>
                  </pic:blipFill>
                  <pic:spPr bwMode="auto">
                    <a:xfrm>
                      <a:off x="0" y="0"/>
                      <a:ext cx="1409700" cy="409575"/>
                    </a:xfrm>
                    <a:prstGeom prst="rect">
                      <a:avLst/>
                    </a:prstGeom>
                  </pic:spPr>
                </pic:pic>
              </a:graphicData>
            </a:graphic>
          </wp:inline>
        </w:drawing>
      </w:r>
      <w:r>
        <w:rPr>
          <w:caps w:val="false"/>
          <w:smallCaps w:val="false"/>
          <w:color w:val="000000"/>
        </w:rPr>
        <w:t xml:space="preserve"> </w:t>
      </w:r>
    </w:p>
    <w:p>
      <w:pPr>
        <w:pStyle w:val="TextBody"/>
        <w:bidi w:val="0"/>
        <w:spacing w:lineRule="atLeast" w:line="340" w:before="280" w:after="283"/>
        <w:jc w:val="center"/>
        <w:rPr>
          <w:rFonts w:ascii="Arial;Helvetica;sans-serif" w:hAnsi="Arial;Helvetica;sans-serif"/>
          <w:b/>
          <w:i w:val="false"/>
          <w:caps w:val="false"/>
          <w:smallCaps w:val="false"/>
          <w:color w:val="1F2668"/>
          <w:sz w:val="18"/>
        </w:rPr>
      </w:pPr>
      <w:r>
        <w:rPr>
          <w:rFonts w:ascii="Arial;Helvetica;sans-serif" w:hAnsi="Arial;Helvetica;sans-serif"/>
          <w:b/>
          <w:i w:val="false"/>
          <w:caps w:val="false"/>
          <w:smallCaps w:val="false"/>
          <w:color w:val="1F2668"/>
          <w:sz w:val="18"/>
        </w:rPr>
        <w:t xml:space="preserve">SL Green Realty Corp. </w:t>
        <w:br/>
        <w:t xml:space="preserve">One Vanderbilt Avenue, </w:t>
        <w:br/>
        <w:t xml:space="preserve">New York, NY 10017 </w:t>
        <w:br/>
        <w:t>212 594 2700 | slgreen.com</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84"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295" descr=""/>
                    <pic:cNvPicPr>
                      <a:picLocks noChangeAspect="1" noChangeArrowheads="1"/>
                    </pic:cNvPicPr>
                  </pic:nvPicPr>
                  <pic:blipFill>
                    <a:blip r:embed="rId39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[PLEASE SIGN WITHIN BOX] Date Signature (Joint Owners) DateTO VOTE, MARK BLOCKS BELOW IN BLUE OR BLACK INK AS FOLLOWS:KEEP THIS PORTION FOR YOUR RECORDSTHIS PROXY CARD IS VALID ONLY WHEN SIGNED AND DATED. DETACH AND RETURN THIS PORTION ONLYV39705-P07048For Against AbstainFor Against Abstain! ! !! ! !! ! !! ! !! ! !! ! !! ! !! ! !! ! !SL GREEN REALTY CORP.ONE VANDERBILT AVENUENEW YORK, NY 100171. Election of DirectorsNominees:The Board of Directors recommends you vote FOR thefollowing:1b. Carol N. Brown1a. John H. Alschuler1c. Lauren B. Dillard1d. Stephen L. Green1e. Craig M. Hatkoff1g. Andrew W. Mathias1f. Marc Holliday2. To approve, on a non-binding advisory basis, our executivecompensation.The Board of Directors recommends you vote FOR thefollowing proposals:NOTE: The proxies are authorized to vote in their discretionupon such other business as may properly come before theAnnual Meeting, including any adjournments or postponementsthereof.The undersigned hereby acknowledge(s) receipt of the Noticeof the Annual Meeting of Stockholders, the terms of which areincorporated herein by reference, and revoke(s) any proxy orproxies heretofore given with respect to the Annual Meeting.This proxy may be revoked at any time prior to the timevoting is declared closed by giving the corporate secretary ofSL Green Realty Corp. written notice of revocation or by asubsequently dated proxy, or by casting a ballot at the AnnualMeeting.This solicitation of proxies is made by and on behalf of theBoard. The validity of this proxy is governed by the MarylandGeneral Corporation Law and applicable federal securities laws.This proxy does not revoke any prior powers of attorney exceptfor prior proxies given in connection with the Annual Meeting.3. To ratify the appointment of Deloitte &amp; Touche LLP asour independent registered public accounting firm forthe fiscal year ending December 31, 2024.SL GREEN REALTY CORP.SCAN TOVIEW MATERIALS &amp; VOTE wAUTHORIZE YOUR PROXY BY INTERNET - www.proxyvote.comUse the Internet to transmit your voting instructions and for electronic delivery ofinformation. Vote by 11:59 p.m. Eastern Time on June 2, 2024. Have your proxycard in hand when you access the web site and follow the instructions to obtainyour records and to create an electronic voting instruction form.AUTHORIZE YOUR PROXY BY PHONE - 1-800-690-6903Use any touch-tone telephone to transmit your voting instructions. Vote by11:59 p.m. Eastern Time on June 2, 2024. Have your proxy card in hand whenyou call and then follow the instructions.AUTHORIZE YOUR PROXY BY MAILMark, sign and date your proxy card and return it in the postage-paid envelope wehave provided or return it to Vote Processing, c/o Broadridge, 51 Mercedes Way,Edgewood, NY 11717.</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85"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296" descr=""/>
                    <pic:cNvPicPr>
                      <a:picLocks noChangeAspect="1" noChangeArrowheads="1"/>
                    </pic:cNvPicPr>
                  </pic:nvPicPr>
                  <pic:blipFill>
                    <a:blip r:embed="rId39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Important Notice Regarding the Availability of Proxy Materials for the Annual Meetingto be Held on June 3, 2024: The Notice and Proxy Statement and 2023 Annual Report are available atwww.proxyvote.com. V39706-P07048SL GREEN REALTY CORP.THIS PROXY IS SOLICITED ON BEHALF OF THE BOARD OF DIRECTORSThe undersigned stockholder(s) hereby appoint(s) Marc Holliday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theAnnual Meeting of Stockholders to be held at the Auditorium at One Vanderbilt, One Vanderbilt Avenue, New York, NY 10017 at 10:00 A.M., Eastern Time on Monday, June 3, 2024 and any adjournment or postponement thereof.THIS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AND FOR PROPOSALS 2 AND 3.PLEASE MARK, SIGN AND DATE AND RETURN THIS PROXY CARD PROMPTLY USING THE ENCLOSED REPLY ENVELOPE.Continued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7.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3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image" Target="media/image39.jpeg"/><Relationship Id="rId54" Type="http://schemas.openxmlformats.org/officeDocument/2006/relationships/image" Target="media/image1.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3.jpeg"/><Relationship Id="rId59" Type="http://schemas.openxmlformats.org/officeDocument/2006/relationships/image" Target="media/image6.jpeg"/><Relationship Id="rId60" Type="http://schemas.openxmlformats.org/officeDocument/2006/relationships/image" Target="media/image7.jpeg"/><Relationship Id="rId61" Type="http://schemas.openxmlformats.org/officeDocument/2006/relationships/image" Target="media/image5.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4.jpeg"/><Relationship Id="rId65" Type="http://schemas.openxmlformats.org/officeDocument/2006/relationships/image" Target="media/image4.jpeg"/><Relationship Id="rId66" Type="http://schemas.openxmlformats.org/officeDocument/2006/relationships/image" Target="media/image4.jpeg"/><Relationship Id="rId67" Type="http://schemas.openxmlformats.org/officeDocument/2006/relationships/image" Target="media/image43.jpeg"/><Relationship Id="rId68" Type="http://schemas.openxmlformats.org/officeDocument/2006/relationships/image" Target="media/image44.jpeg"/><Relationship Id="rId69" Type="http://schemas.openxmlformats.org/officeDocument/2006/relationships/image" Target="media/image45.jpeg"/><Relationship Id="rId70" Type="http://schemas.openxmlformats.org/officeDocument/2006/relationships/image" Target="media/image46.jpeg"/><Relationship Id="rId71" Type="http://schemas.openxmlformats.org/officeDocument/2006/relationships/image" Target="media/image47.gif"/><Relationship Id="rId72" Type="http://schemas.openxmlformats.org/officeDocument/2006/relationships/hyperlink" Target="#tPR3"/><Relationship Id="rId73" Type="http://schemas.openxmlformats.org/officeDocument/2006/relationships/image" Target="media/image47.gif"/><Relationship Id="rId74" Type="http://schemas.openxmlformats.org/officeDocument/2006/relationships/hyperlink" Target="#tPR3"/><Relationship Id="rId75" Type="http://schemas.openxmlformats.org/officeDocument/2006/relationships/image" Target="media/image47.gif"/><Relationship Id="rId76" Type="http://schemas.openxmlformats.org/officeDocument/2006/relationships/hyperlink" Target="#tPR1"/><Relationship Id="rId77" Type="http://schemas.openxmlformats.org/officeDocument/2006/relationships/image" Target="media/image47.gif"/><Relationship Id="rId78" Type="http://schemas.openxmlformats.org/officeDocument/2006/relationships/hyperlink" Target="#tPR2"/><Relationship Id="rId79" Type="http://schemas.openxmlformats.org/officeDocument/2006/relationships/image" Target="media/image47.gif"/><Relationship Id="rId80" Type="http://schemas.openxmlformats.org/officeDocument/2006/relationships/hyperlink" Target="#tPR1"/><Relationship Id="rId81" Type="http://schemas.openxmlformats.org/officeDocument/2006/relationships/image" Target="media/image47.gif"/><Relationship Id="rId82" Type="http://schemas.openxmlformats.org/officeDocument/2006/relationships/hyperlink" Target="#tPR2"/><Relationship Id="rId83" Type="http://schemas.openxmlformats.org/officeDocument/2006/relationships/image" Target="media/image4.jpeg"/><Relationship Id="rId84" Type="http://schemas.openxmlformats.org/officeDocument/2006/relationships/image" Target="media/image48.jpeg"/><Relationship Id="rId85" Type="http://schemas.openxmlformats.org/officeDocument/2006/relationships/image" Target="media/image49.jpeg"/><Relationship Id="rId86" Type="http://schemas.openxmlformats.org/officeDocument/2006/relationships/image" Target="media/image50.jpeg"/><Relationship Id="rId87" Type="http://schemas.openxmlformats.org/officeDocument/2006/relationships/image" Target="media/image49.jpeg"/><Relationship Id="rId88" Type="http://schemas.openxmlformats.org/officeDocument/2006/relationships/image" Target="media/image51.jpeg"/><Relationship Id="rId89" Type="http://schemas.openxmlformats.org/officeDocument/2006/relationships/image" Target="media/image49.jpeg"/><Relationship Id="rId90" Type="http://schemas.openxmlformats.org/officeDocument/2006/relationships/image" Target="media/image52.jpeg"/><Relationship Id="rId91" Type="http://schemas.openxmlformats.org/officeDocument/2006/relationships/image" Target="media/image53.jpeg"/><Relationship Id="rId92" Type="http://schemas.openxmlformats.org/officeDocument/2006/relationships/image" Target="media/image49.jpeg"/><Relationship Id="rId93" Type="http://schemas.openxmlformats.org/officeDocument/2006/relationships/image" Target="media/image54.jpeg"/><Relationship Id="rId94" Type="http://schemas.openxmlformats.org/officeDocument/2006/relationships/image" Target="media/image55.jpeg"/><Relationship Id="rId95" Type="http://schemas.openxmlformats.org/officeDocument/2006/relationships/image" Target="media/image56.jpeg"/><Relationship Id="rId96" Type="http://schemas.openxmlformats.org/officeDocument/2006/relationships/image" Target="media/image49.jpeg"/><Relationship Id="rId97" Type="http://schemas.openxmlformats.org/officeDocument/2006/relationships/image" Target="media/image49.jpeg"/><Relationship Id="rId98" Type="http://schemas.openxmlformats.org/officeDocument/2006/relationships/image" Target="media/image49.jpeg"/><Relationship Id="rId99" Type="http://schemas.openxmlformats.org/officeDocument/2006/relationships/image" Target="media/image49.jpeg"/><Relationship Id="rId100" Type="http://schemas.openxmlformats.org/officeDocument/2006/relationships/image" Target="media/image49.jpeg"/><Relationship Id="rId101" Type="http://schemas.openxmlformats.org/officeDocument/2006/relationships/image" Target="media/image49.jpeg"/><Relationship Id="rId102" Type="http://schemas.openxmlformats.org/officeDocument/2006/relationships/image" Target="media/image57.jpeg"/><Relationship Id="rId103" Type="http://schemas.openxmlformats.org/officeDocument/2006/relationships/image" Target="media/image49.jpeg"/><Relationship Id="rId104" Type="http://schemas.openxmlformats.org/officeDocument/2006/relationships/image" Target="media/image49.jpeg"/><Relationship Id="rId105" Type="http://schemas.openxmlformats.org/officeDocument/2006/relationships/image" Target="media/image49.jpeg"/><Relationship Id="rId106" Type="http://schemas.openxmlformats.org/officeDocument/2006/relationships/image" Target="media/image49.jpeg"/><Relationship Id="rId107" Type="http://schemas.openxmlformats.org/officeDocument/2006/relationships/image" Target="media/image49.jpeg"/><Relationship Id="rId108" Type="http://schemas.openxmlformats.org/officeDocument/2006/relationships/image" Target="media/image49.jpeg"/><Relationship Id="rId109" Type="http://schemas.openxmlformats.org/officeDocument/2006/relationships/image" Target="media/image58.jpeg"/><Relationship Id="rId110" Type="http://schemas.openxmlformats.org/officeDocument/2006/relationships/image" Target="media/image49.jpeg"/><Relationship Id="rId111" Type="http://schemas.openxmlformats.org/officeDocument/2006/relationships/image" Target="media/image49.jpeg"/><Relationship Id="rId112" Type="http://schemas.openxmlformats.org/officeDocument/2006/relationships/image" Target="media/image49.jpeg"/><Relationship Id="rId113" Type="http://schemas.openxmlformats.org/officeDocument/2006/relationships/image" Target="media/image49.jpeg"/><Relationship Id="rId114" Type="http://schemas.openxmlformats.org/officeDocument/2006/relationships/image" Target="media/image49.jpeg"/><Relationship Id="rId115" Type="http://schemas.openxmlformats.org/officeDocument/2006/relationships/image" Target="media/image49.jpeg"/><Relationship Id="rId116" Type="http://schemas.openxmlformats.org/officeDocument/2006/relationships/image" Target="media/image49.jpeg"/><Relationship Id="rId117" Type="http://schemas.openxmlformats.org/officeDocument/2006/relationships/image" Target="media/image13.jpeg"/><Relationship Id="rId118" Type="http://schemas.openxmlformats.org/officeDocument/2006/relationships/image" Target="media/image49.jpeg"/><Relationship Id="rId119" Type="http://schemas.openxmlformats.org/officeDocument/2006/relationships/image" Target="media/image49.jpeg"/><Relationship Id="rId120" Type="http://schemas.openxmlformats.org/officeDocument/2006/relationships/image" Target="media/image49.jpeg"/><Relationship Id="rId121" Type="http://schemas.openxmlformats.org/officeDocument/2006/relationships/image" Target="media/image41.jpeg"/><Relationship Id="rId122" Type="http://schemas.openxmlformats.org/officeDocument/2006/relationships/image" Target="media/image49.jpeg"/><Relationship Id="rId123" Type="http://schemas.openxmlformats.org/officeDocument/2006/relationships/image" Target="media/image49.jpeg"/><Relationship Id="rId124" Type="http://schemas.openxmlformats.org/officeDocument/2006/relationships/image" Target="media/image49.jpeg"/><Relationship Id="rId125" Type="http://schemas.openxmlformats.org/officeDocument/2006/relationships/image" Target="media/image49.jpeg"/><Relationship Id="rId126" Type="http://schemas.openxmlformats.org/officeDocument/2006/relationships/image" Target="media/image49.jpeg"/><Relationship Id="rId127" Type="http://schemas.openxmlformats.org/officeDocument/2006/relationships/image" Target="media/image49.jpeg"/><Relationship Id="rId128" Type="http://schemas.openxmlformats.org/officeDocument/2006/relationships/image" Target="media/image49.jpeg"/><Relationship Id="rId129" Type="http://schemas.openxmlformats.org/officeDocument/2006/relationships/image" Target="media/image59.jpeg"/><Relationship Id="rId130" Type="http://schemas.openxmlformats.org/officeDocument/2006/relationships/image" Target="media/image49.jpeg"/><Relationship Id="rId131" Type="http://schemas.openxmlformats.org/officeDocument/2006/relationships/image" Target="media/image49.jpeg"/><Relationship Id="rId132" Type="http://schemas.openxmlformats.org/officeDocument/2006/relationships/image" Target="media/image49.jpeg"/><Relationship Id="rId133" Type="http://schemas.openxmlformats.org/officeDocument/2006/relationships/image" Target="media/image49.jpeg"/><Relationship Id="rId134" Type="http://schemas.openxmlformats.org/officeDocument/2006/relationships/image" Target="media/image49.jpeg"/><Relationship Id="rId135" Type="http://schemas.openxmlformats.org/officeDocument/2006/relationships/image" Target="media/image49.jpeg"/><Relationship Id="rId136" Type="http://schemas.openxmlformats.org/officeDocument/2006/relationships/image" Target="media/image60.jpeg"/><Relationship Id="rId137" Type="http://schemas.openxmlformats.org/officeDocument/2006/relationships/image" Target="media/image49.jpeg"/><Relationship Id="rId138" Type="http://schemas.openxmlformats.org/officeDocument/2006/relationships/image" Target="media/image49.jpeg"/><Relationship Id="rId139" Type="http://schemas.openxmlformats.org/officeDocument/2006/relationships/image" Target="media/image49.jpeg"/><Relationship Id="rId140" Type="http://schemas.openxmlformats.org/officeDocument/2006/relationships/image" Target="media/image49.jpeg"/><Relationship Id="rId141" Type="http://schemas.openxmlformats.org/officeDocument/2006/relationships/image" Target="media/image49.jpeg"/><Relationship Id="rId142" Type="http://schemas.openxmlformats.org/officeDocument/2006/relationships/image" Target="media/image49.jpeg"/><Relationship Id="rId143" Type="http://schemas.openxmlformats.org/officeDocument/2006/relationships/image" Target="media/image61.jpeg"/><Relationship Id="rId144" Type="http://schemas.openxmlformats.org/officeDocument/2006/relationships/image" Target="media/image49.jpeg"/><Relationship Id="rId145" Type="http://schemas.openxmlformats.org/officeDocument/2006/relationships/image" Target="media/image49.jpeg"/><Relationship Id="rId146" Type="http://schemas.openxmlformats.org/officeDocument/2006/relationships/image" Target="media/image49.jpeg"/><Relationship Id="rId147" Type="http://schemas.openxmlformats.org/officeDocument/2006/relationships/image" Target="media/image62.jpeg"/><Relationship Id="rId148" Type="http://schemas.openxmlformats.org/officeDocument/2006/relationships/image" Target="media/image49.jpeg"/><Relationship Id="rId149" Type="http://schemas.openxmlformats.org/officeDocument/2006/relationships/image" Target="media/image49.jpeg"/><Relationship Id="rId150" Type="http://schemas.openxmlformats.org/officeDocument/2006/relationships/image" Target="media/image63.jpeg"/><Relationship Id="rId151" Type="http://schemas.openxmlformats.org/officeDocument/2006/relationships/image" Target="media/image49.jpeg"/><Relationship Id="rId152" Type="http://schemas.openxmlformats.org/officeDocument/2006/relationships/image" Target="media/image49.jpeg"/><Relationship Id="rId153" Type="http://schemas.openxmlformats.org/officeDocument/2006/relationships/image" Target="media/image49.jpeg"/><Relationship Id="rId154" Type="http://schemas.openxmlformats.org/officeDocument/2006/relationships/image" Target="media/image49.jpeg"/><Relationship Id="rId155" Type="http://schemas.openxmlformats.org/officeDocument/2006/relationships/image" Target="media/image49.jpeg"/><Relationship Id="rId156" Type="http://schemas.openxmlformats.org/officeDocument/2006/relationships/image" Target="media/image64.jpeg"/><Relationship Id="rId157" Type="http://schemas.openxmlformats.org/officeDocument/2006/relationships/image" Target="media/image49.jpeg"/><Relationship Id="rId158" Type="http://schemas.openxmlformats.org/officeDocument/2006/relationships/image" Target="media/image49.jpeg"/><Relationship Id="rId159" Type="http://schemas.openxmlformats.org/officeDocument/2006/relationships/image" Target="media/image49.jpeg"/><Relationship Id="rId160" Type="http://schemas.openxmlformats.org/officeDocument/2006/relationships/image" Target="media/image11.jpeg"/><Relationship Id="rId161" Type="http://schemas.openxmlformats.org/officeDocument/2006/relationships/image" Target="media/image49.jpeg"/><Relationship Id="rId162" Type="http://schemas.openxmlformats.org/officeDocument/2006/relationships/image" Target="media/image49.jpeg"/><Relationship Id="rId163" Type="http://schemas.openxmlformats.org/officeDocument/2006/relationships/image" Target="media/image56.jpeg"/><Relationship Id="rId164" Type="http://schemas.openxmlformats.org/officeDocument/2006/relationships/image" Target="media/image57.jpeg"/><Relationship Id="rId165" Type="http://schemas.openxmlformats.org/officeDocument/2006/relationships/image" Target="media/image58.jpeg"/><Relationship Id="rId166" Type="http://schemas.openxmlformats.org/officeDocument/2006/relationships/image" Target="media/image13.jpeg"/><Relationship Id="rId167" Type="http://schemas.openxmlformats.org/officeDocument/2006/relationships/image" Target="media/image41.jpeg"/><Relationship Id="rId168" Type="http://schemas.openxmlformats.org/officeDocument/2006/relationships/image" Target="media/image59.jpeg"/><Relationship Id="rId169" Type="http://schemas.openxmlformats.org/officeDocument/2006/relationships/image" Target="media/image60.jpeg"/><Relationship Id="rId170" Type="http://schemas.openxmlformats.org/officeDocument/2006/relationships/image" Target="media/image61.jpeg"/><Relationship Id="rId171" Type="http://schemas.openxmlformats.org/officeDocument/2006/relationships/image" Target="media/image63.jpeg"/><Relationship Id="rId172" Type="http://schemas.openxmlformats.org/officeDocument/2006/relationships/image" Target="media/image56.jpeg"/><Relationship Id="rId173" Type="http://schemas.openxmlformats.org/officeDocument/2006/relationships/image" Target="media/image57.jpeg"/><Relationship Id="rId174" Type="http://schemas.openxmlformats.org/officeDocument/2006/relationships/image" Target="media/image58.jpeg"/><Relationship Id="rId175" Type="http://schemas.openxmlformats.org/officeDocument/2006/relationships/image" Target="media/image13.jpeg"/><Relationship Id="rId176" Type="http://schemas.openxmlformats.org/officeDocument/2006/relationships/image" Target="media/image41.jpeg"/><Relationship Id="rId177" Type="http://schemas.openxmlformats.org/officeDocument/2006/relationships/image" Target="media/image59.jpeg"/><Relationship Id="rId178" Type="http://schemas.openxmlformats.org/officeDocument/2006/relationships/image" Target="media/image60.jpeg"/><Relationship Id="rId179" Type="http://schemas.openxmlformats.org/officeDocument/2006/relationships/image" Target="media/image61.jpeg"/><Relationship Id="rId180" Type="http://schemas.openxmlformats.org/officeDocument/2006/relationships/image" Target="media/image63.jpeg"/><Relationship Id="rId181" Type="http://schemas.openxmlformats.org/officeDocument/2006/relationships/image" Target="media/image48.jpeg"/><Relationship Id="rId182" Type="http://schemas.openxmlformats.org/officeDocument/2006/relationships/image" Target="media/image48.jpeg"/><Relationship Id="rId183" Type="http://schemas.openxmlformats.org/officeDocument/2006/relationships/image" Target="media/image58.jpeg"/><Relationship Id="rId184" Type="http://schemas.openxmlformats.org/officeDocument/2006/relationships/image" Target="media/image41.jpeg"/><Relationship Id="rId185" Type="http://schemas.openxmlformats.org/officeDocument/2006/relationships/image" Target="media/image61.jpeg"/><Relationship Id="rId186" Type="http://schemas.openxmlformats.org/officeDocument/2006/relationships/image" Target="media/image63.jpeg"/><Relationship Id="rId187" Type="http://schemas.openxmlformats.org/officeDocument/2006/relationships/image" Target="media/image64.jpeg"/><Relationship Id="rId188" Type="http://schemas.openxmlformats.org/officeDocument/2006/relationships/image" Target="media/image11.jpeg"/><Relationship Id="rId189" Type="http://schemas.openxmlformats.org/officeDocument/2006/relationships/image" Target="media/image58.jpeg"/><Relationship Id="rId190" Type="http://schemas.openxmlformats.org/officeDocument/2006/relationships/image" Target="media/image41.jpeg"/><Relationship Id="rId191" Type="http://schemas.openxmlformats.org/officeDocument/2006/relationships/image" Target="media/image61.jpeg"/><Relationship Id="rId192" Type="http://schemas.openxmlformats.org/officeDocument/2006/relationships/image" Target="media/image63.jpeg"/><Relationship Id="rId193" Type="http://schemas.openxmlformats.org/officeDocument/2006/relationships/image" Target="media/image64.jpeg"/><Relationship Id="rId194" Type="http://schemas.openxmlformats.org/officeDocument/2006/relationships/image" Target="media/image11.jpeg"/><Relationship Id="rId195" Type="http://schemas.openxmlformats.org/officeDocument/2006/relationships/image" Target="media/image50.jpeg"/><Relationship Id="rId196" Type="http://schemas.openxmlformats.org/officeDocument/2006/relationships/image" Target="media/image50.jpeg"/><Relationship Id="rId197" Type="http://schemas.openxmlformats.org/officeDocument/2006/relationships/image" Target="media/image56.jpeg"/><Relationship Id="rId198" Type="http://schemas.openxmlformats.org/officeDocument/2006/relationships/image" Target="media/image57.jpeg"/><Relationship Id="rId199" Type="http://schemas.openxmlformats.org/officeDocument/2006/relationships/image" Target="media/image58.jpeg"/><Relationship Id="rId200" Type="http://schemas.openxmlformats.org/officeDocument/2006/relationships/image" Target="media/image13.jpeg"/><Relationship Id="rId201" Type="http://schemas.openxmlformats.org/officeDocument/2006/relationships/image" Target="media/image41.jpeg"/><Relationship Id="rId202" Type="http://schemas.openxmlformats.org/officeDocument/2006/relationships/image" Target="media/image59.jpeg"/><Relationship Id="rId203" Type="http://schemas.openxmlformats.org/officeDocument/2006/relationships/image" Target="media/image60.jpeg"/><Relationship Id="rId204" Type="http://schemas.openxmlformats.org/officeDocument/2006/relationships/image" Target="media/image62.jpeg"/><Relationship Id="rId205" Type="http://schemas.openxmlformats.org/officeDocument/2006/relationships/image" Target="media/image64.jpeg"/><Relationship Id="rId206" Type="http://schemas.openxmlformats.org/officeDocument/2006/relationships/image" Target="media/image11.jpeg"/><Relationship Id="rId207" Type="http://schemas.openxmlformats.org/officeDocument/2006/relationships/image" Target="media/image56.jpeg"/><Relationship Id="rId208" Type="http://schemas.openxmlformats.org/officeDocument/2006/relationships/image" Target="media/image57.jpeg"/><Relationship Id="rId209" Type="http://schemas.openxmlformats.org/officeDocument/2006/relationships/image" Target="media/image58.jpeg"/><Relationship Id="rId210" Type="http://schemas.openxmlformats.org/officeDocument/2006/relationships/image" Target="media/image13.jpeg"/><Relationship Id="rId211" Type="http://schemas.openxmlformats.org/officeDocument/2006/relationships/image" Target="media/image41.jpeg"/><Relationship Id="rId212" Type="http://schemas.openxmlformats.org/officeDocument/2006/relationships/image" Target="media/image59.jpeg"/><Relationship Id="rId213" Type="http://schemas.openxmlformats.org/officeDocument/2006/relationships/image" Target="media/image60.jpeg"/><Relationship Id="rId214" Type="http://schemas.openxmlformats.org/officeDocument/2006/relationships/image" Target="media/image62.jpeg"/><Relationship Id="rId215" Type="http://schemas.openxmlformats.org/officeDocument/2006/relationships/image" Target="media/image64.jpeg"/><Relationship Id="rId216" Type="http://schemas.openxmlformats.org/officeDocument/2006/relationships/image" Target="media/image11.jpeg"/><Relationship Id="rId217" Type="http://schemas.openxmlformats.org/officeDocument/2006/relationships/image" Target="media/image51.jpeg"/><Relationship Id="rId218" Type="http://schemas.openxmlformats.org/officeDocument/2006/relationships/image" Target="media/image51.jpeg"/><Relationship Id="rId219" Type="http://schemas.openxmlformats.org/officeDocument/2006/relationships/image" Target="media/image52.jpeg"/><Relationship Id="rId220" Type="http://schemas.openxmlformats.org/officeDocument/2006/relationships/image" Target="media/image52.jpeg"/><Relationship Id="rId221" Type="http://schemas.openxmlformats.org/officeDocument/2006/relationships/image" Target="media/image56.jpeg"/><Relationship Id="rId222" Type="http://schemas.openxmlformats.org/officeDocument/2006/relationships/image" Target="media/image57.jpeg"/><Relationship Id="rId223" Type="http://schemas.openxmlformats.org/officeDocument/2006/relationships/image" Target="media/image58.jpeg"/><Relationship Id="rId224" Type="http://schemas.openxmlformats.org/officeDocument/2006/relationships/image" Target="media/image41.jpeg"/><Relationship Id="rId225" Type="http://schemas.openxmlformats.org/officeDocument/2006/relationships/image" Target="media/image59.jpeg"/><Relationship Id="rId226" Type="http://schemas.openxmlformats.org/officeDocument/2006/relationships/image" Target="media/image60.jpeg"/><Relationship Id="rId227" Type="http://schemas.openxmlformats.org/officeDocument/2006/relationships/image" Target="media/image63.jpeg"/><Relationship Id="rId228" Type="http://schemas.openxmlformats.org/officeDocument/2006/relationships/image" Target="media/image56.jpeg"/><Relationship Id="rId229" Type="http://schemas.openxmlformats.org/officeDocument/2006/relationships/image" Target="media/image57.jpeg"/><Relationship Id="rId230" Type="http://schemas.openxmlformats.org/officeDocument/2006/relationships/image" Target="media/image58.jpeg"/><Relationship Id="rId231" Type="http://schemas.openxmlformats.org/officeDocument/2006/relationships/image" Target="media/image41.jpeg"/><Relationship Id="rId232" Type="http://schemas.openxmlformats.org/officeDocument/2006/relationships/image" Target="media/image59.jpeg"/><Relationship Id="rId233" Type="http://schemas.openxmlformats.org/officeDocument/2006/relationships/image" Target="media/image60.jpeg"/><Relationship Id="rId234" Type="http://schemas.openxmlformats.org/officeDocument/2006/relationships/image" Target="media/image63.jpeg"/><Relationship Id="rId235" Type="http://schemas.openxmlformats.org/officeDocument/2006/relationships/image" Target="media/image56.jpeg"/><Relationship Id="rId236" Type="http://schemas.openxmlformats.org/officeDocument/2006/relationships/image" Target="media/image57.jpeg"/><Relationship Id="rId237" Type="http://schemas.openxmlformats.org/officeDocument/2006/relationships/image" Target="media/image58.jpeg"/><Relationship Id="rId238" Type="http://schemas.openxmlformats.org/officeDocument/2006/relationships/image" Target="media/image13.jpeg"/><Relationship Id="rId239" Type="http://schemas.openxmlformats.org/officeDocument/2006/relationships/image" Target="media/image41.jpeg"/><Relationship Id="rId240" Type="http://schemas.openxmlformats.org/officeDocument/2006/relationships/image" Target="media/image59.jpeg"/><Relationship Id="rId241" Type="http://schemas.openxmlformats.org/officeDocument/2006/relationships/image" Target="media/image60.jpeg"/><Relationship Id="rId242" Type="http://schemas.openxmlformats.org/officeDocument/2006/relationships/image" Target="media/image61.jpeg"/><Relationship Id="rId243" Type="http://schemas.openxmlformats.org/officeDocument/2006/relationships/image" Target="media/image62.jpeg"/><Relationship Id="rId244" Type="http://schemas.openxmlformats.org/officeDocument/2006/relationships/image" Target="media/image64.jpeg"/><Relationship Id="rId245" Type="http://schemas.openxmlformats.org/officeDocument/2006/relationships/image" Target="media/image56.jpeg"/><Relationship Id="rId246" Type="http://schemas.openxmlformats.org/officeDocument/2006/relationships/image" Target="media/image57.jpeg"/><Relationship Id="rId247" Type="http://schemas.openxmlformats.org/officeDocument/2006/relationships/image" Target="media/image58.jpeg"/><Relationship Id="rId248" Type="http://schemas.openxmlformats.org/officeDocument/2006/relationships/image" Target="media/image13.jpeg"/><Relationship Id="rId249" Type="http://schemas.openxmlformats.org/officeDocument/2006/relationships/image" Target="media/image41.jpeg"/><Relationship Id="rId250" Type="http://schemas.openxmlformats.org/officeDocument/2006/relationships/image" Target="media/image59.jpeg"/><Relationship Id="rId251" Type="http://schemas.openxmlformats.org/officeDocument/2006/relationships/image" Target="media/image60.jpeg"/><Relationship Id="rId252" Type="http://schemas.openxmlformats.org/officeDocument/2006/relationships/image" Target="media/image61.jpeg"/><Relationship Id="rId253" Type="http://schemas.openxmlformats.org/officeDocument/2006/relationships/image" Target="media/image62.jpeg"/><Relationship Id="rId254" Type="http://schemas.openxmlformats.org/officeDocument/2006/relationships/image" Target="media/image64.jpeg"/><Relationship Id="rId255" Type="http://schemas.openxmlformats.org/officeDocument/2006/relationships/image" Target="media/image53.jpeg"/><Relationship Id="rId256" Type="http://schemas.openxmlformats.org/officeDocument/2006/relationships/image" Target="media/image53.jpeg"/><Relationship Id="rId257" Type="http://schemas.openxmlformats.org/officeDocument/2006/relationships/image" Target="media/image56.jpeg"/><Relationship Id="rId258" Type="http://schemas.openxmlformats.org/officeDocument/2006/relationships/image" Target="media/image57.jpeg"/><Relationship Id="rId259" Type="http://schemas.openxmlformats.org/officeDocument/2006/relationships/image" Target="media/image58.jpeg"/><Relationship Id="rId260" Type="http://schemas.openxmlformats.org/officeDocument/2006/relationships/image" Target="media/image41.jpeg"/><Relationship Id="rId261" Type="http://schemas.openxmlformats.org/officeDocument/2006/relationships/image" Target="media/image59.jpeg"/><Relationship Id="rId262" Type="http://schemas.openxmlformats.org/officeDocument/2006/relationships/image" Target="media/image60.jpeg"/><Relationship Id="rId263" Type="http://schemas.openxmlformats.org/officeDocument/2006/relationships/image" Target="media/image63.jpeg"/><Relationship Id="rId264" Type="http://schemas.openxmlformats.org/officeDocument/2006/relationships/image" Target="media/image56.jpeg"/><Relationship Id="rId265" Type="http://schemas.openxmlformats.org/officeDocument/2006/relationships/image" Target="media/image57.jpeg"/><Relationship Id="rId266" Type="http://schemas.openxmlformats.org/officeDocument/2006/relationships/image" Target="media/image58.jpeg"/><Relationship Id="rId267" Type="http://schemas.openxmlformats.org/officeDocument/2006/relationships/image" Target="media/image41.jpeg"/><Relationship Id="rId268" Type="http://schemas.openxmlformats.org/officeDocument/2006/relationships/image" Target="media/image59.jpeg"/><Relationship Id="rId269" Type="http://schemas.openxmlformats.org/officeDocument/2006/relationships/image" Target="media/image60.jpeg"/><Relationship Id="rId270" Type="http://schemas.openxmlformats.org/officeDocument/2006/relationships/image" Target="media/image63.jpeg"/><Relationship Id="rId271" Type="http://schemas.openxmlformats.org/officeDocument/2006/relationships/image" Target="media/image54.jpeg"/><Relationship Id="rId272" Type="http://schemas.openxmlformats.org/officeDocument/2006/relationships/image" Target="media/image54.jpeg"/><Relationship Id="rId273" Type="http://schemas.openxmlformats.org/officeDocument/2006/relationships/image" Target="media/image55.jpeg"/><Relationship Id="rId274" Type="http://schemas.openxmlformats.org/officeDocument/2006/relationships/image" Target="media/image55.jpeg"/><Relationship Id="rId275" Type="http://schemas.openxmlformats.org/officeDocument/2006/relationships/image" Target="media/image56.jpeg"/><Relationship Id="rId276" Type="http://schemas.openxmlformats.org/officeDocument/2006/relationships/image" Target="media/image57.jpeg"/><Relationship Id="rId277" Type="http://schemas.openxmlformats.org/officeDocument/2006/relationships/image" Target="media/image58.jpeg"/><Relationship Id="rId278" Type="http://schemas.openxmlformats.org/officeDocument/2006/relationships/image" Target="media/image41.jpeg"/><Relationship Id="rId279" Type="http://schemas.openxmlformats.org/officeDocument/2006/relationships/image" Target="media/image59.jpeg"/><Relationship Id="rId280" Type="http://schemas.openxmlformats.org/officeDocument/2006/relationships/image" Target="media/image60.jpeg"/><Relationship Id="rId281" Type="http://schemas.openxmlformats.org/officeDocument/2006/relationships/image" Target="media/image63.jpeg"/><Relationship Id="rId282" Type="http://schemas.openxmlformats.org/officeDocument/2006/relationships/image" Target="media/image56.jpeg"/><Relationship Id="rId283" Type="http://schemas.openxmlformats.org/officeDocument/2006/relationships/image" Target="media/image57.jpeg"/><Relationship Id="rId284" Type="http://schemas.openxmlformats.org/officeDocument/2006/relationships/image" Target="media/image58.jpeg"/><Relationship Id="rId285" Type="http://schemas.openxmlformats.org/officeDocument/2006/relationships/image" Target="media/image41.jpeg"/><Relationship Id="rId286" Type="http://schemas.openxmlformats.org/officeDocument/2006/relationships/image" Target="media/image59.jpeg"/><Relationship Id="rId287" Type="http://schemas.openxmlformats.org/officeDocument/2006/relationships/image" Target="media/image60.jpeg"/><Relationship Id="rId288" Type="http://schemas.openxmlformats.org/officeDocument/2006/relationships/image" Target="media/image63.jpeg"/><Relationship Id="rId289" Type="http://schemas.openxmlformats.org/officeDocument/2006/relationships/image" Target="media/image11.jpeg"/><Relationship Id="rId290" Type="http://schemas.openxmlformats.org/officeDocument/2006/relationships/image" Target="media/image13.jpeg"/><Relationship Id="rId291" Type="http://schemas.openxmlformats.org/officeDocument/2006/relationships/image" Target="media/image15.jpeg"/><Relationship Id="rId292" Type="http://schemas.openxmlformats.org/officeDocument/2006/relationships/image" Target="media/image12.jpeg"/><Relationship Id="rId293" Type="http://schemas.openxmlformats.org/officeDocument/2006/relationships/image" Target="media/image14.jpeg"/><Relationship Id="rId294" Type="http://schemas.openxmlformats.org/officeDocument/2006/relationships/image" Target="media/image16.jpeg"/><Relationship Id="rId295" Type="http://schemas.openxmlformats.org/officeDocument/2006/relationships/image" Target="media/image3.jpeg"/><Relationship Id="rId296" Type="http://schemas.openxmlformats.org/officeDocument/2006/relationships/image" Target="media/image6.jpeg"/><Relationship Id="rId297" Type="http://schemas.openxmlformats.org/officeDocument/2006/relationships/image" Target="media/image7.jpeg"/><Relationship Id="rId298" Type="http://schemas.openxmlformats.org/officeDocument/2006/relationships/image" Target="media/image65.jpeg"/><Relationship Id="rId299" Type="http://schemas.openxmlformats.org/officeDocument/2006/relationships/image" Target="media/image48.jpeg"/><Relationship Id="rId300" Type="http://schemas.openxmlformats.org/officeDocument/2006/relationships/image" Target="media/image48.jpeg"/><Relationship Id="rId301" Type="http://schemas.openxmlformats.org/officeDocument/2006/relationships/image" Target="media/image3.jpeg"/><Relationship Id="rId302" Type="http://schemas.openxmlformats.org/officeDocument/2006/relationships/image" Target="media/image6.jpeg"/><Relationship Id="rId303" Type="http://schemas.openxmlformats.org/officeDocument/2006/relationships/image" Target="media/image7.jpeg"/><Relationship Id="rId304" Type="http://schemas.openxmlformats.org/officeDocument/2006/relationships/image" Target="media/image66.jpeg"/><Relationship Id="rId305" Type="http://schemas.openxmlformats.org/officeDocument/2006/relationships/image" Target="media/image66.jpeg"/><Relationship Id="rId306" Type="http://schemas.openxmlformats.org/officeDocument/2006/relationships/image" Target="media/image67.jpeg"/><Relationship Id="rId307" Type="http://schemas.openxmlformats.org/officeDocument/2006/relationships/image" Target="media/image68.jpeg"/><Relationship Id="rId308" Type="http://schemas.openxmlformats.org/officeDocument/2006/relationships/image" Target="media/image69.jpeg"/><Relationship Id="rId309" Type="http://schemas.openxmlformats.org/officeDocument/2006/relationships/image" Target="media/image70.jpeg"/><Relationship Id="rId310" Type="http://schemas.openxmlformats.org/officeDocument/2006/relationships/image" Target="media/image71.jpeg"/><Relationship Id="rId311" Type="http://schemas.openxmlformats.org/officeDocument/2006/relationships/image" Target="media/image72.jpeg"/><Relationship Id="rId312" Type="http://schemas.openxmlformats.org/officeDocument/2006/relationships/image" Target="media/image72.jpeg"/><Relationship Id="rId313" Type="http://schemas.openxmlformats.org/officeDocument/2006/relationships/image" Target="media/image73.jpeg"/><Relationship Id="rId314" Type="http://schemas.openxmlformats.org/officeDocument/2006/relationships/image" Target="media/image73.jpeg"/><Relationship Id="rId315" Type="http://schemas.openxmlformats.org/officeDocument/2006/relationships/image" Target="media/image4.jpeg"/><Relationship Id="rId316" Type="http://schemas.openxmlformats.org/officeDocument/2006/relationships/image" Target="media/image74.jpeg"/><Relationship Id="rId317" Type="http://schemas.openxmlformats.org/officeDocument/2006/relationships/image" Target="media/image75.jpeg"/><Relationship Id="rId318" Type="http://schemas.openxmlformats.org/officeDocument/2006/relationships/image" Target="media/image72.jpeg"/><Relationship Id="rId319" Type="http://schemas.openxmlformats.org/officeDocument/2006/relationships/image" Target="media/image76.jpeg"/><Relationship Id="rId320" Type="http://schemas.openxmlformats.org/officeDocument/2006/relationships/image" Target="media/image4.jpeg"/><Relationship Id="rId321" Type="http://schemas.openxmlformats.org/officeDocument/2006/relationships/image" Target="media/image4.jpeg"/><Relationship Id="rId322" Type="http://schemas.openxmlformats.org/officeDocument/2006/relationships/image" Target="media/image4.jpeg"/><Relationship Id="rId323" Type="http://schemas.openxmlformats.org/officeDocument/2006/relationships/image" Target="media/image4.jpeg"/><Relationship Id="rId324" Type="http://schemas.openxmlformats.org/officeDocument/2006/relationships/image" Target="media/image4.jpeg"/><Relationship Id="rId325" Type="http://schemas.openxmlformats.org/officeDocument/2006/relationships/image" Target="media/image4.jpeg"/><Relationship Id="rId326" Type="http://schemas.openxmlformats.org/officeDocument/2006/relationships/image" Target="media/image4.jpeg"/><Relationship Id="rId327" Type="http://schemas.openxmlformats.org/officeDocument/2006/relationships/image" Target="media/image4.jpeg"/><Relationship Id="rId328" Type="http://schemas.openxmlformats.org/officeDocument/2006/relationships/image" Target="media/image4.jpeg"/><Relationship Id="rId329" Type="http://schemas.openxmlformats.org/officeDocument/2006/relationships/image" Target="media/image4.jpeg"/><Relationship Id="rId330" Type="http://schemas.openxmlformats.org/officeDocument/2006/relationships/image" Target="media/image4.jpeg"/><Relationship Id="rId331" Type="http://schemas.openxmlformats.org/officeDocument/2006/relationships/image" Target="media/image17.jpeg"/><Relationship Id="rId332" Type="http://schemas.openxmlformats.org/officeDocument/2006/relationships/image" Target="media/image77.jpeg"/><Relationship Id="rId333" Type="http://schemas.openxmlformats.org/officeDocument/2006/relationships/image" Target="media/image78.jpeg"/><Relationship Id="rId334" Type="http://schemas.openxmlformats.org/officeDocument/2006/relationships/image" Target="media/image79.jpeg"/><Relationship Id="rId335" Type="http://schemas.openxmlformats.org/officeDocument/2006/relationships/image" Target="media/image80.jpeg"/><Relationship Id="rId336" Type="http://schemas.openxmlformats.org/officeDocument/2006/relationships/image" Target="media/image81.jpeg"/><Relationship Id="rId337" Type="http://schemas.openxmlformats.org/officeDocument/2006/relationships/image" Target="media/image82.jpeg"/><Relationship Id="rId338" Type="http://schemas.openxmlformats.org/officeDocument/2006/relationships/image" Target="media/image83.jpeg"/><Relationship Id="rId339" Type="http://schemas.openxmlformats.org/officeDocument/2006/relationships/image" Target="media/image3.jpeg"/><Relationship Id="rId340" Type="http://schemas.openxmlformats.org/officeDocument/2006/relationships/image" Target="media/image6.jpeg"/><Relationship Id="rId341" Type="http://schemas.openxmlformats.org/officeDocument/2006/relationships/image" Target="media/image7.jpeg"/><Relationship Id="rId342" Type="http://schemas.openxmlformats.org/officeDocument/2006/relationships/image" Target="media/image65.jpeg"/><Relationship Id="rId343" Type="http://schemas.openxmlformats.org/officeDocument/2006/relationships/image" Target="media/image84.jpeg"/><Relationship Id="rId344" Type="http://schemas.openxmlformats.org/officeDocument/2006/relationships/image" Target="media/image85.jpeg"/><Relationship Id="rId345" Type="http://schemas.openxmlformats.org/officeDocument/2006/relationships/image" Target="media/image86.jpeg"/><Relationship Id="rId346" Type="http://schemas.openxmlformats.org/officeDocument/2006/relationships/image" Target="media/image87.jpeg"/><Relationship Id="rId347" Type="http://schemas.openxmlformats.org/officeDocument/2006/relationships/image" Target="media/image4.jpeg"/><Relationship Id="rId348" Type="http://schemas.openxmlformats.org/officeDocument/2006/relationships/image" Target="media/image88.jpeg"/><Relationship Id="rId349" Type="http://schemas.openxmlformats.org/officeDocument/2006/relationships/image" Target="media/image89.jpeg"/><Relationship Id="rId350" Type="http://schemas.openxmlformats.org/officeDocument/2006/relationships/image" Target="media/image90.jpeg"/><Relationship Id="rId351" Type="http://schemas.openxmlformats.org/officeDocument/2006/relationships/image" Target="media/image91.jpeg"/><Relationship Id="rId352" Type="http://schemas.openxmlformats.org/officeDocument/2006/relationships/image" Target="media/image92.jpeg"/><Relationship Id="rId353" Type="http://schemas.openxmlformats.org/officeDocument/2006/relationships/image" Target="media/image93.jpeg"/><Relationship Id="rId354" Type="http://schemas.openxmlformats.org/officeDocument/2006/relationships/image" Target="media/image94.jpeg"/><Relationship Id="rId355" Type="http://schemas.openxmlformats.org/officeDocument/2006/relationships/image" Target="media/image94.jpeg"/><Relationship Id="rId356" Type="http://schemas.openxmlformats.org/officeDocument/2006/relationships/image" Target="media/image54.jpeg"/><Relationship Id="rId357" Type="http://schemas.openxmlformats.org/officeDocument/2006/relationships/image" Target="media/image54.jpeg"/><Relationship Id="rId358" Type="http://schemas.openxmlformats.org/officeDocument/2006/relationships/image" Target="media/image72.jpeg"/><Relationship Id="rId359" Type="http://schemas.openxmlformats.org/officeDocument/2006/relationships/image" Target="media/image72.jpeg"/><Relationship Id="rId360" Type="http://schemas.openxmlformats.org/officeDocument/2006/relationships/image" Target="media/image73.jpeg"/><Relationship Id="rId361" Type="http://schemas.openxmlformats.org/officeDocument/2006/relationships/image" Target="media/image73.jpeg"/><Relationship Id="rId362" Type="http://schemas.openxmlformats.org/officeDocument/2006/relationships/image" Target="media/image95.jpeg"/><Relationship Id="rId363" Type="http://schemas.openxmlformats.org/officeDocument/2006/relationships/image" Target="media/image95.jpeg"/><Relationship Id="rId364" Type="http://schemas.openxmlformats.org/officeDocument/2006/relationships/image" Target="media/image95.jpeg"/><Relationship Id="rId365" Type="http://schemas.openxmlformats.org/officeDocument/2006/relationships/image" Target="media/image95.jpeg"/><Relationship Id="rId366" Type="http://schemas.openxmlformats.org/officeDocument/2006/relationships/image" Target="media/image95.jpeg"/><Relationship Id="rId367" Type="http://schemas.openxmlformats.org/officeDocument/2006/relationships/image" Target="media/image95.jpeg"/><Relationship Id="rId368" Type="http://schemas.openxmlformats.org/officeDocument/2006/relationships/image" Target="media/image95.jpeg"/><Relationship Id="rId369" Type="http://schemas.openxmlformats.org/officeDocument/2006/relationships/image" Target="media/image95.jpeg"/><Relationship Id="rId370" Type="http://schemas.openxmlformats.org/officeDocument/2006/relationships/image" Target="media/image95.jpeg"/><Relationship Id="rId371" Type="http://schemas.openxmlformats.org/officeDocument/2006/relationships/image" Target="media/image95.jpeg"/><Relationship Id="rId372" Type="http://schemas.openxmlformats.org/officeDocument/2006/relationships/image" Target="media/image95.jpeg"/><Relationship Id="rId373" Type="http://schemas.openxmlformats.org/officeDocument/2006/relationships/image" Target="media/image95.jpeg"/><Relationship Id="rId374" Type="http://schemas.openxmlformats.org/officeDocument/2006/relationships/image" Target="media/image96.jpeg"/><Relationship Id="rId375" Type="http://schemas.openxmlformats.org/officeDocument/2006/relationships/image" Target="media/image96.jpeg"/><Relationship Id="rId376" Type="http://schemas.openxmlformats.org/officeDocument/2006/relationships/image" Target="media/image96.jpeg"/><Relationship Id="rId377" Type="http://schemas.openxmlformats.org/officeDocument/2006/relationships/image" Target="media/image96.jpeg"/><Relationship Id="rId378" Type="http://schemas.openxmlformats.org/officeDocument/2006/relationships/image" Target="media/image96.jpeg"/><Relationship Id="rId379" Type="http://schemas.openxmlformats.org/officeDocument/2006/relationships/image" Target="media/image96.jpeg"/><Relationship Id="rId380" Type="http://schemas.openxmlformats.org/officeDocument/2006/relationships/image" Target="media/image96.jpeg"/><Relationship Id="rId381" Type="http://schemas.openxmlformats.org/officeDocument/2006/relationships/image" Target="media/image96.jpeg"/><Relationship Id="rId382" Type="http://schemas.openxmlformats.org/officeDocument/2006/relationships/image" Target="media/image96.jpeg"/><Relationship Id="rId383" Type="http://schemas.openxmlformats.org/officeDocument/2006/relationships/image" Target="media/image96.jpeg"/><Relationship Id="rId384" Type="http://schemas.openxmlformats.org/officeDocument/2006/relationships/image" Target="media/image96.jpeg"/><Relationship Id="rId385" Type="http://schemas.openxmlformats.org/officeDocument/2006/relationships/image" Target="media/image96.jpeg"/><Relationship Id="rId386" Type="http://schemas.openxmlformats.org/officeDocument/2006/relationships/image" Target="media/image97.jpeg"/><Relationship Id="rId387" Type="http://schemas.openxmlformats.org/officeDocument/2006/relationships/image" Target="media/image98.jpeg"/><Relationship Id="rId388" Type="http://schemas.openxmlformats.org/officeDocument/2006/relationships/image" Target="media/image99.jpeg"/><Relationship Id="rId389" Type="http://schemas.openxmlformats.org/officeDocument/2006/relationships/image" Target="media/image100.jpeg"/><Relationship Id="rId390" Type="http://schemas.openxmlformats.org/officeDocument/2006/relationships/image" Target="media/image4.jpeg"/><Relationship Id="rId391" Type="http://schemas.openxmlformats.org/officeDocument/2006/relationships/image" Target="media/image4.jpeg"/><Relationship Id="rId392" Type="http://schemas.openxmlformats.org/officeDocument/2006/relationships/image" Target="media/image4.jpeg"/><Relationship Id="rId393" Type="http://schemas.openxmlformats.org/officeDocument/2006/relationships/image" Target="media/image4.jpeg"/><Relationship Id="rId394" Type="http://schemas.openxmlformats.org/officeDocument/2006/relationships/image" Target="media/image1.jpeg"/><Relationship Id="rId395" Type="http://schemas.openxmlformats.org/officeDocument/2006/relationships/image" Target="media/image101.jpeg"/><Relationship Id="rId396" Type="http://schemas.openxmlformats.org/officeDocument/2006/relationships/image" Target="media/image102.jpeg"/><Relationship Id="rId397" Type="http://schemas.openxmlformats.org/officeDocument/2006/relationships/fontTable" Target="fontTable.xml"/><Relationship Id="rId3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46867</Words>
  <Characters>258041</Characters>
  <CharactersWithSpaces>314356</CharactersWithSpaces>
  <Paragraphs>14117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